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46F" w:rsidRDefault="00E4046F">
      <w:pPr>
        <w:spacing w:line="840" w:lineRule="exact"/>
        <w:jc w:val="distribute"/>
        <w:rPr>
          <w:rFonts w:ascii="仿宋_GB2312" w:eastAsia="仿宋_GB2312" w:hAnsi="华文中宋" w:cs="Times New Roman"/>
          <w:spacing w:val="-2"/>
          <w:sz w:val="32"/>
          <w:szCs w:val="32"/>
        </w:rPr>
      </w:pPr>
      <w:r>
        <w:rPr>
          <w:rFonts w:ascii="方正小标宋简体" w:eastAsia="方正小标宋简体" w:hAnsi="华文中宋" w:cs="方正小标宋简体"/>
          <w:color w:val="FF0000"/>
          <w:spacing w:val="-2"/>
          <w:sz w:val="72"/>
          <w:szCs w:val="72"/>
        </w:rPr>
        <w:t xml:space="preserve">                      </w:t>
      </w:r>
    </w:p>
    <w:p w:rsidR="00E4046F" w:rsidRDefault="00E4046F">
      <w:pPr>
        <w:spacing w:line="840" w:lineRule="exact"/>
        <w:jc w:val="distribute"/>
        <w:rPr>
          <w:rFonts w:ascii="方正小标宋简体" w:eastAsia="方正小标宋简体" w:hAnsi="华文中宋" w:cs="Times New Roman"/>
          <w:color w:val="FF0000"/>
          <w:spacing w:val="-2"/>
          <w:sz w:val="72"/>
          <w:szCs w:val="72"/>
        </w:rPr>
      </w:pPr>
      <w:r>
        <w:rPr>
          <w:rFonts w:ascii="方正小标宋简体" w:eastAsia="方正小标宋简体" w:hAnsi="华文中宋" w:cs="方正小标宋简体" w:hint="eastAsia"/>
          <w:color w:val="FF0000"/>
          <w:spacing w:val="-2"/>
          <w:sz w:val="72"/>
          <w:szCs w:val="72"/>
        </w:rPr>
        <w:t>昆明市官渡区农林局文件</w:t>
      </w:r>
    </w:p>
    <w:p w:rsidR="00E4046F" w:rsidRDefault="00E4046F">
      <w:pPr>
        <w:widowControl/>
        <w:spacing w:line="560" w:lineRule="exact"/>
        <w:jc w:val="center"/>
        <w:rPr>
          <w:rFonts w:ascii="方正小标宋简体" w:eastAsia="方正小标宋简体" w:hAnsi="方正小标宋简体" w:cs="Times New Roman"/>
          <w:sz w:val="44"/>
          <w:szCs w:val="44"/>
        </w:rPr>
      </w:pPr>
      <w:r>
        <w:rPr>
          <w:noProof/>
        </w:rPr>
        <w:pict>
          <v:line id="直线 2" o:spid="_x0000_s1027" style="position:absolute;left:0;text-align:left;z-index:251658240" from="-6pt,13.8pt" to="450pt,13.8pt" strokecolor="red" strokeweight="2.25pt"/>
        </w:pict>
      </w:r>
    </w:p>
    <w:p w:rsidR="00E4046F" w:rsidRDefault="00E4046F">
      <w:pPr>
        <w:spacing w:line="500" w:lineRule="exact"/>
        <w:jc w:val="center"/>
        <w:rPr>
          <w:rFonts w:ascii="方正小标宋简体" w:eastAsia="方正小标宋简体" w:cs="Times New Roman"/>
          <w:kern w:val="0"/>
          <w:sz w:val="44"/>
          <w:szCs w:val="44"/>
        </w:rPr>
      </w:pPr>
    </w:p>
    <w:p w:rsidR="00E4046F" w:rsidRDefault="00E4046F">
      <w:pPr>
        <w:spacing w:line="540" w:lineRule="exact"/>
        <w:jc w:val="center"/>
        <w:rPr>
          <w:rFonts w:ascii="方正小标宋简体" w:eastAsia="方正小标宋简体" w:cs="Times New Roman"/>
          <w:sz w:val="44"/>
          <w:szCs w:val="44"/>
        </w:rPr>
      </w:pPr>
      <w:r>
        <w:rPr>
          <w:rFonts w:ascii="方正小标宋简体" w:eastAsia="方正小标宋简体" w:cs="方正小标宋简体" w:hint="eastAsia"/>
          <w:sz w:val="44"/>
          <w:szCs w:val="44"/>
        </w:rPr>
        <w:t>昆明市官渡区农林局</w:t>
      </w:r>
    </w:p>
    <w:p w:rsidR="00E4046F" w:rsidRDefault="00E4046F">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关于对政协官渡区第九届委员会第二次会议第</w:t>
      </w:r>
      <w:r>
        <w:rPr>
          <w:rFonts w:ascii="方正小标宋简体" w:eastAsia="方正小标宋简体" w:hAnsi="方正小标宋简体" w:cs="方正小标宋简体"/>
          <w:sz w:val="44"/>
          <w:szCs w:val="44"/>
        </w:rPr>
        <w:t>92031</w:t>
      </w:r>
      <w:r>
        <w:rPr>
          <w:rFonts w:ascii="方正小标宋简体" w:eastAsia="方正小标宋简体" w:hAnsi="方正小标宋简体" w:cs="方正小标宋简体" w:hint="eastAsia"/>
          <w:sz w:val="44"/>
          <w:szCs w:val="44"/>
        </w:rPr>
        <w:t>号提案的答复</w:t>
      </w:r>
    </w:p>
    <w:p w:rsidR="00E4046F" w:rsidRDefault="00E4046F">
      <w:pPr>
        <w:spacing w:line="560" w:lineRule="exact"/>
        <w:jc w:val="center"/>
        <w:rPr>
          <w:rFonts w:ascii="方正小标宋简体" w:eastAsia="方正小标宋简体" w:hAnsi="方正小标宋简体" w:cs="Times New Roman"/>
          <w:sz w:val="44"/>
          <w:szCs w:val="44"/>
        </w:rPr>
      </w:pPr>
    </w:p>
    <w:p w:rsidR="00E4046F" w:rsidRDefault="00E4046F">
      <w:pPr>
        <w:spacing w:line="560" w:lineRule="exact"/>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尊敬的杨旭东委员：</w:t>
      </w:r>
    </w:p>
    <w:p w:rsidR="00E4046F" w:rsidRDefault="00E4046F" w:rsidP="00F705B2">
      <w:pPr>
        <w:spacing w:line="560" w:lineRule="exact"/>
        <w:ind w:firstLineChars="200" w:firstLine="31680"/>
        <w:jc w:val="left"/>
        <w:rPr>
          <w:rFonts w:ascii="仿宋_GB2312" w:eastAsia="仿宋_GB2312" w:hAnsi="仿宋" w:cs="Times New Roman"/>
          <w:kern w:val="0"/>
          <w:sz w:val="32"/>
          <w:szCs w:val="32"/>
        </w:rPr>
      </w:pPr>
      <w:r>
        <w:rPr>
          <w:rFonts w:ascii="仿宋_GB2312" w:eastAsia="仿宋_GB2312" w:hAnsi="仿宋_GB2312" w:cs="仿宋_GB2312" w:hint="eastAsia"/>
          <w:kern w:val="0"/>
          <w:sz w:val="32"/>
          <w:szCs w:val="32"/>
        </w:rPr>
        <w:t>您在政协官渡区第九届委员会第二次会议提出的《关于推动义务植树与打造生态旅游景点相结合的建议》的提案，（第</w:t>
      </w:r>
      <w:r>
        <w:rPr>
          <w:rFonts w:ascii="仿宋_GB2312" w:eastAsia="仿宋_GB2312" w:hAnsi="仿宋_GB2312" w:cs="仿宋_GB2312"/>
          <w:kern w:val="0"/>
          <w:sz w:val="32"/>
          <w:szCs w:val="32"/>
        </w:rPr>
        <w:t>92031</w:t>
      </w:r>
      <w:r>
        <w:rPr>
          <w:rFonts w:ascii="仿宋_GB2312" w:eastAsia="仿宋_GB2312" w:hAnsi="仿宋_GB2312" w:cs="仿宋_GB2312" w:hint="eastAsia"/>
          <w:kern w:val="0"/>
          <w:sz w:val="32"/>
          <w:szCs w:val="32"/>
        </w:rPr>
        <w:t>）收悉后，</w:t>
      </w:r>
      <w:r>
        <w:rPr>
          <w:rFonts w:ascii="仿宋_GB2312" w:eastAsia="仿宋_GB2312" w:hAnsi="仿宋" w:cs="仿宋_GB2312" w:hint="eastAsia"/>
          <w:kern w:val="0"/>
          <w:sz w:val="32"/>
          <w:szCs w:val="32"/>
        </w:rPr>
        <w:t>我局高度重视，组织相关业务部门积极开展研究讨论，结合官渡区实际情况，现将有关情况向您报告答复如下：</w:t>
      </w:r>
    </w:p>
    <w:p w:rsidR="00E4046F" w:rsidRDefault="00E4046F" w:rsidP="00F705B2">
      <w:pPr>
        <w:numPr>
          <w:ilvl w:val="0"/>
          <w:numId w:val="1"/>
        </w:numPr>
        <w:spacing w:line="560" w:lineRule="exact"/>
        <w:ind w:firstLineChars="200" w:firstLine="31680"/>
        <w:rPr>
          <w:rFonts w:ascii="黑体" w:eastAsia="黑体" w:hAnsi="黑体" w:cs="Times New Roman"/>
          <w:kern w:val="0"/>
          <w:sz w:val="32"/>
          <w:szCs w:val="32"/>
        </w:rPr>
      </w:pPr>
      <w:r>
        <w:rPr>
          <w:rFonts w:ascii="黑体" w:eastAsia="黑体" w:hAnsi="黑体" w:cs="黑体" w:hint="eastAsia"/>
          <w:kern w:val="0"/>
          <w:sz w:val="32"/>
          <w:szCs w:val="32"/>
        </w:rPr>
        <w:t>官渡区林业生态建设现状</w:t>
      </w:r>
    </w:p>
    <w:p w:rsidR="00E4046F" w:rsidRDefault="00E4046F" w:rsidP="00F705B2">
      <w:pPr>
        <w:spacing w:line="56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官渡区下辖</w:t>
      </w: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个街道办事处，土地总面积约</w:t>
      </w:r>
      <w:r>
        <w:rPr>
          <w:rFonts w:ascii="仿宋_GB2312" w:eastAsia="仿宋_GB2312" w:hAnsi="仿宋_GB2312" w:cs="仿宋_GB2312"/>
          <w:kern w:val="0"/>
          <w:sz w:val="32"/>
          <w:szCs w:val="32"/>
        </w:rPr>
        <w:t>16116.6</w:t>
      </w:r>
      <w:r>
        <w:rPr>
          <w:rFonts w:ascii="仿宋_GB2312" w:eastAsia="仿宋_GB2312" w:hAnsi="仿宋_GB2312" w:cs="仿宋_GB2312" w:hint="eastAsia"/>
          <w:kern w:val="0"/>
          <w:sz w:val="32"/>
          <w:szCs w:val="32"/>
        </w:rPr>
        <w:t>公顷（含滇池水域），林地面积</w:t>
      </w:r>
      <w:r>
        <w:rPr>
          <w:rFonts w:ascii="仿宋_GB2312" w:eastAsia="仿宋_GB2312" w:hAnsi="仿宋_GB2312" w:cs="仿宋_GB2312"/>
          <w:kern w:val="0"/>
          <w:sz w:val="32"/>
          <w:szCs w:val="32"/>
        </w:rPr>
        <w:t>713.6</w:t>
      </w:r>
      <w:r>
        <w:rPr>
          <w:rFonts w:ascii="仿宋_GB2312" w:eastAsia="仿宋_GB2312" w:hAnsi="仿宋_GB2312" w:cs="仿宋_GB2312" w:hint="eastAsia"/>
          <w:kern w:val="0"/>
          <w:sz w:val="32"/>
          <w:szCs w:val="32"/>
        </w:rPr>
        <w:t>公顷，有林地面积</w:t>
      </w:r>
      <w:r>
        <w:rPr>
          <w:rFonts w:ascii="仿宋_GB2312" w:eastAsia="仿宋_GB2312" w:hAnsi="仿宋_GB2312" w:cs="仿宋_GB2312"/>
          <w:kern w:val="0"/>
          <w:sz w:val="32"/>
          <w:szCs w:val="32"/>
        </w:rPr>
        <w:t>666</w:t>
      </w:r>
      <w:r>
        <w:rPr>
          <w:rFonts w:ascii="仿宋_GB2312" w:eastAsia="仿宋_GB2312" w:hAnsi="仿宋_GB2312" w:cs="仿宋_GB2312" w:hint="eastAsia"/>
          <w:kern w:val="0"/>
          <w:sz w:val="32"/>
          <w:szCs w:val="32"/>
        </w:rPr>
        <w:t>公顷，乔木林地</w:t>
      </w:r>
      <w:r>
        <w:rPr>
          <w:rFonts w:ascii="仿宋_GB2312" w:eastAsia="仿宋_GB2312" w:hAnsi="仿宋_GB2312" w:cs="仿宋_GB2312"/>
          <w:kern w:val="0"/>
          <w:sz w:val="32"/>
          <w:szCs w:val="32"/>
        </w:rPr>
        <w:t>664.9</w:t>
      </w:r>
      <w:r>
        <w:rPr>
          <w:rFonts w:ascii="仿宋_GB2312" w:eastAsia="仿宋_GB2312" w:hAnsi="仿宋_GB2312" w:cs="仿宋_GB2312" w:hint="eastAsia"/>
          <w:kern w:val="0"/>
          <w:sz w:val="32"/>
          <w:szCs w:val="32"/>
        </w:rPr>
        <w:t>公顷，未成林造林地</w:t>
      </w:r>
      <w:r>
        <w:rPr>
          <w:rFonts w:ascii="仿宋_GB2312" w:eastAsia="仿宋_GB2312" w:hAnsi="仿宋_GB2312" w:cs="仿宋_GB2312"/>
          <w:kern w:val="0"/>
          <w:sz w:val="32"/>
          <w:szCs w:val="32"/>
        </w:rPr>
        <w:t>8.7</w:t>
      </w:r>
      <w:r>
        <w:rPr>
          <w:rFonts w:ascii="仿宋_GB2312" w:eastAsia="仿宋_GB2312" w:hAnsi="仿宋_GB2312" w:cs="仿宋_GB2312" w:hint="eastAsia"/>
          <w:kern w:val="0"/>
          <w:sz w:val="32"/>
          <w:szCs w:val="32"/>
        </w:rPr>
        <w:t>公顷，无立木林地</w:t>
      </w:r>
      <w:r>
        <w:rPr>
          <w:rFonts w:ascii="仿宋_GB2312" w:eastAsia="仿宋_GB2312" w:hAnsi="仿宋_GB2312" w:cs="仿宋_GB2312"/>
          <w:kern w:val="0"/>
          <w:sz w:val="32"/>
          <w:szCs w:val="32"/>
        </w:rPr>
        <w:t>32.2</w:t>
      </w:r>
      <w:r>
        <w:rPr>
          <w:rFonts w:ascii="仿宋_GB2312" w:eastAsia="仿宋_GB2312" w:hAnsi="仿宋_GB2312" w:cs="仿宋_GB2312" w:hint="eastAsia"/>
          <w:kern w:val="0"/>
          <w:sz w:val="32"/>
          <w:szCs w:val="32"/>
        </w:rPr>
        <w:t>公顷，宜林地</w:t>
      </w:r>
      <w:r>
        <w:rPr>
          <w:rFonts w:ascii="仿宋_GB2312" w:eastAsia="仿宋_GB2312" w:hAnsi="仿宋_GB2312" w:cs="仿宋_GB2312"/>
          <w:kern w:val="0"/>
          <w:sz w:val="32"/>
          <w:szCs w:val="32"/>
        </w:rPr>
        <w:t>4.9</w:t>
      </w:r>
      <w:r>
        <w:rPr>
          <w:rFonts w:ascii="仿宋_GB2312" w:eastAsia="仿宋_GB2312" w:hAnsi="仿宋_GB2312" w:cs="仿宋_GB2312" w:hint="eastAsia"/>
          <w:kern w:val="0"/>
          <w:sz w:val="32"/>
          <w:szCs w:val="32"/>
        </w:rPr>
        <w:t>公顷，覆盖率约为</w:t>
      </w:r>
      <w:r>
        <w:rPr>
          <w:rFonts w:ascii="仿宋_GB2312" w:eastAsia="仿宋_GB2312" w:hAnsi="仿宋_GB2312" w:cs="仿宋_GB2312"/>
          <w:kern w:val="0"/>
          <w:sz w:val="32"/>
          <w:szCs w:val="32"/>
        </w:rPr>
        <w:t>4.132%</w:t>
      </w:r>
      <w:r>
        <w:rPr>
          <w:rFonts w:ascii="仿宋_GB2312" w:eastAsia="仿宋_GB2312" w:hAnsi="仿宋_GB2312" w:cs="仿宋_GB2312" w:hint="eastAsia"/>
          <w:kern w:val="0"/>
          <w:sz w:val="32"/>
          <w:szCs w:val="32"/>
        </w:rPr>
        <w:t>。其中涉林的有三个街道办（即金马、小板桥、矣六街道办），合计林地面积</w:t>
      </w:r>
      <w:r>
        <w:rPr>
          <w:rFonts w:ascii="仿宋_GB2312" w:eastAsia="仿宋_GB2312" w:hAnsi="仿宋_GB2312" w:cs="仿宋_GB2312"/>
          <w:kern w:val="0"/>
          <w:sz w:val="32"/>
          <w:szCs w:val="32"/>
        </w:rPr>
        <w:t>396.5</w:t>
      </w:r>
      <w:r>
        <w:rPr>
          <w:rFonts w:ascii="仿宋_GB2312" w:eastAsia="仿宋_GB2312" w:hAnsi="仿宋_GB2312" w:cs="仿宋_GB2312" w:hint="eastAsia"/>
          <w:kern w:val="0"/>
          <w:sz w:val="32"/>
          <w:szCs w:val="32"/>
        </w:rPr>
        <w:t>公顷（</w:t>
      </w:r>
      <w:r>
        <w:rPr>
          <w:rFonts w:ascii="仿宋_GB2312" w:eastAsia="仿宋_GB2312" w:hAnsi="仿宋_GB2312" w:cs="仿宋_GB2312"/>
          <w:kern w:val="0"/>
          <w:sz w:val="32"/>
          <w:szCs w:val="32"/>
        </w:rPr>
        <w:t>5948</w:t>
      </w:r>
      <w:r>
        <w:rPr>
          <w:rFonts w:ascii="仿宋_GB2312" w:eastAsia="仿宋_GB2312" w:hAnsi="仿宋_GB2312" w:cs="仿宋_GB2312" w:hint="eastAsia"/>
          <w:kern w:val="0"/>
          <w:sz w:val="32"/>
          <w:szCs w:val="32"/>
        </w:rPr>
        <w:t>亩），有林地面积</w:t>
      </w:r>
      <w:r>
        <w:rPr>
          <w:rFonts w:ascii="仿宋_GB2312" w:eastAsia="仿宋_GB2312" w:hAnsi="仿宋_GB2312" w:cs="仿宋_GB2312"/>
          <w:kern w:val="0"/>
          <w:sz w:val="32"/>
          <w:szCs w:val="32"/>
        </w:rPr>
        <w:t>348.9</w:t>
      </w:r>
      <w:r>
        <w:rPr>
          <w:rFonts w:ascii="仿宋_GB2312" w:eastAsia="仿宋_GB2312" w:hAnsi="仿宋_GB2312" w:cs="仿宋_GB2312" w:hint="eastAsia"/>
          <w:kern w:val="0"/>
          <w:sz w:val="32"/>
          <w:szCs w:val="32"/>
        </w:rPr>
        <w:t>公顷（</w:t>
      </w:r>
      <w:r>
        <w:rPr>
          <w:rFonts w:ascii="仿宋_GB2312" w:eastAsia="仿宋_GB2312" w:hAnsi="仿宋_GB2312" w:cs="仿宋_GB2312"/>
          <w:kern w:val="0"/>
          <w:sz w:val="32"/>
          <w:szCs w:val="32"/>
        </w:rPr>
        <w:t>5234</w:t>
      </w:r>
      <w:r>
        <w:rPr>
          <w:rFonts w:ascii="仿宋_GB2312" w:eastAsia="仿宋_GB2312" w:hAnsi="仿宋_GB2312" w:cs="仿宋_GB2312" w:hint="eastAsia"/>
          <w:kern w:val="0"/>
          <w:sz w:val="32"/>
          <w:szCs w:val="32"/>
        </w:rPr>
        <w:t>亩）。官渡区主要植被类型有半湿润常绿阔叶林、落叶阔叶林、暖温性针叶林、暖温性石灰岩灌丛等。由于林业生态建设任务和义务植树的连续开展，目前官渡区辖区内可用于实施新增造林的地块已非常少，因此林业部门近年实施的林业生态建设任务一般在已有林地基础上，对林相较差的林地开展改造绿化、森林抚育和补植补造；义务植树则分解到辖区各街道，由街道根据其辖区实际情况和需要，自行组织人员实施义务植树。其中，森林抚育和补植补造的实施以不改变林地用途和自然生态为原则，改善林地林相和林木生长状况；对于实施改造绿化的项目，官渡区农林局积极对接涉及街道，充分考虑街道实际情况，以及社区、村小组发展需要，结合打造生态旅游文化景点开展绿化工作，除提升林地生态效益，进一步提升绿化项目的社会和经济效益。</w:t>
      </w:r>
    </w:p>
    <w:p w:rsidR="00E4046F" w:rsidRDefault="00E4046F" w:rsidP="00F705B2">
      <w:pPr>
        <w:numPr>
          <w:ilvl w:val="0"/>
          <w:numId w:val="1"/>
        </w:numPr>
        <w:spacing w:line="560" w:lineRule="exact"/>
        <w:ind w:firstLineChars="200" w:firstLine="31680"/>
        <w:rPr>
          <w:rFonts w:ascii="黑体" w:eastAsia="黑体" w:hAnsi="黑体" w:cs="Times New Roman"/>
          <w:kern w:val="0"/>
          <w:sz w:val="32"/>
          <w:szCs w:val="32"/>
        </w:rPr>
      </w:pPr>
      <w:r>
        <w:rPr>
          <w:rFonts w:ascii="黑体" w:eastAsia="黑体" w:hAnsi="黑体" w:cs="黑体" w:hint="eastAsia"/>
          <w:kern w:val="0"/>
          <w:sz w:val="32"/>
          <w:szCs w:val="32"/>
        </w:rPr>
        <w:t>官渡区结合生态旅游文化景点进行林业生态建设情况</w:t>
      </w:r>
    </w:p>
    <w:p w:rsidR="00E4046F" w:rsidRDefault="00E4046F" w:rsidP="00F705B2">
      <w:pPr>
        <w:spacing w:line="56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hint="eastAsia"/>
          <w:kern w:val="0"/>
          <w:sz w:val="32"/>
          <w:szCs w:val="32"/>
        </w:rPr>
        <w:t>收悉您的提案后，官渡区在今年的冻害桉树改造绿化项目中积极采纳了您的建议，并</w:t>
      </w:r>
      <w:r>
        <w:rPr>
          <w:rFonts w:eastAsia="仿宋_GB2312" w:cs="仿宋_GB2312" w:hint="eastAsia"/>
          <w:kern w:val="0"/>
          <w:sz w:val="32"/>
          <w:szCs w:val="32"/>
        </w:rPr>
        <w:t>本着因地制宜、合理布局、重点突破、提质增效的原则，在改善林地林相和林木生长状况，维持自然生态景观的基础上，根据</w:t>
      </w:r>
      <w:r>
        <w:rPr>
          <w:rFonts w:ascii="仿宋_GB2312" w:eastAsia="仿宋_GB2312" w:hAnsi="仿宋_GB2312" w:cs="仿宋_GB2312" w:hint="eastAsia"/>
          <w:kern w:val="0"/>
          <w:sz w:val="32"/>
          <w:szCs w:val="32"/>
        </w:rPr>
        <w:t>项目涉及的金马街道办事处和小板桥街道办事处实际情况，结合社区、村小组发展需要，对打造生态旅游文化景点进行了综合规划，在提升片区生态效益的基础上，进一步提升该项目的社会效益和经济效益，综合推动生态文明建设。该项目结合打造生态旅游文化景点进行了以下综合规划设计：</w:t>
      </w:r>
    </w:p>
    <w:p w:rsidR="00E4046F" w:rsidRDefault="00E4046F" w:rsidP="00F705B2">
      <w:pPr>
        <w:spacing w:line="560" w:lineRule="exact"/>
        <w:ind w:firstLineChars="199"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涉及金马办事处十里社区</w:t>
      </w:r>
      <w:r>
        <w:rPr>
          <w:rFonts w:ascii="仿宋_GB2312" w:eastAsia="仿宋_GB2312" w:hAnsi="仿宋_GB2312" w:cs="仿宋_GB2312"/>
          <w:kern w:val="0"/>
          <w:sz w:val="32"/>
          <w:szCs w:val="32"/>
        </w:rPr>
        <w:t>47.9</w:t>
      </w:r>
      <w:r>
        <w:rPr>
          <w:rFonts w:ascii="仿宋_GB2312" w:eastAsia="仿宋_GB2312" w:hAnsi="仿宋_GB2312" w:cs="仿宋_GB2312" w:hint="eastAsia"/>
          <w:kern w:val="0"/>
          <w:sz w:val="32"/>
          <w:szCs w:val="32"/>
        </w:rPr>
        <w:t>亩改造面积，根据社区实际情况种植乡土树种十里香茶树，以保护乡土树种并提高绿化经济效益；</w:t>
      </w:r>
    </w:p>
    <w:p w:rsidR="00E4046F" w:rsidRDefault="00E4046F" w:rsidP="00F705B2">
      <w:pPr>
        <w:spacing w:line="560" w:lineRule="exact"/>
        <w:ind w:firstLineChars="199"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小板桥街道办事处茶高山地块</w:t>
      </w:r>
      <w:r>
        <w:rPr>
          <w:rFonts w:ascii="仿宋_GB2312" w:eastAsia="仿宋_GB2312" w:hAnsi="仿宋_GB2312" w:cs="仿宋_GB2312"/>
          <w:kern w:val="0"/>
          <w:sz w:val="32"/>
          <w:szCs w:val="32"/>
        </w:rPr>
        <w:t>243.23</w:t>
      </w:r>
      <w:r>
        <w:rPr>
          <w:rFonts w:ascii="仿宋_GB2312" w:eastAsia="仿宋_GB2312" w:hAnsi="仿宋_GB2312" w:cs="仿宋_GB2312" w:hint="eastAsia"/>
          <w:kern w:val="0"/>
          <w:sz w:val="32"/>
          <w:szCs w:val="32"/>
        </w:rPr>
        <w:t>亩由羊甫社区自行根据实际情况进行绿化施工作业设计等项目具体实施，该片区将种植银杏、云南樱花、红豆杉、雪松、球花石楠、云南樱花、头</w:t>
      </w:r>
      <w:bookmarkStart w:id="0" w:name="_GoBack"/>
      <w:bookmarkEnd w:id="0"/>
      <w:r>
        <w:rPr>
          <w:rFonts w:ascii="仿宋_GB2312" w:eastAsia="仿宋_GB2312" w:hAnsi="仿宋_GB2312" w:cs="仿宋_GB2312" w:hint="eastAsia"/>
          <w:kern w:val="0"/>
          <w:sz w:val="32"/>
          <w:szCs w:val="32"/>
        </w:rPr>
        <w:t>状四照花和黄连木，树种多样，多为季相丰富且适宜本土生长的乡土树种，今后该片区将打造成生态旅游休闲区域。</w:t>
      </w:r>
    </w:p>
    <w:p w:rsidR="00E4046F" w:rsidRDefault="00E4046F" w:rsidP="00F705B2">
      <w:pPr>
        <w:spacing w:line="560" w:lineRule="exact"/>
        <w:ind w:firstLineChars="200" w:firstLine="31680"/>
        <w:rPr>
          <w:rFonts w:ascii="仿宋_GB2312" w:eastAsia="仿宋_GB2312" w:hAnsi="仿宋_GB2312" w:cs="Times New Roman"/>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其余</w:t>
      </w:r>
      <w:r>
        <w:rPr>
          <w:rFonts w:ascii="仿宋_GB2312" w:eastAsia="仿宋_GB2312" w:hAnsi="仿宋_GB2312" w:cs="仿宋_GB2312"/>
          <w:kern w:val="0"/>
          <w:sz w:val="32"/>
          <w:szCs w:val="32"/>
        </w:rPr>
        <w:t>587.87</w:t>
      </w:r>
      <w:r>
        <w:rPr>
          <w:rFonts w:ascii="仿宋_GB2312" w:eastAsia="仿宋_GB2312" w:hAnsi="仿宋_GB2312" w:cs="仿宋_GB2312" w:hint="eastAsia"/>
          <w:kern w:val="0"/>
          <w:sz w:val="32"/>
          <w:szCs w:val="32"/>
        </w:rPr>
        <w:t>亩主要是对冻害桉树采伐后进行一般绿化，经对适宜昆明市生长的树种进行选择，在满足生态需求的基础上，选择了社会、经济效益较好的红豆杉进行种植。</w:t>
      </w:r>
    </w:p>
    <w:p w:rsidR="00E4046F" w:rsidRDefault="00E4046F" w:rsidP="00F705B2">
      <w:pPr>
        <w:spacing w:line="560" w:lineRule="exact"/>
        <w:ind w:firstLineChars="200" w:firstLine="31680"/>
        <w:rPr>
          <w:rFonts w:ascii="仿宋_GB2312" w:eastAsia="仿宋_GB2312" w:cs="仿宋_GB2312"/>
          <w:kern w:val="0"/>
          <w:sz w:val="32"/>
          <w:szCs w:val="32"/>
        </w:rPr>
      </w:pPr>
      <w:r>
        <w:rPr>
          <w:rFonts w:ascii="仿宋_GB2312" w:eastAsia="仿宋_GB2312" w:cs="仿宋_GB2312" w:hint="eastAsia"/>
          <w:color w:val="000000"/>
          <w:kern w:val="0"/>
          <w:sz w:val="32"/>
          <w:szCs w:val="32"/>
        </w:rPr>
        <w:t>感谢您对我们工作的支持和理解，欢迎以后为我们工作多提宝贵意见！</w:t>
      </w:r>
      <w:r>
        <w:rPr>
          <w:rFonts w:ascii="仿宋_GB2312" w:eastAsia="仿宋_GB2312" w:cs="仿宋_GB2312"/>
          <w:kern w:val="0"/>
          <w:sz w:val="32"/>
          <w:szCs w:val="32"/>
        </w:rPr>
        <w:t xml:space="preserve">  </w:t>
      </w:r>
    </w:p>
    <w:p w:rsidR="00E4046F" w:rsidRDefault="00E4046F">
      <w:pPr>
        <w:spacing w:line="560" w:lineRule="exact"/>
        <w:rPr>
          <w:rFonts w:ascii="仿宋_GB2312" w:eastAsia="仿宋_GB2312" w:cs="仿宋_GB2312"/>
          <w:kern w:val="0"/>
          <w:sz w:val="32"/>
          <w:szCs w:val="32"/>
        </w:rPr>
      </w:pPr>
      <w:r>
        <w:rPr>
          <w:rFonts w:ascii="仿宋_GB2312" w:eastAsia="仿宋_GB2312" w:cs="仿宋_GB2312"/>
          <w:kern w:val="0"/>
          <w:sz w:val="32"/>
          <w:szCs w:val="32"/>
        </w:rPr>
        <w:t xml:space="preserve"> </w:t>
      </w:r>
    </w:p>
    <w:p w:rsidR="00E4046F" w:rsidRDefault="00E4046F" w:rsidP="00F705B2">
      <w:pPr>
        <w:spacing w:line="560" w:lineRule="exact"/>
        <w:ind w:firstLineChars="150" w:firstLine="31680"/>
        <w:rPr>
          <w:rFonts w:ascii="仿宋_GB2312" w:eastAsia="仿宋_GB2312" w:hAnsi="宋体" w:cs="Times New Roman"/>
          <w:color w:val="000000"/>
          <w:kern w:val="0"/>
          <w:sz w:val="32"/>
          <w:szCs w:val="32"/>
        </w:rPr>
      </w:pPr>
      <w:r>
        <w:rPr>
          <w:rFonts w:ascii="仿宋_GB2312" w:eastAsia="仿宋_GB2312" w:cs="仿宋_GB2312" w:hint="eastAsia"/>
          <w:kern w:val="0"/>
          <w:sz w:val="32"/>
          <w:szCs w:val="32"/>
        </w:rPr>
        <w:t>联系人：杨敏</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联系电话：</w:t>
      </w:r>
      <w:r>
        <w:rPr>
          <w:rFonts w:ascii="仿宋_GB2312" w:eastAsia="仿宋_GB2312" w:cs="仿宋_GB2312"/>
          <w:kern w:val="0"/>
          <w:sz w:val="32"/>
          <w:szCs w:val="32"/>
        </w:rPr>
        <w:t>67167448</w:t>
      </w:r>
    </w:p>
    <w:p w:rsidR="00E4046F" w:rsidRDefault="00E4046F" w:rsidP="00E05884">
      <w:pPr>
        <w:spacing w:line="560" w:lineRule="exact"/>
        <w:ind w:firstLineChars="200" w:firstLine="31680"/>
        <w:rPr>
          <w:rFonts w:ascii="仿宋_GB2312" w:eastAsia="仿宋_GB2312" w:hAnsi="仿宋_GB2312" w:cs="Times New Roman"/>
          <w:sz w:val="32"/>
          <w:szCs w:val="32"/>
        </w:rPr>
      </w:pPr>
    </w:p>
    <w:p w:rsidR="00E4046F" w:rsidRDefault="00E4046F" w:rsidP="00E05884">
      <w:pPr>
        <w:spacing w:line="560" w:lineRule="exact"/>
        <w:ind w:firstLineChars="200" w:firstLine="31680"/>
        <w:rPr>
          <w:rFonts w:ascii="仿宋_GB2312" w:eastAsia="仿宋_GB2312" w:hAnsi="仿宋_GB2312" w:cs="Times New Roman"/>
          <w:sz w:val="32"/>
          <w:szCs w:val="32"/>
        </w:rPr>
      </w:pPr>
    </w:p>
    <w:p w:rsidR="00E4046F" w:rsidRDefault="00E4046F" w:rsidP="00F705B2">
      <w:pPr>
        <w:spacing w:line="560" w:lineRule="exact"/>
        <w:jc w:val="right"/>
        <w:rPr>
          <w:rFonts w:ascii="仿宋_GB2312" w:eastAsia="仿宋_GB2312" w:hAnsi="宋体" w:cs="Times New Roman"/>
          <w:color w:val="000000"/>
          <w:sz w:val="32"/>
          <w:szCs w:val="32"/>
        </w:rPr>
      </w:pPr>
      <w:r>
        <w:rPr>
          <w:rFonts w:ascii="仿宋_GB2312" w:eastAsia="仿宋_GB2312" w:hAnsi="宋体" w:cs="仿宋_GB2312" w:hint="eastAsia"/>
          <w:color w:val="000000"/>
          <w:sz w:val="32"/>
          <w:szCs w:val="32"/>
        </w:rPr>
        <w:t>昆明市官渡区农林局</w:t>
      </w:r>
    </w:p>
    <w:p w:rsidR="00E4046F" w:rsidRDefault="00E4046F" w:rsidP="00F705B2">
      <w:pPr>
        <w:spacing w:line="560" w:lineRule="exact"/>
        <w:ind w:firstLineChars="1550" w:firstLine="31680"/>
        <w:jc w:val="right"/>
        <w:rPr>
          <w:rFonts w:ascii="仿宋_GB2312" w:eastAsia="仿宋_GB2312" w:hAnsi="宋体" w:cs="Times New Roman"/>
          <w:color w:val="000000"/>
          <w:sz w:val="32"/>
          <w:szCs w:val="32"/>
        </w:rPr>
      </w:pPr>
      <w:r>
        <w:rPr>
          <w:rFonts w:ascii="仿宋_GB2312" w:eastAsia="仿宋_GB2312" w:hAnsi="宋体" w:cs="仿宋_GB2312"/>
          <w:color w:val="000000"/>
          <w:sz w:val="32"/>
          <w:szCs w:val="32"/>
        </w:rPr>
        <w:t>2018</w:t>
      </w:r>
      <w:r>
        <w:rPr>
          <w:rFonts w:ascii="仿宋_GB2312" w:eastAsia="仿宋_GB2312" w:hAnsi="宋体" w:cs="仿宋_GB2312" w:hint="eastAsia"/>
          <w:color w:val="000000"/>
          <w:sz w:val="32"/>
          <w:szCs w:val="32"/>
        </w:rPr>
        <w:t>年</w:t>
      </w:r>
      <w:r>
        <w:rPr>
          <w:rFonts w:ascii="仿宋_GB2312" w:eastAsia="仿宋_GB2312" w:hAnsi="宋体" w:cs="仿宋_GB2312"/>
          <w:color w:val="000000"/>
          <w:sz w:val="32"/>
          <w:szCs w:val="32"/>
        </w:rPr>
        <w:t>5</w:t>
      </w:r>
      <w:r>
        <w:rPr>
          <w:rFonts w:ascii="仿宋_GB2312" w:eastAsia="仿宋_GB2312" w:hAnsi="宋体" w:cs="仿宋_GB2312" w:hint="eastAsia"/>
          <w:color w:val="000000"/>
          <w:sz w:val="32"/>
          <w:szCs w:val="32"/>
        </w:rPr>
        <w:t>月</w:t>
      </w:r>
      <w:r>
        <w:rPr>
          <w:rFonts w:ascii="仿宋_GB2312" w:eastAsia="仿宋_GB2312" w:hAnsi="宋体" w:cs="仿宋_GB2312"/>
          <w:color w:val="000000"/>
          <w:sz w:val="32"/>
          <w:szCs w:val="32"/>
        </w:rPr>
        <w:t>10</w:t>
      </w:r>
      <w:r>
        <w:rPr>
          <w:rFonts w:ascii="仿宋_GB2312" w:eastAsia="仿宋_GB2312" w:hAnsi="宋体" w:cs="仿宋_GB2312" w:hint="eastAsia"/>
          <w:color w:val="000000"/>
          <w:sz w:val="32"/>
          <w:szCs w:val="32"/>
        </w:rPr>
        <w:t>日</w:t>
      </w:r>
    </w:p>
    <w:p w:rsidR="00E4046F" w:rsidRPr="00F705B2" w:rsidRDefault="00E4046F" w:rsidP="00E05884">
      <w:pPr>
        <w:spacing w:line="560" w:lineRule="exact"/>
        <w:ind w:firstLineChars="200" w:firstLine="31680"/>
        <w:rPr>
          <w:rFonts w:ascii="仿宋_GB2312" w:eastAsia="仿宋_GB2312" w:hAnsi="仿宋_GB2312" w:cs="Times New Roman"/>
          <w:sz w:val="32"/>
          <w:szCs w:val="32"/>
        </w:rPr>
      </w:pPr>
    </w:p>
    <w:sectPr w:rsidR="00E4046F" w:rsidRPr="00F705B2" w:rsidSect="008E202A">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46F" w:rsidRDefault="00E4046F" w:rsidP="008E202A">
      <w:pPr>
        <w:rPr>
          <w:rFonts w:cs="Times New Roman"/>
        </w:rPr>
      </w:pPr>
      <w:r>
        <w:rPr>
          <w:rFonts w:cs="Times New Roman"/>
        </w:rPr>
        <w:separator/>
      </w:r>
    </w:p>
  </w:endnote>
  <w:endnote w:type="continuationSeparator" w:id="0">
    <w:p w:rsidR="00E4046F" w:rsidRDefault="00E4046F" w:rsidP="008E202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6F" w:rsidRDefault="00E4046F">
    <w:pPr>
      <w:pStyle w:val="Footer"/>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E4046F" w:rsidRDefault="00E4046F">
                <w:pPr>
                  <w:snapToGrid w:val="0"/>
                  <w:rPr>
                    <w:rFonts w:cs="Times New Roman"/>
                    <w:sz w:val="18"/>
                    <w:szCs w:val="1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46F" w:rsidRDefault="00E4046F" w:rsidP="008E202A">
      <w:pPr>
        <w:rPr>
          <w:rFonts w:cs="Times New Roman"/>
        </w:rPr>
      </w:pPr>
      <w:r>
        <w:rPr>
          <w:rFonts w:cs="Times New Roman"/>
        </w:rPr>
        <w:separator/>
      </w:r>
    </w:p>
  </w:footnote>
  <w:footnote w:type="continuationSeparator" w:id="0">
    <w:p w:rsidR="00E4046F" w:rsidRDefault="00E4046F" w:rsidP="008E202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46F" w:rsidRDefault="00E4046F">
    <w:pPr>
      <w:pStyle w:val="Header"/>
      <w:pBdr>
        <w:top w:val="none" w:sz="0" w:space="0" w:color="auto"/>
        <w:left w:val="none" w:sz="0" w:space="0" w:color="auto"/>
        <w:bottom w:val="none" w:sz="0" w:space="0" w:color="auto"/>
        <w:right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F532D3"/>
    <w:multiLevelType w:val="singleLevel"/>
    <w:tmpl w:val="5AF532D3"/>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3DA46A7"/>
    <w:rsid w:val="004653E6"/>
    <w:rsid w:val="004748D9"/>
    <w:rsid w:val="008E202A"/>
    <w:rsid w:val="00E05884"/>
    <w:rsid w:val="00E4046F"/>
    <w:rsid w:val="00F705B2"/>
    <w:rsid w:val="0A75741A"/>
    <w:rsid w:val="0AFD1F83"/>
    <w:rsid w:val="1556245C"/>
    <w:rsid w:val="15A80971"/>
    <w:rsid w:val="18517A41"/>
    <w:rsid w:val="2B5822BC"/>
    <w:rsid w:val="38BA7476"/>
    <w:rsid w:val="3CC46124"/>
    <w:rsid w:val="427F1DA3"/>
    <w:rsid w:val="43DA46A7"/>
    <w:rsid w:val="4437741D"/>
    <w:rsid w:val="4C8E344E"/>
    <w:rsid w:val="505105EF"/>
    <w:rsid w:val="56554353"/>
    <w:rsid w:val="6258031C"/>
    <w:rsid w:val="634F59D6"/>
    <w:rsid w:val="64E63EAA"/>
    <w:rsid w:val="6CD74037"/>
    <w:rsid w:val="6D87717E"/>
    <w:rsid w:val="6DEB74CE"/>
    <w:rsid w:val="72CA1B02"/>
    <w:rsid w:val="7C212412"/>
    <w:rsid w:val="7EF36DB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2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E202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6A4F06"/>
    <w:rPr>
      <w:rFonts w:cs="Calibri"/>
      <w:sz w:val="18"/>
      <w:szCs w:val="18"/>
    </w:rPr>
  </w:style>
  <w:style w:type="paragraph" w:styleId="Header">
    <w:name w:val="header"/>
    <w:basedOn w:val="Normal"/>
    <w:link w:val="HeaderChar"/>
    <w:uiPriority w:val="99"/>
    <w:rsid w:val="008E202A"/>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rsid w:val="006A4F06"/>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201</Words>
  <Characters>1147</Characters>
  <Application>Microsoft Office Outlook</Application>
  <DocSecurity>0</DocSecurity>
  <Lines>0</Lines>
  <Paragraphs>0</Paragraphs>
  <ScaleCrop>false</ScaleCrop>
  <Company>昆明市官渡区党政机关单位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cp:lastPrinted>2018-06-27T06:38:00Z</cp:lastPrinted>
  <dcterms:created xsi:type="dcterms:W3CDTF">2018-05-11T05:34:00Z</dcterms:created>
  <dcterms:modified xsi:type="dcterms:W3CDTF">2018-06-27T06:38:00Z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