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958" w:type="dxa"/>
        <w:tblInd w:w="64" w:type="dxa"/>
        <w:tblLayout w:type="fixed"/>
        <w:tblCellMar>
          <w:top w:w="0" w:type="dxa"/>
          <w:left w:w="0" w:type="dxa"/>
          <w:bottom w:w="0" w:type="dxa"/>
          <w:right w:w="0" w:type="dxa"/>
        </w:tblCellMar>
      </w:tblPr>
      <w:tblGrid>
        <w:gridCol w:w="518"/>
        <w:gridCol w:w="567"/>
        <w:gridCol w:w="1470"/>
        <w:gridCol w:w="1559"/>
        <w:gridCol w:w="993"/>
        <w:gridCol w:w="993"/>
        <w:gridCol w:w="1134"/>
        <w:gridCol w:w="1134"/>
        <w:gridCol w:w="3825"/>
        <w:gridCol w:w="1225"/>
        <w:gridCol w:w="540"/>
      </w:tblGrid>
      <w:tr>
        <w:tblPrEx>
          <w:tblCellMar>
            <w:top w:w="0" w:type="dxa"/>
            <w:left w:w="0" w:type="dxa"/>
            <w:bottom w:w="0" w:type="dxa"/>
            <w:right w:w="0" w:type="dxa"/>
          </w:tblCellMar>
        </w:tblPrEx>
        <w:trPr>
          <w:cantSplit/>
          <w:trHeight w:val="1150" w:hRule="exact"/>
          <w:tblHeader/>
        </w:trPr>
        <w:tc>
          <w:tcPr>
            <w:tcW w:w="13958" w:type="dxa"/>
            <w:gridSpan w:val="11"/>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官渡区市场监督管理局 官渡区人力资源和社会保障局 官渡区卫生健康局 昆明市生态环境局官渡分局2020部门联合抽查事项清单</w:t>
            </w:r>
          </w:p>
        </w:tc>
      </w:tr>
      <w:tr>
        <w:tblPrEx>
          <w:tblCellMar>
            <w:top w:w="0" w:type="dxa"/>
            <w:left w:w="0" w:type="dxa"/>
            <w:bottom w:w="0" w:type="dxa"/>
            <w:right w:w="0" w:type="dxa"/>
          </w:tblCellMar>
        </w:tblPrEx>
        <w:trPr>
          <w:cantSplit/>
          <w:trHeight w:val="454" w:hRule="exact"/>
          <w:tblHeader/>
        </w:trPr>
        <w:tc>
          <w:tcPr>
            <w:tcW w:w="51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序号</w:t>
            </w:r>
          </w:p>
        </w:tc>
        <w:tc>
          <w:tcPr>
            <w:tcW w:w="5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部门</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抽查项目</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事项类别</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检查对象</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检查方式</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检查主体</w:t>
            </w:r>
          </w:p>
        </w:tc>
        <w:tc>
          <w:tcPr>
            <w:tcW w:w="3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检查依据</w:t>
            </w:r>
          </w:p>
        </w:tc>
        <w:tc>
          <w:tcPr>
            <w:tcW w:w="12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适用区域</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22"/>
              </w:rPr>
              <w:t>备注</w:t>
            </w:r>
          </w:p>
        </w:tc>
      </w:tr>
      <w:tr>
        <w:tblPrEx>
          <w:tblCellMar>
            <w:top w:w="0" w:type="dxa"/>
            <w:left w:w="0" w:type="dxa"/>
            <w:bottom w:w="0" w:type="dxa"/>
            <w:right w:w="0" w:type="dxa"/>
          </w:tblCellMar>
        </w:tblPrEx>
        <w:trPr>
          <w:cantSplit/>
          <w:trHeight w:val="568" w:hRule="exact"/>
          <w:tblHeader/>
        </w:trPr>
        <w:tc>
          <w:tcPr>
            <w:tcW w:w="518"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56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4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22"/>
              </w:rPr>
            </w:pPr>
            <w:r>
              <w:rPr>
                <w:rFonts w:hint="eastAsia" w:ascii="方正黑体_GBK" w:hAnsi="方正黑体_GBK" w:eastAsia="方正黑体_GBK" w:cs="方正黑体_GBK"/>
                <w:b/>
                <w:bCs/>
                <w:kern w:val="0"/>
                <w:sz w:val="22"/>
              </w:rPr>
              <w:t>抽查类别</w:t>
            </w:r>
          </w:p>
        </w:tc>
        <w:tc>
          <w:tcPr>
            <w:tcW w:w="15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kern w:val="0"/>
                <w:sz w:val="18"/>
                <w:szCs w:val="18"/>
              </w:rPr>
            </w:pPr>
            <w:r>
              <w:rPr>
                <w:rFonts w:hint="eastAsia" w:ascii="方正黑体_GBK" w:hAnsi="方正黑体_GBK" w:eastAsia="方正黑体_GBK" w:cs="方正黑体_GBK"/>
                <w:b/>
                <w:bCs/>
                <w:kern w:val="0"/>
                <w:sz w:val="22"/>
              </w:rPr>
              <w:t>抽查事项</w:t>
            </w: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38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2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5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heme="minorEastAsia" w:hAnsiTheme="minorEastAsia" w:cstheme="minorEastAsia"/>
                <w:b/>
                <w:bCs/>
                <w:kern w:val="0"/>
                <w:sz w:val="22"/>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 1</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官渡区市场监督管理局（1类8项)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sz w:val="20"/>
                <w:szCs w:val="20"/>
              </w:rPr>
            </w:pPr>
            <w:r>
              <w:rPr>
                <w:rFonts w:hint="eastAsia" w:asciiTheme="minorEastAsia" w:hAnsiTheme="minorEastAsia" w:cstheme="minorEastAsia"/>
                <w:kern w:val="0"/>
                <w:sz w:val="20"/>
                <w:szCs w:val="20"/>
              </w:rPr>
              <w:t>登记事项检查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营业执照（登记证）规范使用情况的检查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企业、个体工商户、农民专业合作社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《公司登记管理条例》第七十一条、第七十二条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《合伙企业登记管理办法》第四十三条、第四十四条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《外商投资合伙企业登记管理规定》第五十七条、第五十八条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《个人独资企业法》第三十五条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《个人独资企业登记管理办法》第四十条、第四十一条、第四十二条、第四十三条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《个体工商户条例》第二十二条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《农民专业合作社登记管理条例》第二十七条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《外国企业常驻代表机构登记管理条例》第十八条、第十九条、第三十六条第三款、第三十八条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《电子商务法》第十五条</w:t>
            </w:r>
          </w:p>
        </w:tc>
        <w:tc>
          <w:tcPr>
            <w:tcW w:w="1225" w:type="dxa"/>
            <w:vMerge w:val="restart"/>
            <w:tcBorders>
              <w:top w:val="single" w:color="000000"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名称规范使用情况的检查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企业、个体工商户、农民专业合作社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《企业名称登记管理规定》第二十六条、二十七条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《个体工商户条例》第二十三条第一款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《农民专业合作社登记管理条例》第二十七条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《外国企业常驻代表机构登记管理条例》第三十八条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《个人独资企业法》第三十四条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《合伙企业法》第九十四条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《合伙企业登记管理办法》第四十条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《外商投资合伙企业登记管理规定》第五十四条</w:t>
            </w:r>
          </w:p>
        </w:tc>
        <w:tc>
          <w:tcPr>
            <w:tcW w:w="1225"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w:t>
            </w:r>
          </w:p>
        </w:tc>
        <w:tc>
          <w:tcPr>
            <w:tcW w:w="567"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官渡区市场监督管理局（1类8项)</w:t>
            </w:r>
          </w:p>
        </w:tc>
        <w:tc>
          <w:tcPr>
            <w:tcW w:w="1470"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登记事项检查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经营（驻在）期限的检查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企业、个体工商户、农民专业合作社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《公司法》第二百一十一条第二款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《公司登记管理条例》第六十八条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《合伙企业法》第九十五条第二款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《合伙企业登记管理办法》第三十九条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《外国企业常驻代表机构登记管理条例》第十六条、第三十五条第二款、第三十八条</w:t>
            </w:r>
          </w:p>
        </w:tc>
        <w:tc>
          <w:tcPr>
            <w:tcW w:w="1225" w:type="dxa"/>
            <w:vMerge w:val="restart"/>
            <w:tcBorders>
              <w:top w:val="single" w:color="000000"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经营（业务）范围中无需审批的经营（业务） 项目的检查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企业、个体工商户、农民专业合作社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《公司法》第二百一十一条第二款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《公司登记管理条例》第六十八条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《合伙企业法》第九十五条第二款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《个人独资企业法》第三十七条第二款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《合伙企业登记管理办法》第三十九条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《个人独资企业登记管理办法》第三十八条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《个体工商户条例》第二十三条第一款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《农民专业合作社登记管理条例》第二十七条第二十八条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《外国企业常驻代表机构登记管理条例》第三十五条第二款、第三十七条、第三十八条</w:t>
            </w:r>
          </w:p>
        </w:tc>
        <w:tc>
          <w:tcPr>
            <w:tcW w:w="1225"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w:t>
            </w:r>
          </w:p>
        </w:tc>
        <w:tc>
          <w:tcPr>
            <w:tcW w:w="567"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官渡区市场监督管理局（1类8项)</w:t>
            </w: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登记事项检查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住 所（ 经营场所）或驻在场所的检查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企业、个体工商户、农民专业合作社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《公司法》第二百一十一条第二款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《公司登记管理条例》第六十八条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《合伙企业法》第九十五条第二款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《个人独资企业法》第三十七条第二款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《合伙企业登记管理办法》第三十九条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《个人独资企业登记管理办法》第三十八条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《个体工商户条例》第二十三条第一款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《农民专业合作社登记管理条例》第二十七条第二十八条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《外国企业常驻代表机构登记管理条例》第三十五条第二款、第三十七条、第三十八条</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6</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官渡区市场监督管理局（1类8项)</w:t>
            </w:r>
          </w:p>
        </w:tc>
        <w:tc>
          <w:tcPr>
            <w:tcW w:w="1470"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kern w:val="0"/>
                <w:sz w:val="20"/>
                <w:szCs w:val="20"/>
              </w:rPr>
              <w:t>登记事项检查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注册资本实缴情况的检查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《国务院关于印发注册资本登记制度改革方案的通知》明确的暂不实行注册资本认缴登记制的行业企业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《公司法》第一百九十八条至第二百条、第二百一十一条第二款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《公司登记管理条例》第六十三条、第六十五条、第六十六条、第六十八条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《合伙企业法》第九十五条第二款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《个人独资企业法》第三十七条第二款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《合伙企业登记管理办法》第三十九条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《个人独资企业登记管理办法》第三十八条</w:t>
            </w:r>
          </w:p>
        </w:tc>
        <w:tc>
          <w:tcPr>
            <w:tcW w:w="1225" w:type="dxa"/>
            <w:vMerge w:val="restart"/>
            <w:tcBorders>
              <w:top w:val="single" w:color="000000"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65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7</w:t>
            </w:r>
          </w:p>
        </w:tc>
        <w:tc>
          <w:tcPr>
            <w:tcW w:w="567" w:type="dxa"/>
            <w:vMerge w:val="continue"/>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470" w:type="dxa"/>
            <w:vMerge w:val="continue"/>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法定代表人（负责人）任职情况的检查</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《企业法人登记管理条例》第二十九条第一款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《企业法人法定代表人登记管理规定》第十二条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《公司法》第二百一十一条第二款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《公司登记管理条例》第六十八条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《合伙企业法》第九十五条第二款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《合伙企业登记管理办法》第三十九条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《外商投资合伙企业登记管理规定》第五十三条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《个人独资企业法》第三十七条第二款</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《个人独资企业登记管理办法》第三十八条</w:t>
            </w:r>
          </w:p>
        </w:tc>
        <w:tc>
          <w:tcPr>
            <w:tcW w:w="1225"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8</w:t>
            </w:r>
          </w:p>
        </w:tc>
        <w:tc>
          <w:tcPr>
            <w:tcW w:w="567"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470" w:type="dxa"/>
            <w:vMerge w:val="restart"/>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法定代表人、自然人股东身份真实性的检查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官渡区市场监督管理局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《公司法》第一百九十八条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《合伙企业法》第九十三条</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《个人独资企业法》第三十三条</w:t>
            </w:r>
          </w:p>
        </w:tc>
        <w:tc>
          <w:tcPr>
            <w:tcW w:w="1225" w:type="dxa"/>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9</w:t>
            </w:r>
          </w:p>
        </w:tc>
        <w:tc>
          <w:tcPr>
            <w:tcW w:w="567"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官渡区人力资源和社会保障局(1类5项)</w:t>
            </w:r>
          </w:p>
          <w:p>
            <w:pPr>
              <w:spacing w:line="240" w:lineRule="exact"/>
              <w:jc w:val="center"/>
              <w:rPr>
                <w:rFonts w:asciiTheme="minorEastAsia" w:hAnsiTheme="minorEastAsia" w:cstheme="minorEastAsia"/>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对社会保险经办机构以及医疗机构、药品经营单位等社会保险服务机构以欺诈、伪造证明材料或者其他手段骗取社会保险基金支出的检查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社会保险经办机构以及医疗机构、药品经营单位等社会保险服务机构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w:t>
            </w:r>
            <w:r>
              <w:rPr>
                <w:rFonts w:hint="eastAsia" w:asciiTheme="minorEastAsia" w:hAnsiTheme="minorEastAsia" w:cstheme="minorEastAsia"/>
                <w:kern w:val="0"/>
                <w:sz w:val="20"/>
                <w:szCs w:val="20"/>
                <w:lang w:val="en-US" w:eastAsia="zh-CN"/>
              </w:rPr>
              <w:t>两倍</w:t>
            </w:r>
            <w:bookmarkStart w:id="0" w:name="_GoBack"/>
            <w:bookmarkEnd w:id="0"/>
            <w:r>
              <w:rPr>
                <w:rFonts w:hint="eastAsia" w:asciiTheme="minorEastAsia" w:hAnsiTheme="minorEastAsia" w:cstheme="minorEastAsia"/>
                <w:kern w:val="0"/>
                <w:sz w:val="20"/>
                <w:szCs w:val="20"/>
              </w:rPr>
              <w:t>以上五倍以下的罚款；属于社会保险服务机构的，解除服务协议；直接负责的主管人员和其他直接责任人员有执业资格的，依法吊销其执业资格。</w:t>
            </w:r>
          </w:p>
        </w:tc>
        <w:tc>
          <w:tcPr>
            <w:tcW w:w="1225"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10</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社会保险</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对用人单位、工伤职工或者其近亲属骗取工伤保险待遇，医疗机构、辅助器具配置机构骗取工伤保险基金支出的检查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1225"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11</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社会保险</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医疗机构、辅助器具配置机构是否存在骗取工伤保险基金支出的行为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《工伤保险条例》第60条</w:t>
            </w:r>
          </w:p>
        </w:tc>
        <w:tc>
          <w:tcPr>
            <w:tcW w:w="1225"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12</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stheme="minorEastAsia"/>
                <w:sz w:val="20"/>
                <w:szCs w:val="20"/>
              </w:rPr>
            </w:pP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社会保险</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对未按规定从缴费个人工资中代扣代缴社会保险费的检查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1225"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13</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社会保险</w:t>
            </w:r>
          </w:p>
        </w:tc>
        <w:tc>
          <w:tcPr>
            <w:tcW w:w="1559"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对用人单位依照法律法规规定应当参加工伤保险而未参加的检查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1225"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14</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官渡区卫生健康局1类10项）</w:t>
            </w: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医疗卫生</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机构监督</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检查</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机构资质</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《医疗机构管理条例》第八条、第九条、第十条、第十五条、第十六条、第十七条、第十八条、第十九条、第二十条、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第二十一条、第二十二条、第二十三条、第四十四条</w:t>
            </w:r>
          </w:p>
          <w:p>
            <w:pPr>
              <w:widowControl/>
              <w:spacing w:line="240" w:lineRule="exact"/>
              <w:textAlignment w:val="center"/>
              <w:rPr>
                <w:rFonts w:asciiTheme="minorEastAsia" w:hAnsiTheme="minorEastAsia" w:cstheme="minorEastAsia"/>
                <w:kern w:val="0"/>
                <w:sz w:val="20"/>
                <w:szCs w:val="20"/>
              </w:rPr>
            </w:pPr>
          </w:p>
        </w:tc>
        <w:tc>
          <w:tcPr>
            <w:tcW w:w="1225"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15</w:t>
            </w:r>
          </w:p>
        </w:tc>
        <w:tc>
          <w:tcPr>
            <w:tcW w:w="567"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医护人员资质</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《执业医师法》第十三条、第十四条、第十七条、第十八条</w:t>
            </w:r>
          </w:p>
        </w:tc>
        <w:tc>
          <w:tcPr>
            <w:tcW w:w="1225"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16</w:t>
            </w:r>
          </w:p>
        </w:tc>
        <w:tc>
          <w:tcPr>
            <w:tcW w:w="567"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医疗卫生</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机构监督</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医疗机构名称</w:t>
            </w:r>
            <w:r>
              <w:rPr>
                <w:rFonts w:hint="eastAsia" w:asciiTheme="minorEastAsia" w:hAnsiTheme="minorEastAsia"/>
                <w:sz w:val="20"/>
                <w:szCs w:val="20"/>
              </w:rPr>
              <w:br w:type="textWrapping"/>
            </w:r>
            <w:r>
              <w:rPr>
                <w:rFonts w:hint="eastAsia" w:asciiTheme="minorEastAsia" w:hAnsiTheme="minorEastAsia"/>
                <w:sz w:val="20"/>
                <w:szCs w:val="20"/>
              </w:rPr>
              <w:t>使用及医疗服</w:t>
            </w:r>
            <w:r>
              <w:rPr>
                <w:rFonts w:hint="eastAsia" w:asciiTheme="minorEastAsia" w:hAnsiTheme="minorEastAsia"/>
                <w:sz w:val="20"/>
                <w:szCs w:val="20"/>
              </w:rPr>
              <w:br w:type="textWrapping"/>
            </w:r>
            <w:r>
              <w:rPr>
                <w:rFonts w:hint="eastAsia" w:asciiTheme="minorEastAsia" w:hAnsiTheme="minorEastAsia"/>
                <w:sz w:val="20"/>
                <w:szCs w:val="20"/>
              </w:rPr>
              <w:t>务收费公示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《云南省医疗机构管理条例》第十七条、《医疗机构管理条例》第二十六条</w:t>
            </w:r>
          </w:p>
        </w:tc>
        <w:tc>
          <w:tcPr>
            <w:tcW w:w="1225"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17</w:t>
            </w:r>
          </w:p>
        </w:tc>
        <w:tc>
          <w:tcPr>
            <w:tcW w:w="567"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麻醉管理</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《麻醉药品和精神药品管理条例》第三十六条、《麻醉药品和精神药品管理条例》第第四十条、四十一条、第四十二条、第四十七条、第四十八条、《医疗机构麻醉药品、第一类精神药品管理规定》二十四条</w:t>
            </w:r>
          </w:p>
        </w:tc>
        <w:tc>
          <w:tcPr>
            <w:tcW w:w="1225"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18</w:t>
            </w:r>
          </w:p>
        </w:tc>
        <w:tc>
          <w:tcPr>
            <w:tcW w:w="567" w:type="dxa"/>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官渡区卫生健康局（1类10项）</w:t>
            </w:r>
          </w:p>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放射卫生</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《放射诊疗管理规定》第十六条、第十七条、第二十三条</w:t>
            </w:r>
          </w:p>
        </w:tc>
        <w:tc>
          <w:tcPr>
            <w:tcW w:w="1225"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19</w:t>
            </w:r>
          </w:p>
        </w:tc>
        <w:tc>
          <w:tcPr>
            <w:tcW w:w="567"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医疗美容项目</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《医疗美容服务管理办法》第十条、第十一条、第十二条、第十三条、第二十三条</w:t>
            </w:r>
          </w:p>
        </w:tc>
        <w:tc>
          <w:tcPr>
            <w:tcW w:w="1225"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20</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医疗卫生</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机构监督</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使用的药品器械是否符合国家相关规定</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医疗机构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官渡区卫生健康局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《医疗器械监督管理条例》第三十四条、第三十五条、第三十六第、三十七条、第三十八条、第四十条、第四十七条</w:t>
            </w:r>
          </w:p>
        </w:tc>
        <w:tc>
          <w:tcPr>
            <w:tcW w:w="1225"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昆明市官渡区</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21</w:t>
            </w:r>
          </w:p>
        </w:tc>
        <w:tc>
          <w:tcPr>
            <w:tcW w:w="567" w:type="dxa"/>
            <w:vMerge w:val="restart"/>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昆明市生态环境局官渡分局（2类3项）</w:t>
            </w:r>
          </w:p>
        </w:tc>
        <w:tc>
          <w:tcPr>
            <w:tcW w:w="1470"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对排放污染物的企业事业单位和其他生产经营者的行政检查</w:t>
            </w:r>
          </w:p>
        </w:tc>
        <w:tc>
          <w:tcPr>
            <w:tcW w:w="1559"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对排放污染物的企业事业单位和其他生产经营者的监督检查和监测</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污染排放企业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官渡区生态环境主管部门</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《中华人民共和国环境保护法》第二十四条；《中华人民共和国水污染防治法》第三十条、第五十条。《畜禽规模养殖污染防治条例》（国务院第643号令）第二十三条。</w:t>
            </w:r>
          </w:p>
        </w:tc>
        <w:tc>
          <w:tcPr>
            <w:tcW w:w="1225"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1910"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22</w:t>
            </w:r>
          </w:p>
        </w:tc>
        <w:tc>
          <w:tcPr>
            <w:tcW w:w="567" w:type="dxa"/>
            <w:vMerge w:val="continue"/>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固体废物、危险废物产生、转移、处置情况的监督检查</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对产生、收集、贮存、运输、利用、处置危险废物单位的监督检查；对固体废物污染环境防治工作的检查、指导和督促</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一般检查事项</w:t>
            </w:r>
          </w:p>
        </w:tc>
        <w:tc>
          <w:tcPr>
            <w:tcW w:w="993"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污染排放企业</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34"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官渡区生态环境主管部门</w:t>
            </w:r>
          </w:p>
        </w:tc>
        <w:tc>
          <w:tcPr>
            <w:tcW w:w="3825"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《中华人民共和国固体废物污染环境防治法》第六十二条。《危险废物经营许可证管理办法》（国务院第408号令）第十七条。</w:t>
            </w:r>
          </w:p>
        </w:tc>
        <w:tc>
          <w:tcPr>
            <w:tcW w:w="1225"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p>
            <w:pPr>
              <w:widowControl/>
              <w:spacing w:line="240" w:lineRule="exact"/>
              <w:textAlignment w:val="center"/>
              <w:rPr>
                <w:rFonts w:asciiTheme="minorEastAsia" w:hAnsiTheme="minorEastAsia" w:cstheme="minorEastAsia"/>
                <w:kern w:val="0"/>
                <w:sz w:val="20"/>
                <w:szCs w:val="20"/>
              </w:rPr>
            </w:pPr>
          </w:p>
        </w:tc>
      </w:tr>
      <w:tr>
        <w:tblPrEx>
          <w:tblCellMar>
            <w:top w:w="0" w:type="dxa"/>
            <w:left w:w="0" w:type="dxa"/>
            <w:bottom w:w="0" w:type="dxa"/>
            <w:right w:w="0" w:type="dxa"/>
          </w:tblCellMar>
        </w:tblPrEx>
        <w:trPr>
          <w:trHeight w:val="93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23</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对医疗卫生机构和医疗废物集中处置单位环境污染防治工作的监督检查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sz w:val="20"/>
                <w:szCs w:val="20"/>
              </w:rPr>
            </w:pPr>
            <w:r>
              <w:rPr>
                <w:rFonts w:hint="eastAsia" w:asciiTheme="minorEastAsia" w:hAnsiTheme="minorEastAsia"/>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污染排放企业</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官渡区生态环境主管部门</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《医疗废物管理条例》（国务院第380号令）第三十六条。</w:t>
            </w:r>
          </w:p>
        </w:tc>
        <w:tc>
          <w:tcPr>
            <w:tcW w:w="1225" w:type="dxa"/>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textAlignment w:val="center"/>
              <w:rPr>
                <w:rFonts w:asciiTheme="minorEastAsia" w:hAnsiTheme="minorEastAsia" w:cstheme="minorEastAsia"/>
                <w:kern w:val="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bl>
    <w:p>
      <w:pPr>
        <w:rPr>
          <w:rFonts w:asciiTheme="minorEastAsia" w:hAnsiTheme="minorEastAsia" w:cstheme="minorEastAsia"/>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127"/>
    <w:rsid w:val="00010A1B"/>
    <w:rsid w:val="00025F99"/>
    <w:rsid w:val="000261F6"/>
    <w:rsid w:val="00026C0B"/>
    <w:rsid w:val="00034283"/>
    <w:rsid w:val="00055155"/>
    <w:rsid w:val="00065380"/>
    <w:rsid w:val="000671AB"/>
    <w:rsid w:val="0007410F"/>
    <w:rsid w:val="000905E1"/>
    <w:rsid w:val="000924EF"/>
    <w:rsid w:val="0009251F"/>
    <w:rsid w:val="00097CBE"/>
    <w:rsid w:val="000B7162"/>
    <w:rsid w:val="000C07AF"/>
    <w:rsid w:val="000C40AB"/>
    <w:rsid w:val="001064D5"/>
    <w:rsid w:val="00124DC9"/>
    <w:rsid w:val="00125F53"/>
    <w:rsid w:val="0014190B"/>
    <w:rsid w:val="00151AE0"/>
    <w:rsid w:val="00164A2E"/>
    <w:rsid w:val="00174EDC"/>
    <w:rsid w:val="0018173A"/>
    <w:rsid w:val="001817AB"/>
    <w:rsid w:val="00183E49"/>
    <w:rsid w:val="00185A26"/>
    <w:rsid w:val="00186E9B"/>
    <w:rsid w:val="00191855"/>
    <w:rsid w:val="001A2BDD"/>
    <w:rsid w:val="001A62C0"/>
    <w:rsid w:val="001B7203"/>
    <w:rsid w:val="001C119E"/>
    <w:rsid w:val="001C6BC9"/>
    <w:rsid w:val="001D6D21"/>
    <w:rsid w:val="001E1352"/>
    <w:rsid w:val="001F413A"/>
    <w:rsid w:val="002023DE"/>
    <w:rsid w:val="00205AF0"/>
    <w:rsid w:val="00226E71"/>
    <w:rsid w:val="0024100C"/>
    <w:rsid w:val="00255C05"/>
    <w:rsid w:val="0026217A"/>
    <w:rsid w:val="00264728"/>
    <w:rsid w:val="002721C9"/>
    <w:rsid w:val="002756E7"/>
    <w:rsid w:val="002850B4"/>
    <w:rsid w:val="00293706"/>
    <w:rsid w:val="00294041"/>
    <w:rsid w:val="002A00DD"/>
    <w:rsid w:val="002A6036"/>
    <w:rsid w:val="002C1B2A"/>
    <w:rsid w:val="002D79DE"/>
    <w:rsid w:val="0030796A"/>
    <w:rsid w:val="00323FBB"/>
    <w:rsid w:val="00326BB3"/>
    <w:rsid w:val="00347376"/>
    <w:rsid w:val="00355FBE"/>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31F2"/>
    <w:rsid w:val="00475032"/>
    <w:rsid w:val="00483B99"/>
    <w:rsid w:val="00485B75"/>
    <w:rsid w:val="00485BCF"/>
    <w:rsid w:val="004908F4"/>
    <w:rsid w:val="004959B1"/>
    <w:rsid w:val="004969F6"/>
    <w:rsid w:val="004A1769"/>
    <w:rsid w:val="004A6871"/>
    <w:rsid w:val="004B15F9"/>
    <w:rsid w:val="004C7F1C"/>
    <w:rsid w:val="004D2699"/>
    <w:rsid w:val="004F6559"/>
    <w:rsid w:val="005043FF"/>
    <w:rsid w:val="00510EEA"/>
    <w:rsid w:val="0051672F"/>
    <w:rsid w:val="00524912"/>
    <w:rsid w:val="00527C81"/>
    <w:rsid w:val="005377EE"/>
    <w:rsid w:val="00557F3D"/>
    <w:rsid w:val="005612F0"/>
    <w:rsid w:val="00561DBE"/>
    <w:rsid w:val="00571988"/>
    <w:rsid w:val="005C3DBD"/>
    <w:rsid w:val="005D6FA3"/>
    <w:rsid w:val="005E302D"/>
    <w:rsid w:val="005E3511"/>
    <w:rsid w:val="005E7C57"/>
    <w:rsid w:val="005F0EB1"/>
    <w:rsid w:val="005F5511"/>
    <w:rsid w:val="005F6C16"/>
    <w:rsid w:val="00610095"/>
    <w:rsid w:val="00610D70"/>
    <w:rsid w:val="00630FD2"/>
    <w:rsid w:val="006324F6"/>
    <w:rsid w:val="00636BA2"/>
    <w:rsid w:val="00644023"/>
    <w:rsid w:val="006455CE"/>
    <w:rsid w:val="0064628D"/>
    <w:rsid w:val="00650121"/>
    <w:rsid w:val="00665127"/>
    <w:rsid w:val="00681B54"/>
    <w:rsid w:val="006B03E5"/>
    <w:rsid w:val="006B0A5E"/>
    <w:rsid w:val="006B7735"/>
    <w:rsid w:val="006D187E"/>
    <w:rsid w:val="006E4D66"/>
    <w:rsid w:val="006E75CE"/>
    <w:rsid w:val="006F2AA4"/>
    <w:rsid w:val="006F65C5"/>
    <w:rsid w:val="0074497C"/>
    <w:rsid w:val="00750D1E"/>
    <w:rsid w:val="00751845"/>
    <w:rsid w:val="00763A22"/>
    <w:rsid w:val="00773821"/>
    <w:rsid w:val="007805EC"/>
    <w:rsid w:val="00781C06"/>
    <w:rsid w:val="00796D43"/>
    <w:rsid w:val="007A156F"/>
    <w:rsid w:val="007A18C7"/>
    <w:rsid w:val="007C2EAE"/>
    <w:rsid w:val="007D1FF8"/>
    <w:rsid w:val="007E3A18"/>
    <w:rsid w:val="007F60D7"/>
    <w:rsid w:val="00813FCA"/>
    <w:rsid w:val="00822332"/>
    <w:rsid w:val="008355C9"/>
    <w:rsid w:val="008460C5"/>
    <w:rsid w:val="00853FB5"/>
    <w:rsid w:val="00871C65"/>
    <w:rsid w:val="00893C98"/>
    <w:rsid w:val="00894FF1"/>
    <w:rsid w:val="008A73EA"/>
    <w:rsid w:val="008D104D"/>
    <w:rsid w:val="008D601B"/>
    <w:rsid w:val="008E34B1"/>
    <w:rsid w:val="008E5890"/>
    <w:rsid w:val="0090351D"/>
    <w:rsid w:val="00903BDF"/>
    <w:rsid w:val="009059C8"/>
    <w:rsid w:val="00912A5E"/>
    <w:rsid w:val="0091448F"/>
    <w:rsid w:val="00931603"/>
    <w:rsid w:val="0093600C"/>
    <w:rsid w:val="00936FF4"/>
    <w:rsid w:val="00941233"/>
    <w:rsid w:val="00970559"/>
    <w:rsid w:val="0097176A"/>
    <w:rsid w:val="00976592"/>
    <w:rsid w:val="0097739D"/>
    <w:rsid w:val="00983113"/>
    <w:rsid w:val="009B7505"/>
    <w:rsid w:val="009C3DC3"/>
    <w:rsid w:val="009C6972"/>
    <w:rsid w:val="009D3273"/>
    <w:rsid w:val="009D352A"/>
    <w:rsid w:val="009D37A8"/>
    <w:rsid w:val="009D7208"/>
    <w:rsid w:val="009E4C2B"/>
    <w:rsid w:val="009E6CEF"/>
    <w:rsid w:val="00A0776D"/>
    <w:rsid w:val="00A25C2A"/>
    <w:rsid w:val="00A40951"/>
    <w:rsid w:val="00A5019F"/>
    <w:rsid w:val="00A51813"/>
    <w:rsid w:val="00A56A91"/>
    <w:rsid w:val="00AB543D"/>
    <w:rsid w:val="00AB6A6C"/>
    <w:rsid w:val="00AC0826"/>
    <w:rsid w:val="00AC6F20"/>
    <w:rsid w:val="00AC73CA"/>
    <w:rsid w:val="00AD0684"/>
    <w:rsid w:val="00AE6D9F"/>
    <w:rsid w:val="00B01291"/>
    <w:rsid w:val="00B25B60"/>
    <w:rsid w:val="00B5736B"/>
    <w:rsid w:val="00B6411A"/>
    <w:rsid w:val="00B71A2A"/>
    <w:rsid w:val="00B71DF5"/>
    <w:rsid w:val="00B839E1"/>
    <w:rsid w:val="00B94252"/>
    <w:rsid w:val="00BA1F71"/>
    <w:rsid w:val="00BA2F32"/>
    <w:rsid w:val="00BB14CE"/>
    <w:rsid w:val="00BB47CC"/>
    <w:rsid w:val="00BD65B7"/>
    <w:rsid w:val="00BE26BF"/>
    <w:rsid w:val="00BF1D0D"/>
    <w:rsid w:val="00BF63B2"/>
    <w:rsid w:val="00C10C39"/>
    <w:rsid w:val="00C110D5"/>
    <w:rsid w:val="00C170BD"/>
    <w:rsid w:val="00C2145A"/>
    <w:rsid w:val="00C26AA1"/>
    <w:rsid w:val="00C35F72"/>
    <w:rsid w:val="00C36237"/>
    <w:rsid w:val="00C53853"/>
    <w:rsid w:val="00C661CC"/>
    <w:rsid w:val="00C97058"/>
    <w:rsid w:val="00CA3336"/>
    <w:rsid w:val="00CB39FE"/>
    <w:rsid w:val="00CC4CE1"/>
    <w:rsid w:val="00CE2F83"/>
    <w:rsid w:val="00D00F56"/>
    <w:rsid w:val="00D05097"/>
    <w:rsid w:val="00D07EF0"/>
    <w:rsid w:val="00D13E4F"/>
    <w:rsid w:val="00D31628"/>
    <w:rsid w:val="00D430ED"/>
    <w:rsid w:val="00D466D4"/>
    <w:rsid w:val="00D61E1E"/>
    <w:rsid w:val="00D62606"/>
    <w:rsid w:val="00D7196C"/>
    <w:rsid w:val="00D8072E"/>
    <w:rsid w:val="00D83F0A"/>
    <w:rsid w:val="00D958F7"/>
    <w:rsid w:val="00DB33A6"/>
    <w:rsid w:val="00DD0F4A"/>
    <w:rsid w:val="00DD1700"/>
    <w:rsid w:val="00DD3C14"/>
    <w:rsid w:val="00DE4B80"/>
    <w:rsid w:val="00E04ACB"/>
    <w:rsid w:val="00E36D13"/>
    <w:rsid w:val="00E61588"/>
    <w:rsid w:val="00E6160C"/>
    <w:rsid w:val="00E7366D"/>
    <w:rsid w:val="00E97C68"/>
    <w:rsid w:val="00EB47EA"/>
    <w:rsid w:val="00EC24CF"/>
    <w:rsid w:val="00EF3951"/>
    <w:rsid w:val="00F01868"/>
    <w:rsid w:val="00F11FD4"/>
    <w:rsid w:val="00F2159E"/>
    <w:rsid w:val="00F22A29"/>
    <w:rsid w:val="00F43563"/>
    <w:rsid w:val="00F45A54"/>
    <w:rsid w:val="00F4608E"/>
    <w:rsid w:val="00F66458"/>
    <w:rsid w:val="00FA6185"/>
    <w:rsid w:val="00FB0283"/>
    <w:rsid w:val="00FB0758"/>
    <w:rsid w:val="00FB4627"/>
    <w:rsid w:val="00FB4FB3"/>
    <w:rsid w:val="00FC2ADD"/>
    <w:rsid w:val="00FC527A"/>
    <w:rsid w:val="00FC6760"/>
    <w:rsid w:val="00FD1927"/>
    <w:rsid w:val="00FE3D03"/>
    <w:rsid w:val="00FF2133"/>
    <w:rsid w:val="221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line="660" w:lineRule="exact"/>
      <w:jc w:val="center"/>
      <w:outlineLvl w:val="0"/>
    </w:pPr>
    <w:rPr>
      <w:rFonts w:eastAsia="方正小标宋_GBK" w:asciiTheme="minorHAnsi" w:hAnsiTheme="minorHAnsi"/>
      <w:kern w:val="44"/>
      <w:sz w:val="44"/>
    </w:rPr>
  </w:style>
  <w:style w:type="paragraph" w:styleId="3">
    <w:name w:val="heading 2"/>
    <w:basedOn w:val="1"/>
    <w:next w:val="1"/>
    <w:link w:val="16"/>
    <w:unhideWhenUsed/>
    <w:qFormat/>
    <w:uiPriority w:val="0"/>
    <w:pPr>
      <w:keepNext/>
      <w:keepLines/>
      <w:spacing w:line="600" w:lineRule="exact"/>
      <w:outlineLvl w:val="1"/>
    </w:pPr>
    <w:rPr>
      <w:rFonts w:ascii="Arial" w:hAnsi="Arial" w:eastAsia="楷体_GB2312"/>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unhideWhenUsed/>
    <w:qFormat/>
    <w:uiPriority w:val="0"/>
    <w:pPr>
      <w:spacing w:after="120"/>
    </w:pPr>
  </w:style>
  <w:style w:type="paragraph" w:styleId="5">
    <w:name w:val="Date"/>
    <w:basedOn w:val="1"/>
    <w:next w:val="1"/>
    <w:link w:val="21"/>
    <w:qFormat/>
    <w:uiPriority w:val="0"/>
    <w:pPr>
      <w:ind w:left="100" w:leftChars="2500"/>
    </w:pPr>
    <w:rPr>
      <w:rFonts w:asciiTheme="minorHAnsi" w:hAnsiTheme="minorHAnsi"/>
    </w:rPr>
  </w:style>
  <w:style w:type="paragraph" w:styleId="6">
    <w:name w:val="Balloon Text"/>
    <w:basedOn w:val="1"/>
    <w:link w:val="22"/>
    <w:unhideWhenUsed/>
    <w:uiPriority w:val="99"/>
    <w:rPr>
      <w:rFonts w:asciiTheme="minorHAnsi" w:hAnsiTheme="minorHAnsi"/>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eastAsia="仿宋_GB2312"/>
      <w:kern w:val="0"/>
      <w:sz w:val="24"/>
      <w:szCs w:val="22"/>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99"/>
    <w:rPr>
      <w:color w:val="0000FF"/>
      <w:u w:val="single"/>
    </w:rPr>
  </w:style>
  <w:style w:type="character" w:customStyle="1" w:styleId="16">
    <w:name w:val="标题 2 Char"/>
    <w:basedOn w:val="12"/>
    <w:link w:val="3"/>
    <w:uiPriority w:val="0"/>
    <w:rPr>
      <w:rFonts w:ascii="Arial" w:hAnsi="Arial" w:eastAsia="楷体_GB2312"/>
      <w:sz w:val="32"/>
      <w:szCs w:val="24"/>
    </w:rPr>
  </w:style>
  <w:style w:type="character" w:customStyle="1" w:styleId="17">
    <w:name w:val="标题 1 Char"/>
    <w:basedOn w:val="12"/>
    <w:link w:val="2"/>
    <w:qFormat/>
    <w:uiPriority w:val="0"/>
    <w:rPr>
      <w:rFonts w:eastAsia="方正小标宋_GBK"/>
      <w:kern w:val="44"/>
      <w:sz w:val="44"/>
      <w:szCs w:val="24"/>
    </w:rPr>
  </w:style>
  <w:style w:type="character" w:customStyle="1" w:styleId="18">
    <w:name w:val="页眉 Char"/>
    <w:basedOn w:val="12"/>
    <w:link w:val="8"/>
    <w:qFormat/>
    <w:uiPriority w:val="0"/>
    <w:rPr>
      <w:sz w:val="18"/>
      <w:szCs w:val="18"/>
    </w:rPr>
  </w:style>
  <w:style w:type="character" w:customStyle="1" w:styleId="19">
    <w:name w:val="页脚 Char"/>
    <w:basedOn w:val="12"/>
    <w:link w:val="7"/>
    <w:qFormat/>
    <w:uiPriority w:val="0"/>
    <w:rPr>
      <w:sz w:val="18"/>
      <w:szCs w:val="18"/>
    </w:rPr>
  </w:style>
  <w:style w:type="character" w:customStyle="1" w:styleId="20">
    <w:name w:val="正文文本 Char"/>
    <w:basedOn w:val="12"/>
    <w:link w:val="4"/>
    <w:qFormat/>
    <w:uiPriority w:val="0"/>
    <w:rPr>
      <w:rFonts w:ascii="Calibri" w:hAnsi="Calibri"/>
      <w:szCs w:val="24"/>
    </w:rPr>
  </w:style>
  <w:style w:type="character" w:customStyle="1" w:styleId="21">
    <w:name w:val="日期 Char"/>
    <w:basedOn w:val="12"/>
    <w:link w:val="5"/>
    <w:qFormat/>
    <w:uiPriority w:val="0"/>
    <w:rPr>
      <w:szCs w:val="24"/>
    </w:rPr>
  </w:style>
  <w:style w:type="character" w:customStyle="1" w:styleId="22">
    <w:name w:val="批注框文本 Char"/>
    <w:basedOn w:val="12"/>
    <w:link w:val="6"/>
    <w:uiPriority w:val="99"/>
    <w:rPr>
      <w:sz w:val="18"/>
      <w:szCs w:val="18"/>
    </w:rPr>
  </w:style>
  <w:style w:type="paragraph" w:customStyle="1" w:styleId="23">
    <w:name w:val="_Style 6"/>
    <w:basedOn w:val="1"/>
    <w:qFormat/>
    <w:uiPriority w:val="0"/>
    <w:rPr>
      <w:rFonts w:asciiTheme="minorHAnsi" w:hAnsiTheme="minorHAnsi"/>
    </w:rPr>
  </w:style>
  <w:style w:type="paragraph" w:customStyle="1" w:styleId="24">
    <w:name w:val="列出段落1"/>
    <w:basedOn w:val="1"/>
    <w:qFormat/>
    <w:uiPriority w:val="1"/>
    <w:pPr>
      <w:autoSpaceDE w:val="0"/>
      <w:autoSpaceDN w:val="0"/>
      <w:ind w:left="270" w:hanging="401"/>
      <w:jc w:val="left"/>
    </w:pPr>
    <w:rPr>
      <w:rFonts w:ascii="方正仿宋_GBK" w:hAnsi="方正仿宋_GBK" w:eastAsia="方正仿宋_GBK" w:cs="方正仿宋_GBK"/>
      <w:kern w:val="0"/>
      <w:sz w:val="22"/>
      <w:szCs w:val="22"/>
      <w:lang w:val="zh-CN" w:bidi="zh-CN"/>
    </w:rPr>
  </w:style>
  <w:style w:type="paragraph" w:customStyle="1" w:styleId="25">
    <w:name w:val="标题 11"/>
    <w:basedOn w:val="1"/>
    <w:qFormat/>
    <w:uiPriority w:val="1"/>
    <w:pPr>
      <w:autoSpaceDE w:val="0"/>
      <w:autoSpaceDN w:val="0"/>
      <w:jc w:val="center"/>
      <w:outlineLvl w:val="1"/>
    </w:pPr>
    <w:rPr>
      <w:rFonts w:ascii="方正小标宋_GBK" w:hAnsi="方正小标宋_GBK" w:eastAsia="方正小标宋_GBK" w:cs="方正小标宋_GBK"/>
      <w:kern w:val="0"/>
      <w:sz w:val="42"/>
      <w:szCs w:val="4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816A3-4357-4A6C-9FED-27C44971E92B}">
  <ds:schemaRefs/>
</ds:datastoreItem>
</file>

<file path=docProps/app.xml><?xml version="1.0" encoding="utf-8"?>
<Properties xmlns="http://schemas.openxmlformats.org/officeDocument/2006/extended-properties" xmlns:vt="http://schemas.openxmlformats.org/officeDocument/2006/docPropsVTypes">
  <Template>Normal</Template>
  <Company>gdscjg</Company>
  <Pages>8</Pages>
  <Words>669</Words>
  <Characters>3819</Characters>
  <Lines>31</Lines>
  <Paragraphs>8</Paragraphs>
  <TotalTime>88</TotalTime>
  <ScaleCrop>false</ScaleCrop>
  <LinksUpToDate>false</LinksUpToDate>
  <CharactersWithSpaces>4480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2020-05-26T07:47:00Z</dcterms:created>
  <dc:creator>NTKO</dc:creator>
  <cp:lastModifiedBy>。。。</cp:lastModifiedBy>
  <dcterms:modified xsi:type="dcterms:W3CDTF">2020-11-09T06:05:15Z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