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36" w:rsidRDefault="00881A96">
      <w:pPr>
        <w:rPr>
          <w:vanish/>
          <w:sz w:val="24"/>
        </w:rPr>
      </w:pPr>
      <w:r>
        <w:rPr>
          <w:noProof/>
        </w:rPr>
        <w:drawing>
          <wp:anchor distT="0" distB="0" distL="114300" distR="114300" simplePos="0" relativeHeight="251658240" behindDoc="1" locked="0" layoutInCell="1" allowOverlap="1">
            <wp:simplePos x="0" y="0"/>
            <wp:positionH relativeFrom="column">
              <wp:posOffset>-454025</wp:posOffset>
            </wp:positionH>
            <wp:positionV relativeFrom="paragraph">
              <wp:posOffset>19050</wp:posOffset>
            </wp:positionV>
            <wp:extent cx="6121400" cy="1046480"/>
            <wp:effectExtent l="0" t="0" r="12700" b="0"/>
            <wp:wrapTight wrapText="bothSides">
              <wp:wrapPolygon edited="0">
                <wp:start x="0" y="0"/>
                <wp:lineTo x="0" y="21233"/>
                <wp:lineTo x="21510" y="21233"/>
                <wp:lineTo x="21510"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7" cstate="print"/>
                    <a:stretch>
                      <a:fillRect/>
                    </a:stretch>
                  </pic:blipFill>
                  <pic:spPr>
                    <a:xfrm>
                      <a:off x="0" y="0"/>
                      <a:ext cx="6121400" cy="1046480"/>
                    </a:xfrm>
                    <a:prstGeom prst="rect">
                      <a:avLst/>
                    </a:prstGeom>
                    <a:noFill/>
                    <a:ln w="9525">
                      <a:noFill/>
                    </a:ln>
                  </pic:spPr>
                </pic:pic>
              </a:graphicData>
            </a:graphic>
          </wp:anchor>
        </w:drawing>
      </w:r>
    </w:p>
    <w:tbl>
      <w:tblPr>
        <w:tblW w:w="11673" w:type="dxa"/>
        <w:jc w:val="center"/>
        <w:tblCellSpacing w:w="0" w:type="dxa"/>
        <w:tblInd w:w="-1683" w:type="dxa"/>
        <w:tblLayout w:type="fixed"/>
        <w:tblCellMar>
          <w:left w:w="0" w:type="dxa"/>
          <w:right w:w="0" w:type="dxa"/>
        </w:tblCellMar>
        <w:tblLook w:val="04A0"/>
      </w:tblPr>
      <w:tblGrid>
        <w:gridCol w:w="11673"/>
      </w:tblGrid>
      <w:tr w:rsidR="00315C36">
        <w:trPr>
          <w:trHeight w:val="7500"/>
          <w:tblCellSpacing w:w="0" w:type="dxa"/>
          <w:jc w:val="center"/>
        </w:trPr>
        <w:tc>
          <w:tcPr>
            <w:tcW w:w="11673" w:type="dxa"/>
            <w:shd w:val="clear" w:color="auto" w:fill="auto"/>
            <w:tcMar>
              <w:top w:w="450" w:type="dxa"/>
            </w:tcMar>
            <w:vAlign w:val="center"/>
          </w:tcPr>
          <w:tbl>
            <w:tblPr>
              <w:tblW w:w="9840" w:type="dxa"/>
              <w:jc w:val="center"/>
              <w:tblCellSpacing w:w="0" w:type="dxa"/>
              <w:tblInd w:w="258" w:type="dxa"/>
              <w:tblLayout w:type="fixed"/>
              <w:tblCellMar>
                <w:left w:w="0" w:type="dxa"/>
                <w:right w:w="0" w:type="dxa"/>
              </w:tblCellMar>
              <w:tblLook w:val="04A0"/>
            </w:tblPr>
            <w:tblGrid>
              <w:gridCol w:w="9840"/>
            </w:tblGrid>
            <w:tr w:rsidR="00315C36">
              <w:trPr>
                <w:tblCellSpacing w:w="0" w:type="dxa"/>
                <w:jc w:val="center"/>
              </w:trPr>
              <w:tc>
                <w:tcPr>
                  <w:tcW w:w="9840" w:type="dxa"/>
                  <w:shd w:val="clear" w:color="auto" w:fill="auto"/>
                  <w:tcMar>
                    <w:top w:w="30" w:type="dxa"/>
                    <w:bottom w:w="150" w:type="dxa"/>
                  </w:tcMar>
                  <w:vAlign w:val="center"/>
                </w:tcPr>
                <w:tbl>
                  <w:tblPr>
                    <w:tblW w:w="9840" w:type="dxa"/>
                    <w:tblCellSpacing w:w="0" w:type="dxa"/>
                    <w:tblLayout w:type="fixed"/>
                    <w:tblCellMar>
                      <w:left w:w="0" w:type="dxa"/>
                      <w:right w:w="0" w:type="dxa"/>
                    </w:tblCellMar>
                    <w:tblLook w:val="04A0"/>
                  </w:tblPr>
                  <w:tblGrid>
                    <w:gridCol w:w="9840"/>
                  </w:tblGrid>
                  <w:tr w:rsidR="00315C36">
                    <w:trPr>
                      <w:tblCellSpacing w:w="0" w:type="dxa"/>
                    </w:trPr>
                    <w:tc>
                      <w:tcPr>
                        <w:tcW w:w="9840" w:type="dxa"/>
                        <w:shd w:val="clear" w:color="auto" w:fill="auto"/>
                        <w:tcMar>
                          <w:top w:w="30" w:type="dxa"/>
                          <w:bottom w:w="150" w:type="dxa"/>
                        </w:tcMar>
                        <w:vAlign w:val="center"/>
                      </w:tcPr>
                      <w:tbl>
                        <w:tblPr>
                          <w:tblW w:w="9840" w:type="dxa"/>
                          <w:tblCellSpacing w:w="0" w:type="dxa"/>
                          <w:tblLayout w:type="fixed"/>
                          <w:tblCellMar>
                            <w:left w:w="0" w:type="dxa"/>
                            <w:right w:w="0" w:type="dxa"/>
                          </w:tblCellMar>
                          <w:tblLook w:val="04A0"/>
                        </w:tblPr>
                        <w:tblGrid>
                          <w:gridCol w:w="9840"/>
                        </w:tblGrid>
                        <w:tr w:rsidR="00315C36">
                          <w:trPr>
                            <w:tblCellSpacing w:w="0" w:type="dxa"/>
                          </w:trPr>
                          <w:tc>
                            <w:tcPr>
                              <w:tcW w:w="9840" w:type="dxa"/>
                              <w:shd w:val="clear" w:color="auto" w:fill="auto"/>
                              <w:tcMar>
                                <w:top w:w="30" w:type="dxa"/>
                                <w:bottom w:w="150" w:type="dxa"/>
                              </w:tcMar>
                              <w:vAlign w:val="center"/>
                            </w:tcPr>
                            <w:tbl>
                              <w:tblPr>
                                <w:tblW w:w="9840" w:type="dxa"/>
                                <w:tblCellSpacing w:w="0" w:type="dxa"/>
                                <w:tblLayout w:type="fixed"/>
                                <w:tblCellMar>
                                  <w:left w:w="0" w:type="dxa"/>
                                  <w:right w:w="0" w:type="dxa"/>
                                </w:tblCellMar>
                                <w:tblLook w:val="04A0"/>
                              </w:tblPr>
                              <w:tblGrid>
                                <w:gridCol w:w="9840"/>
                              </w:tblGrid>
                              <w:tr w:rsidR="00315C36">
                                <w:trPr>
                                  <w:tblCellSpacing w:w="0" w:type="dxa"/>
                                </w:trPr>
                                <w:tc>
                                  <w:tcPr>
                                    <w:tcW w:w="9840" w:type="dxa"/>
                                    <w:shd w:val="clear" w:color="auto" w:fill="auto"/>
                                    <w:tcMar>
                                      <w:top w:w="30" w:type="dxa"/>
                                      <w:bottom w:w="150" w:type="dxa"/>
                                    </w:tcMar>
                                    <w:vAlign w:val="center"/>
                                  </w:tcPr>
                                  <w:tbl>
                                    <w:tblPr>
                                      <w:tblW w:w="5000" w:type="pct"/>
                                      <w:jc w:val="center"/>
                                      <w:tblCellSpacing w:w="0" w:type="dxa"/>
                                      <w:tblLayout w:type="fixed"/>
                                      <w:tblCellMar>
                                        <w:left w:w="0" w:type="dxa"/>
                                        <w:right w:w="0" w:type="dxa"/>
                                      </w:tblCellMar>
                                      <w:tblLook w:val="04A0"/>
                                    </w:tblPr>
                                    <w:tblGrid>
                                      <w:gridCol w:w="9840"/>
                                    </w:tblGrid>
                                    <w:tr w:rsidR="00244777" w:rsidRPr="00244777" w:rsidTr="00531F4F">
                                      <w:trPr>
                                        <w:tblCellSpacing w:w="0" w:type="dxa"/>
                                        <w:jc w:val="center"/>
                                      </w:trPr>
                                      <w:tc>
                                        <w:tcPr>
                                          <w:tcW w:w="9840" w:type="dxa"/>
                                          <w:tcMar>
                                            <w:top w:w="22" w:type="dxa"/>
                                            <w:left w:w="0" w:type="dxa"/>
                                            <w:bottom w:w="110" w:type="dxa"/>
                                            <w:right w:w="0" w:type="dxa"/>
                                          </w:tcMar>
                                          <w:vAlign w:val="center"/>
                                          <w:hideMark/>
                                        </w:tcPr>
                                        <w:p w:rsidR="009261B5" w:rsidRPr="009261B5" w:rsidRDefault="009261B5" w:rsidP="009261B5">
                                          <w:pPr>
                                            <w:widowControl/>
                                            <w:shd w:val="clear" w:color="auto" w:fill="FFFFFF"/>
                                            <w:spacing w:line="429" w:lineRule="atLeast"/>
                                            <w:jc w:val="center"/>
                                            <w:outlineLvl w:val="1"/>
                                            <w:rPr>
                                              <w:rFonts w:ascii="微软雅黑" w:eastAsia="微软雅黑" w:hAnsi="微软雅黑" w:cs="宋体"/>
                                              <w:color w:val="333333"/>
                                              <w:kern w:val="0"/>
                                              <w:sz w:val="29"/>
                                              <w:szCs w:val="29"/>
                                            </w:rPr>
                                          </w:pPr>
                                          <w:r w:rsidRPr="009261B5">
                                            <w:rPr>
                                              <w:rFonts w:ascii="微软雅黑" w:eastAsia="微软雅黑" w:hAnsi="微软雅黑" w:cs="宋体" w:hint="eastAsia"/>
                                              <w:color w:val="333333"/>
                                              <w:kern w:val="0"/>
                                              <w:sz w:val="29"/>
                                              <w:szCs w:val="29"/>
                                            </w:rPr>
                                            <w:t>“2020年公众十大用药提示”发布</w:t>
                                          </w:r>
                                        </w:p>
                                        <w:p w:rsidR="00FA055B" w:rsidRPr="009261B5" w:rsidRDefault="00FA055B" w:rsidP="00244777">
                                          <w:pPr>
                                            <w:widowControl/>
                                            <w:spacing w:line="360" w:lineRule="auto"/>
                                            <w:jc w:val="center"/>
                                            <w:rPr>
                                              <w:rFonts w:ascii="微软雅黑" w:eastAsia="微软雅黑" w:hAnsi="微软雅黑"/>
                                              <w:color w:val="333333"/>
                                              <w:sz w:val="36"/>
                                              <w:szCs w:val="29"/>
                                            </w:rPr>
                                          </w:pPr>
                                        </w:p>
                                        <w:p w:rsidR="00FA055B" w:rsidRDefault="00FA055B" w:rsidP="00244777">
                                          <w:pPr>
                                            <w:widowControl/>
                                            <w:spacing w:line="360" w:lineRule="auto"/>
                                            <w:jc w:val="center"/>
                                            <w:rPr>
                                              <w:rFonts w:ascii="微软雅黑" w:eastAsia="微软雅黑" w:hAnsi="微软雅黑"/>
                                              <w:color w:val="333333"/>
                                              <w:sz w:val="36"/>
                                              <w:szCs w:val="29"/>
                                            </w:rPr>
                                          </w:pPr>
                                        </w:p>
                                        <w:p w:rsidR="00FA055B" w:rsidRDefault="00963268" w:rsidP="009261B5">
                                          <w:pPr>
                                            <w:pStyle w:val="a3"/>
                                            <w:shd w:val="clear" w:color="auto" w:fill="FFFFFF"/>
                                            <w:spacing w:beforeAutospacing="0" w:afterAutospacing="0" w:line="352" w:lineRule="atLeast"/>
                                            <w:rPr>
                                              <w:rFonts w:ascii="微软雅黑" w:eastAsia="微软雅黑" w:hAnsi="微软雅黑" w:cstheme="minorBidi" w:hint="eastAsia"/>
                                              <w:b/>
                                              <w:bCs/>
                                              <w:color w:val="000000"/>
                                              <w:kern w:val="2"/>
                                              <w:sz w:val="18"/>
                                            </w:rPr>
                                          </w:pPr>
                                          <w:r>
                                            <w:rPr>
                                              <w:rFonts w:ascii="微软雅黑" w:eastAsia="微软雅黑" w:hAnsi="微软雅黑" w:hint="eastAsia"/>
                                              <w:color w:val="000000"/>
                                              <w:sz w:val="18"/>
                                              <w:szCs w:val="18"/>
                                            </w:rPr>
                                            <w:t xml:space="preserve">    </w:t>
                                          </w:r>
                                          <w:r w:rsidR="009261B5" w:rsidRPr="009261B5">
                                            <w:rPr>
                                              <w:rFonts w:ascii="微软雅黑" w:eastAsia="微软雅黑" w:hAnsi="微软雅黑" w:cstheme="minorBidi" w:hint="eastAsia"/>
                                              <w:color w:val="000000"/>
                                              <w:kern w:val="2"/>
                                              <w:sz w:val="18"/>
                                              <w:szCs w:val="18"/>
                                              <w:shd w:val="clear" w:color="auto" w:fill="FFFFFF"/>
                                            </w:rPr>
                                            <w:t>11月3日，在2020年“全国安全用药月”启动仪式上，中国药学会副理事长兼秘书长丁丽霞发布了“2020年公众十大用药提示”。该活动是国家药品监督管理局指导的“全国安全用药月”的重点活动之一，旨在阐述安全用药科学方法，提示公众关注用药安全，指导公众安全合理用药。</w:t>
                                          </w:r>
                                          <w:r w:rsidR="009261B5" w:rsidRPr="009261B5">
                                            <w:rPr>
                                              <w:rFonts w:ascii="微软雅黑" w:eastAsia="微软雅黑" w:hAnsi="微软雅黑" w:cstheme="minorBidi" w:hint="eastAsia"/>
                                              <w:color w:val="000000"/>
                                              <w:kern w:val="2"/>
                                              <w:sz w:val="18"/>
                                              <w:szCs w:val="18"/>
                                            </w:rPr>
                                            <w:br/>
                                          </w:r>
                                          <w:r w:rsidR="009261B5" w:rsidRPr="009261B5">
                                            <w:rPr>
                                              <w:rFonts w:ascii="微软雅黑" w:eastAsia="微软雅黑" w:hAnsi="微软雅黑" w:cstheme="minorBidi" w:hint="eastAsia"/>
                                              <w:color w:val="000000"/>
                                              <w:kern w:val="2"/>
                                              <w:sz w:val="18"/>
                                              <w:szCs w:val="18"/>
                                              <w:shd w:val="clear" w:color="auto" w:fill="FFFFFF"/>
                                            </w:rPr>
                                            <w:t> </w:t>
                                          </w:r>
                                          <w:r w:rsidR="009261B5" w:rsidRPr="009261B5">
                                            <w:rPr>
                                              <w:rFonts w:ascii="微软雅黑" w:eastAsia="微软雅黑" w:hAnsi="微软雅黑" w:cstheme="minorBidi" w:hint="eastAsia"/>
                                              <w:color w:val="000000"/>
                                              <w:kern w:val="2"/>
                                              <w:sz w:val="18"/>
                                              <w:szCs w:val="18"/>
                                            </w:rPr>
                                            <w:br/>
                                          </w:r>
                                          <w:r w:rsidR="009261B5" w:rsidRPr="009261B5">
                                            <w:rPr>
                                              <w:rFonts w:ascii="微软雅黑" w:eastAsia="微软雅黑" w:hAnsi="微软雅黑" w:cstheme="minorBidi" w:hint="eastAsia"/>
                                              <w:color w:val="000000"/>
                                              <w:kern w:val="2"/>
                                              <w:sz w:val="18"/>
                                              <w:szCs w:val="18"/>
                                              <w:shd w:val="clear" w:color="auto" w:fill="FFFFFF"/>
                                            </w:rPr>
                                            <w:t xml:space="preserve">　　</w:t>
                                          </w:r>
                                          <w:r w:rsidR="009261B5" w:rsidRPr="009261B5">
                                            <w:rPr>
                                              <w:rFonts w:ascii="微软雅黑" w:eastAsia="微软雅黑" w:hAnsi="微软雅黑" w:cstheme="minorBidi" w:hint="eastAsia"/>
                                              <w:b/>
                                              <w:bCs/>
                                              <w:color w:val="000000"/>
                                              <w:kern w:val="2"/>
                                              <w:sz w:val="18"/>
                                            </w:rPr>
                                            <w:t>提示1  使用冰箱存药品，这些事情需注意</w:t>
                                          </w:r>
                                        </w:p>
                                        <w:p w:rsidR="009261B5" w:rsidRDefault="009261B5" w:rsidP="009261B5">
                                          <w:pPr>
                                            <w:pStyle w:val="a3"/>
                                            <w:shd w:val="clear" w:color="auto" w:fill="FFFFFF"/>
                                            <w:spacing w:beforeAutospacing="0" w:afterAutospacing="0" w:line="352" w:lineRule="atLeast"/>
                                            <w:rPr>
                                              <w:rFonts w:ascii="微软雅黑" w:eastAsia="微软雅黑" w:hAnsi="微软雅黑" w:cstheme="minorBidi" w:hint="eastAsia"/>
                                              <w:b/>
                                              <w:bCs/>
                                              <w:color w:val="000000"/>
                                              <w:kern w:val="2"/>
                                              <w:sz w:val="18"/>
                                            </w:rPr>
                                          </w:pPr>
                                          <w:r w:rsidRPr="009261B5">
                                            <w:rPr>
                                              <w:rFonts w:ascii="微软雅黑" w:eastAsia="微软雅黑" w:hAnsi="微软雅黑" w:cstheme="minorBidi" w:hint="eastAsia"/>
                                              <w:color w:val="000000"/>
                                              <w:kern w:val="2"/>
                                              <w:sz w:val="18"/>
                                              <w:szCs w:val="18"/>
                                              <w:shd w:val="clear" w:color="auto" w:fill="FFFFFF"/>
                                            </w:rPr>
                                            <w:t>其实，大部分药品可在室温条件下保存。使用冰箱存放片剂、胶囊剂、散剂等，易受潮加速变质。糖浆剂在低温情况下也易导致药物浓度发生改变，影响疗效。温度升高时会变质或变性的药品如胰岛素、活菌制剂、部分滴眼剂或其他生物制品等，可在冰箱冷藏层2~8℃下保存，以保证药品的质量。</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xml:space="preserve">　　胰岛素切勿冷冻，冷冻会破坏其蛋白质，降低药效。</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xml:space="preserve">　</w:t>
                                          </w:r>
                                          <w:r w:rsidRPr="009261B5">
                                            <w:rPr>
                                              <w:rFonts w:ascii="微软雅黑" w:eastAsia="微软雅黑" w:hAnsi="微软雅黑" w:cstheme="minorBidi" w:hint="eastAsia"/>
                                              <w:b/>
                                              <w:bCs/>
                                              <w:color w:val="000000"/>
                                              <w:kern w:val="2"/>
                                              <w:sz w:val="18"/>
                                            </w:rPr>
                                            <w:t xml:space="preserve">　提示2  预防流感要科学，流感疫苗来帮忙</w:t>
                                          </w:r>
                                        </w:p>
                                        <w:p w:rsidR="009261B5" w:rsidRDefault="009261B5" w:rsidP="009261B5">
                                          <w:pPr>
                                            <w:pStyle w:val="a3"/>
                                            <w:shd w:val="clear" w:color="auto" w:fill="FFFFFF"/>
                                            <w:spacing w:beforeAutospacing="0" w:afterAutospacing="0" w:line="352" w:lineRule="atLeast"/>
                                            <w:rPr>
                                              <w:rFonts w:ascii="微软雅黑" w:eastAsia="微软雅黑" w:hAnsi="微软雅黑" w:cstheme="minorBidi" w:hint="eastAsia"/>
                                              <w:b/>
                                              <w:bCs/>
                                              <w:color w:val="000000"/>
                                              <w:kern w:val="2"/>
                                              <w:sz w:val="18"/>
                                            </w:rPr>
                                          </w:pPr>
                                          <w:r w:rsidRPr="009261B5">
                                            <w:rPr>
                                              <w:rFonts w:ascii="微软雅黑" w:eastAsia="微软雅黑" w:hAnsi="微软雅黑" w:cstheme="minorBidi" w:hint="eastAsia"/>
                                              <w:color w:val="000000"/>
                                              <w:kern w:val="2"/>
                                              <w:sz w:val="18"/>
                                              <w:szCs w:val="18"/>
                                              <w:shd w:val="clear" w:color="auto" w:fill="FFFFFF"/>
                                            </w:rPr>
                                            <w:t>接种流感疫苗是预防流感的有效手段。医务人员、养老机构、长期护理机构、福利院、脆弱人群及重点场所人群、老人儿童等流感高风险人群为优先接种对象。</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对疫苗中所含成分过敏者请勿接种。患轻中度急性疾病者、有发热症状者建议症状消退后再接种。</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xml:space="preserve">　</w:t>
                                          </w:r>
                                          <w:r w:rsidRPr="009261B5">
                                            <w:rPr>
                                              <w:rFonts w:ascii="微软雅黑" w:eastAsia="微软雅黑" w:hAnsi="微软雅黑" w:cstheme="minorBidi" w:hint="eastAsia"/>
                                              <w:b/>
                                              <w:bCs/>
                                              <w:color w:val="000000"/>
                                              <w:kern w:val="2"/>
                                              <w:sz w:val="18"/>
                                            </w:rPr>
                                            <w:t xml:space="preserve">　提示3  感冒用药须谨慎，安全合理是关键</w:t>
                                          </w:r>
                                        </w:p>
                                        <w:p w:rsidR="009261B5" w:rsidRPr="009261B5" w:rsidRDefault="009261B5" w:rsidP="009261B5">
                                          <w:pPr>
                                            <w:widowControl/>
                                            <w:shd w:val="clear" w:color="auto" w:fill="FFFFFF"/>
                                            <w:spacing w:line="352" w:lineRule="atLeast"/>
                                            <w:jc w:val="left"/>
                                            <w:rPr>
                                              <w:rFonts w:ascii="微软雅黑" w:eastAsia="微软雅黑" w:hAnsi="微软雅黑" w:cs="宋体"/>
                                              <w:color w:val="000000"/>
                                              <w:kern w:val="0"/>
                                              <w:sz w:val="18"/>
                                              <w:szCs w:val="18"/>
                                            </w:rPr>
                                          </w:pPr>
                                          <w:r w:rsidRPr="009261B5">
                                            <w:rPr>
                                              <w:rFonts w:ascii="微软雅黑" w:eastAsia="微软雅黑" w:hAnsi="微软雅黑" w:cs="宋体" w:hint="eastAsia"/>
                                              <w:color w:val="000000"/>
                                              <w:kern w:val="0"/>
                                              <w:sz w:val="18"/>
                                              <w:szCs w:val="18"/>
                                            </w:rPr>
                                            <w:t xml:space="preserve">　选择治疗感冒的药物时，要注意查看药物成分，避免药物叠加使用过量导致毒副作用。使用含抗过敏成分的感冒药易产生困倦感，从事驾驶、机械操作、高空作业等工作的人员要慎用。</w:t>
                                          </w:r>
                                          <w:r w:rsidRPr="009261B5">
                                            <w:rPr>
                                              <w:rFonts w:ascii="微软雅黑" w:eastAsia="微软雅黑" w:hAnsi="微软雅黑" w:cs="宋体" w:hint="eastAsia"/>
                                              <w:color w:val="000000"/>
                                              <w:kern w:val="0"/>
                                              <w:sz w:val="18"/>
                                              <w:szCs w:val="18"/>
                                            </w:rPr>
                                            <w:br/>
                                            <w:t> </w:t>
                                          </w:r>
                                          <w:r w:rsidRPr="009261B5">
                                            <w:rPr>
                                              <w:rFonts w:ascii="微软雅黑" w:eastAsia="微软雅黑" w:hAnsi="微软雅黑" w:cs="宋体" w:hint="eastAsia"/>
                                              <w:color w:val="000000"/>
                                              <w:kern w:val="0"/>
                                              <w:sz w:val="18"/>
                                              <w:szCs w:val="18"/>
                                            </w:rPr>
                                            <w:br/>
                                            <w:t xml:space="preserve">　　症状较重、短期内对症处理后无改善的患者，建议及时到医院就诊或咨询医生、药师等专业人士。 </w:t>
                                          </w:r>
                                        </w:p>
                                        <w:p w:rsidR="009261B5" w:rsidRPr="009261B5" w:rsidRDefault="009261B5" w:rsidP="009261B5">
                                          <w:pPr>
                                            <w:widowControl/>
                                            <w:shd w:val="clear" w:color="auto" w:fill="FFFFFF"/>
                                            <w:spacing w:line="352" w:lineRule="atLeast"/>
                                            <w:jc w:val="left"/>
                                            <w:rPr>
                                              <w:rFonts w:ascii="微软雅黑" w:eastAsia="微软雅黑" w:hAnsi="微软雅黑" w:cs="宋体" w:hint="eastAsia"/>
                                              <w:color w:val="000000"/>
                                              <w:kern w:val="0"/>
                                              <w:sz w:val="18"/>
                                              <w:szCs w:val="18"/>
                                            </w:rPr>
                                          </w:pPr>
                                          <w:r w:rsidRPr="009261B5">
                                            <w:rPr>
                                              <w:rFonts w:ascii="微软雅黑" w:eastAsia="微软雅黑" w:hAnsi="微软雅黑" w:cs="宋体" w:hint="eastAsia"/>
                                              <w:color w:val="000000"/>
                                              <w:kern w:val="0"/>
                                              <w:sz w:val="18"/>
                                              <w:szCs w:val="18"/>
                                            </w:rPr>
                                            <w:t> </w:t>
                                          </w:r>
                                          <w:r w:rsidRPr="009261B5">
                                            <w:rPr>
                                              <w:rFonts w:ascii="微软雅黑" w:eastAsia="微软雅黑" w:hAnsi="微软雅黑" w:cs="宋体" w:hint="eastAsia"/>
                                              <w:color w:val="000000"/>
                                              <w:kern w:val="0"/>
                                              <w:sz w:val="18"/>
                                              <w:szCs w:val="18"/>
                                            </w:rPr>
                                            <w:br/>
                                          </w:r>
                                          <w:r w:rsidRPr="009261B5">
                                            <w:rPr>
                                              <w:rFonts w:ascii="微软雅黑" w:eastAsia="微软雅黑" w:hAnsi="微软雅黑" w:cs="宋体" w:hint="eastAsia"/>
                                              <w:b/>
                                              <w:bCs/>
                                              <w:color w:val="000000"/>
                                              <w:kern w:val="0"/>
                                              <w:sz w:val="18"/>
                                            </w:rPr>
                                            <w:t xml:space="preserve">　　提示4  哺乳用药慎选择，母婴健康最重要</w:t>
                                          </w:r>
                                        </w:p>
                                        <w:p w:rsidR="009261B5" w:rsidRDefault="009261B5" w:rsidP="009261B5">
                                          <w:pPr>
                                            <w:pStyle w:val="a3"/>
                                            <w:shd w:val="clear" w:color="auto" w:fill="FFFFFF"/>
                                            <w:spacing w:beforeAutospacing="0" w:afterAutospacing="0" w:line="352" w:lineRule="atLeast"/>
                                            <w:rPr>
                                              <w:rFonts w:ascii="微软雅黑" w:eastAsia="微软雅黑" w:hAnsi="微软雅黑" w:cstheme="minorBidi" w:hint="eastAsia"/>
                                              <w:b/>
                                              <w:bCs/>
                                              <w:color w:val="000000"/>
                                              <w:kern w:val="2"/>
                                              <w:sz w:val="18"/>
                                            </w:rPr>
                                          </w:pPr>
                                          <w:r w:rsidRPr="009261B5">
                                            <w:rPr>
                                              <w:rFonts w:ascii="微软雅黑" w:eastAsia="微软雅黑" w:hAnsi="微软雅黑" w:cstheme="minorBidi" w:hint="eastAsia"/>
                                              <w:color w:val="000000"/>
                                              <w:kern w:val="2"/>
                                              <w:sz w:val="18"/>
                                              <w:szCs w:val="18"/>
                                              <w:shd w:val="clear" w:color="auto" w:fill="FFFFFF"/>
                                            </w:rPr>
                                            <w:t>某些药物会通过母亲的乳汁进入婴儿体内，哺乳期应禁用影响婴儿组织器官正常发育的药物。</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xml:space="preserve">　　哺乳期妈妈应在医生和药师指导下，优先选择可在哺乳期安全使用的药物，尽可能减少药物对婴儿的影响。因疾病急需使</w:t>
                                          </w:r>
                                          <w:r w:rsidRPr="009261B5">
                                            <w:rPr>
                                              <w:rFonts w:ascii="微软雅黑" w:eastAsia="微软雅黑" w:hAnsi="微软雅黑" w:cstheme="minorBidi" w:hint="eastAsia"/>
                                              <w:color w:val="000000"/>
                                              <w:kern w:val="2"/>
                                              <w:sz w:val="18"/>
                                              <w:szCs w:val="18"/>
                                              <w:shd w:val="clear" w:color="auto" w:fill="FFFFFF"/>
                                            </w:rPr>
                                            <w:lastRenderedPageBreak/>
                                            <w:t>用时，应暂停哺乳。</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xml:space="preserve">　</w:t>
                                          </w:r>
                                          <w:r w:rsidRPr="009261B5">
                                            <w:rPr>
                                              <w:rFonts w:ascii="微软雅黑" w:eastAsia="微软雅黑" w:hAnsi="微软雅黑" w:cstheme="minorBidi" w:hint="eastAsia"/>
                                              <w:b/>
                                              <w:bCs/>
                                              <w:color w:val="000000"/>
                                              <w:kern w:val="2"/>
                                              <w:sz w:val="18"/>
                                            </w:rPr>
                                            <w:t xml:space="preserve">　提示5  儿童咳嗽莫慌张，正确选择止咳药</w:t>
                                          </w:r>
                                        </w:p>
                                        <w:p w:rsidR="009261B5" w:rsidRPr="009261B5" w:rsidRDefault="009261B5" w:rsidP="009261B5">
                                          <w:pPr>
                                            <w:widowControl/>
                                            <w:shd w:val="clear" w:color="auto" w:fill="FFFFFF"/>
                                            <w:spacing w:line="352" w:lineRule="atLeast"/>
                                            <w:jc w:val="left"/>
                                            <w:rPr>
                                              <w:rFonts w:ascii="微软雅黑" w:eastAsia="微软雅黑" w:hAnsi="微软雅黑" w:cs="宋体"/>
                                              <w:color w:val="000000"/>
                                              <w:kern w:val="0"/>
                                              <w:sz w:val="18"/>
                                              <w:szCs w:val="18"/>
                                            </w:rPr>
                                          </w:pPr>
                                          <w:r w:rsidRPr="009261B5">
                                            <w:rPr>
                                              <w:rFonts w:ascii="微软雅黑" w:eastAsia="微软雅黑" w:hAnsi="微软雅黑" w:cs="宋体" w:hint="eastAsia"/>
                                              <w:color w:val="000000"/>
                                              <w:kern w:val="0"/>
                                              <w:sz w:val="18"/>
                                              <w:szCs w:val="18"/>
                                            </w:rPr>
                                            <w:t>咳嗽是机体的一种保护性反射，需要找到引起咳嗽的原因，在医生和药师的指导下选择合适的药物，对症治疗。</w:t>
                                          </w:r>
                                          <w:r w:rsidRPr="009261B5">
                                            <w:rPr>
                                              <w:rFonts w:ascii="微软雅黑" w:eastAsia="微软雅黑" w:hAnsi="微软雅黑" w:cs="宋体" w:hint="eastAsia"/>
                                              <w:color w:val="000000"/>
                                              <w:kern w:val="0"/>
                                              <w:sz w:val="18"/>
                                              <w:szCs w:val="18"/>
                                            </w:rPr>
                                            <w:br/>
                                            <w:t> </w:t>
                                          </w:r>
                                          <w:r w:rsidRPr="009261B5">
                                            <w:rPr>
                                              <w:rFonts w:ascii="微软雅黑" w:eastAsia="微软雅黑" w:hAnsi="微软雅黑" w:cs="宋体" w:hint="eastAsia"/>
                                              <w:color w:val="000000"/>
                                              <w:kern w:val="0"/>
                                              <w:sz w:val="18"/>
                                              <w:szCs w:val="18"/>
                                            </w:rPr>
                                            <w:br/>
                                            <w:t xml:space="preserve">　　当儿童有痰咳嗽时，家长应牢记优先“安全祛痰”的原则，使用祛痰药促进痰液排出，避免同时使用强力镇咳药，防止出现痰液难以咳出、阻塞呼吸道的情况。如果是细菌或病毒感染引起的咳嗽，要及时就医，给予适当的抗感染治疗，从源头上解决问题。</w:t>
                                          </w:r>
                                        </w:p>
                                        <w:p w:rsidR="009261B5" w:rsidRPr="009261B5" w:rsidRDefault="009261B5" w:rsidP="009261B5">
                                          <w:pPr>
                                            <w:widowControl/>
                                            <w:shd w:val="clear" w:color="auto" w:fill="FFFFFF"/>
                                            <w:spacing w:line="352" w:lineRule="atLeast"/>
                                            <w:jc w:val="left"/>
                                            <w:rPr>
                                              <w:rFonts w:ascii="微软雅黑" w:eastAsia="微软雅黑" w:hAnsi="微软雅黑" w:cs="宋体" w:hint="eastAsia"/>
                                              <w:color w:val="000000"/>
                                              <w:kern w:val="0"/>
                                              <w:sz w:val="18"/>
                                              <w:szCs w:val="18"/>
                                            </w:rPr>
                                          </w:pPr>
                                          <w:r w:rsidRPr="009261B5">
                                            <w:rPr>
                                              <w:rFonts w:ascii="微软雅黑" w:eastAsia="微软雅黑" w:hAnsi="微软雅黑" w:cs="宋体" w:hint="eastAsia"/>
                                              <w:color w:val="000000"/>
                                              <w:kern w:val="0"/>
                                              <w:sz w:val="18"/>
                                              <w:szCs w:val="18"/>
                                            </w:rPr>
                                            <w:t> </w:t>
                                          </w:r>
                                          <w:r w:rsidRPr="009261B5">
                                            <w:rPr>
                                              <w:rFonts w:ascii="微软雅黑" w:eastAsia="微软雅黑" w:hAnsi="微软雅黑" w:cs="宋体" w:hint="eastAsia"/>
                                              <w:color w:val="000000"/>
                                              <w:kern w:val="0"/>
                                              <w:sz w:val="18"/>
                                              <w:szCs w:val="18"/>
                                            </w:rPr>
                                            <w:br/>
                                            <w:t xml:space="preserve">　</w:t>
                                          </w:r>
                                          <w:r w:rsidRPr="009261B5">
                                            <w:rPr>
                                              <w:rFonts w:ascii="微软雅黑" w:eastAsia="微软雅黑" w:hAnsi="微软雅黑" w:cs="宋体" w:hint="eastAsia"/>
                                              <w:b/>
                                              <w:bCs/>
                                              <w:color w:val="000000"/>
                                              <w:kern w:val="0"/>
                                              <w:sz w:val="18"/>
                                            </w:rPr>
                                            <w:t xml:space="preserve">　提示6  规律用药降血糖，健康生活不可少</w:t>
                                          </w:r>
                                        </w:p>
                                        <w:p w:rsidR="009261B5" w:rsidRPr="009261B5" w:rsidRDefault="009261B5" w:rsidP="009261B5">
                                          <w:pPr>
                                            <w:widowControl/>
                                            <w:shd w:val="clear" w:color="auto" w:fill="FFFFFF"/>
                                            <w:spacing w:line="352" w:lineRule="atLeast"/>
                                            <w:jc w:val="left"/>
                                            <w:rPr>
                                              <w:rFonts w:ascii="微软雅黑" w:eastAsia="微软雅黑" w:hAnsi="微软雅黑" w:cs="宋体"/>
                                              <w:color w:val="000000"/>
                                              <w:kern w:val="0"/>
                                              <w:sz w:val="18"/>
                                              <w:szCs w:val="18"/>
                                            </w:rPr>
                                          </w:pPr>
                                          <w:r w:rsidRPr="009261B5">
                                            <w:rPr>
                                              <w:rFonts w:ascii="微软雅黑" w:eastAsia="微软雅黑" w:hAnsi="微软雅黑" w:cs="宋体" w:hint="eastAsia"/>
                                              <w:color w:val="000000"/>
                                              <w:kern w:val="0"/>
                                              <w:sz w:val="18"/>
                                              <w:szCs w:val="18"/>
                                            </w:rPr>
                                            <w:t>糖尿病患者需遵医嘱按时按量规律用药，不同的降糖药物服用时间也不同，不可根据自身症状随意增减剂量或更换药物，以免导致血糖波动。</w:t>
                                          </w:r>
                                          <w:r w:rsidRPr="009261B5">
                                            <w:rPr>
                                              <w:rFonts w:ascii="微软雅黑" w:eastAsia="微软雅黑" w:hAnsi="微软雅黑" w:cs="宋体" w:hint="eastAsia"/>
                                              <w:color w:val="000000"/>
                                              <w:kern w:val="0"/>
                                              <w:sz w:val="18"/>
                                              <w:szCs w:val="18"/>
                                            </w:rPr>
                                            <w:br/>
                                            <w:t> </w:t>
                                          </w:r>
                                          <w:r w:rsidRPr="009261B5">
                                            <w:rPr>
                                              <w:rFonts w:ascii="微软雅黑" w:eastAsia="微软雅黑" w:hAnsi="微软雅黑" w:cs="宋体" w:hint="eastAsia"/>
                                              <w:color w:val="000000"/>
                                              <w:kern w:val="0"/>
                                              <w:sz w:val="18"/>
                                              <w:szCs w:val="18"/>
                                            </w:rPr>
                                            <w:br/>
                                            <w:t xml:space="preserve">　　药物治疗的同时也需要采取综合措施，改变不良的生活方式，不轻信广告宣传，合理膳食，适当运动，控制好血糖，预防并发症。</w:t>
                                          </w:r>
                                          <w:r w:rsidRPr="009261B5">
                                            <w:rPr>
                                              <w:rFonts w:ascii="微软雅黑" w:eastAsia="微软雅黑" w:hAnsi="微软雅黑" w:cs="宋体" w:hint="eastAsia"/>
                                              <w:color w:val="000000"/>
                                              <w:kern w:val="0"/>
                                              <w:sz w:val="18"/>
                                              <w:szCs w:val="18"/>
                                            </w:rPr>
                                            <w:br/>
                                            <w:t> </w:t>
                                          </w:r>
                                        </w:p>
                                        <w:p w:rsidR="009261B5" w:rsidRPr="009261B5" w:rsidRDefault="009261B5" w:rsidP="009261B5">
                                          <w:pPr>
                                            <w:widowControl/>
                                            <w:shd w:val="clear" w:color="auto" w:fill="FFFFFF"/>
                                            <w:spacing w:line="352" w:lineRule="atLeast"/>
                                            <w:jc w:val="left"/>
                                            <w:rPr>
                                              <w:rFonts w:ascii="微软雅黑" w:eastAsia="微软雅黑" w:hAnsi="微软雅黑" w:cs="宋体" w:hint="eastAsia"/>
                                              <w:color w:val="000000"/>
                                              <w:kern w:val="0"/>
                                              <w:sz w:val="18"/>
                                              <w:szCs w:val="18"/>
                                            </w:rPr>
                                          </w:pPr>
                                          <w:r w:rsidRPr="009261B5">
                                            <w:rPr>
                                              <w:rFonts w:ascii="微软雅黑" w:eastAsia="微软雅黑" w:hAnsi="微软雅黑" w:cs="宋体" w:hint="eastAsia"/>
                                              <w:color w:val="000000"/>
                                              <w:kern w:val="0"/>
                                              <w:sz w:val="18"/>
                                              <w:szCs w:val="18"/>
                                            </w:rPr>
                                            <w:t xml:space="preserve"> 　　</w:t>
                                          </w:r>
                                          <w:r w:rsidRPr="009261B5">
                                            <w:rPr>
                                              <w:rFonts w:ascii="微软雅黑" w:eastAsia="微软雅黑" w:hAnsi="微软雅黑" w:cs="宋体" w:hint="eastAsia"/>
                                              <w:b/>
                                              <w:bCs/>
                                              <w:color w:val="000000"/>
                                              <w:kern w:val="0"/>
                                              <w:sz w:val="18"/>
                                            </w:rPr>
                                            <w:t>提示7  不痛不治不可取，控制尿酸要坚持</w:t>
                                          </w:r>
                                        </w:p>
                                        <w:p w:rsidR="009261B5" w:rsidRDefault="009261B5" w:rsidP="009261B5">
                                          <w:pPr>
                                            <w:pStyle w:val="a3"/>
                                            <w:shd w:val="clear" w:color="auto" w:fill="FFFFFF"/>
                                            <w:spacing w:beforeAutospacing="0" w:afterAutospacing="0" w:line="352" w:lineRule="atLeast"/>
                                            <w:rPr>
                                              <w:rFonts w:ascii="微软雅黑" w:eastAsia="微软雅黑" w:hAnsi="微软雅黑" w:cstheme="minorBidi" w:hint="eastAsia"/>
                                              <w:b/>
                                              <w:bCs/>
                                              <w:color w:val="000000"/>
                                              <w:kern w:val="2"/>
                                              <w:sz w:val="18"/>
                                            </w:rPr>
                                          </w:pPr>
                                          <w:r w:rsidRPr="009261B5">
                                            <w:rPr>
                                              <w:rFonts w:ascii="微软雅黑" w:eastAsia="微软雅黑" w:hAnsi="微软雅黑" w:cstheme="minorBidi" w:hint="eastAsia"/>
                                              <w:color w:val="000000"/>
                                              <w:kern w:val="2"/>
                                              <w:sz w:val="18"/>
                                              <w:szCs w:val="18"/>
                                              <w:shd w:val="clear" w:color="auto" w:fill="FFFFFF"/>
                                            </w:rPr>
                                            <w:t>治疗痛风要根据发病时期、程度不同，多药联合，同时兼顾合并症综合治疗。</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xml:space="preserve">　　服用抗痛风药物应在医生和药师的指导下规范进行，因为“不疼不痛”而忽视治疗并不可取。除坚持健康的生活习惯外，长期降尿酸治疗不可或缺。</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xml:space="preserve">　　</w:t>
                                          </w:r>
                                          <w:r w:rsidRPr="009261B5">
                                            <w:rPr>
                                              <w:rFonts w:ascii="微软雅黑" w:eastAsia="微软雅黑" w:hAnsi="微软雅黑" w:cstheme="minorBidi" w:hint="eastAsia"/>
                                              <w:b/>
                                              <w:bCs/>
                                              <w:color w:val="000000"/>
                                              <w:kern w:val="2"/>
                                              <w:sz w:val="18"/>
                                            </w:rPr>
                                            <w:t>提示8  科学用药解便秘，生活习惯更重要</w:t>
                                          </w:r>
                                        </w:p>
                                        <w:p w:rsidR="009261B5" w:rsidRDefault="009261B5" w:rsidP="009261B5">
                                          <w:pPr>
                                            <w:pStyle w:val="a3"/>
                                            <w:shd w:val="clear" w:color="auto" w:fill="FFFFFF"/>
                                            <w:spacing w:beforeAutospacing="0" w:afterAutospacing="0" w:line="352" w:lineRule="atLeast"/>
                                            <w:rPr>
                                              <w:rFonts w:ascii="微软雅黑" w:eastAsia="微软雅黑" w:hAnsi="微软雅黑" w:cstheme="minorBidi" w:hint="eastAsia"/>
                                              <w:b/>
                                              <w:bCs/>
                                              <w:color w:val="000000"/>
                                              <w:kern w:val="2"/>
                                              <w:sz w:val="18"/>
                                            </w:rPr>
                                          </w:pPr>
                                          <w:r w:rsidRPr="009261B5">
                                            <w:rPr>
                                              <w:rFonts w:ascii="微软雅黑" w:eastAsia="微软雅黑" w:hAnsi="微软雅黑" w:cstheme="minorBidi" w:hint="eastAsia"/>
                                              <w:color w:val="000000"/>
                                              <w:kern w:val="2"/>
                                              <w:sz w:val="18"/>
                                              <w:szCs w:val="18"/>
                                              <w:shd w:val="clear" w:color="auto" w:fill="FFFFFF"/>
                                            </w:rPr>
                                            <w:t>老年人便秘需要个体化治疗，应根据病因在医生的指导下使用乳果糖、微生态制剂等不同作用方式的药物治疗。</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xml:space="preserve">　　除了药物治疗，还应当养成良好的生活习惯，注意饮食调理，促进胃肠蠕动，养成定时排便的好习惯。</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xml:space="preserve">　　</w:t>
                                          </w:r>
                                          <w:r w:rsidRPr="009261B5">
                                            <w:rPr>
                                              <w:rFonts w:ascii="微软雅黑" w:eastAsia="微软雅黑" w:hAnsi="微软雅黑" w:cstheme="minorBidi" w:hint="eastAsia"/>
                                              <w:b/>
                                              <w:bCs/>
                                              <w:color w:val="000000"/>
                                              <w:kern w:val="2"/>
                                              <w:sz w:val="18"/>
                                            </w:rPr>
                                            <w:t>提示9  腹泻用药莫随意，根据病情来选择</w:t>
                                          </w:r>
                                        </w:p>
                                        <w:p w:rsidR="009261B5" w:rsidRDefault="009261B5" w:rsidP="009261B5">
                                          <w:pPr>
                                            <w:pStyle w:val="a3"/>
                                            <w:shd w:val="clear" w:color="auto" w:fill="FFFFFF"/>
                                            <w:spacing w:beforeAutospacing="0" w:afterAutospacing="0" w:line="352" w:lineRule="atLeast"/>
                                            <w:rPr>
                                              <w:rFonts w:ascii="微软雅黑" w:eastAsia="微软雅黑" w:hAnsi="微软雅黑" w:cstheme="minorBidi" w:hint="eastAsia"/>
                                              <w:b/>
                                              <w:bCs/>
                                              <w:color w:val="000000"/>
                                              <w:kern w:val="2"/>
                                              <w:sz w:val="18"/>
                                            </w:rPr>
                                          </w:pPr>
                                          <w:r w:rsidRPr="009261B5">
                                            <w:rPr>
                                              <w:rFonts w:ascii="微软雅黑" w:eastAsia="微软雅黑" w:hAnsi="微软雅黑" w:cstheme="minorBidi" w:hint="eastAsia"/>
                                              <w:color w:val="000000"/>
                                              <w:kern w:val="2"/>
                                              <w:sz w:val="18"/>
                                              <w:szCs w:val="18"/>
                                              <w:shd w:val="clear" w:color="auto" w:fill="FFFFFF"/>
                                            </w:rPr>
                                            <w:t>不同原因引起的腹泻用药不同。除细菌、真菌感染引起的腹泻外，其他腹泻情况均不需要使用抗生素治疗。</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xml:space="preserve">　　非感染性腹泻可使用蒙脱石散通过吸附作用达到止泻效果。微生态制剂可补充生理性肠道益生菌，缓解腹泻症状。口服补液盐可防止急性腹泻所致的脱水和电解质紊乱。蒙脱石散和微生态制剂勿同时服用，以免影响治疗效果。</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w:t>
                                          </w:r>
                                          <w:r w:rsidRPr="009261B5">
                                            <w:rPr>
                                              <w:rFonts w:ascii="微软雅黑" w:eastAsia="微软雅黑" w:hAnsi="微软雅黑" w:cstheme="minorBidi" w:hint="eastAsia"/>
                                              <w:color w:val="000000"/>
                                              <w:kern w:val="2"/>
                                              <w:sz w:val="18"/>
                                              <w:szCs w:val="18"/>
                                            </w:rPr>
                                            <w:br/>
                                          </w:r>
                                          <w:r w:rsidRPr="009261B5">
                                            <w:rPr>
                                              <w:rFonts w:ascii="微软雅黑" w:eastAsia="微软雅黑" w:hAnsi="微软雅黑" w:cstheme="minorBidi" w:hint="eastAsia"/>
                                              <w:color w:val="000000"/>
                                              <w:kern w:val="2"/>
                                              <w:sz w:val="18"/>
                                              <w:szCs w:val="18"/>
                                              <w:shd w:val="clear" w:color="auto" w:fill="FFFFFF"/>
                                            </w:rPr>
                                            <w:t xml:space="preserve">　</w:t>
                                          </w:r>
                                          <w:r w:rsidRPr="009261B5">
                                            <w:rPr>
                                              <w:rFonts w:ascii="微软雅黑" w:eastAsia="微软雅黑" w:hAnsi="微软雅黑" w:cstheme="minorBidi" w:hint="eastAsia"/>
                                              <w:b/>
                                              <w:bCs/>
                                              <w:color w:val="000000"/>
                                              <w:kern w:val="2"/>
                                              <w:sz w:val="18"/>
                                            </w:rPr>
                                            <w:t xml:space="preserve">　提示10  用药时间有讲究，按时用药疗效好</w:t>
                                          </w:r>
                                        </w:p>
                                        <w:p w:rsidR="009261B5" w:rsidRPr="009261B5" w:rsidRDefault="009261B5" w:rsidP="009261B5">
                                          <w:pPr>
                                            <w:pStyle w:val="a3"/>
                                            <w:shd w:val="clear" w:color="auto" w:fill="FFFFFF"/>
                                            <w:spacing w:beforeAutospacing="0" w:afterAutospacing="0" w:line="352" w:lineRule="atLeast"/>
                                            <w:rPr>
                                              <w:rFonts w:ascii="Arial" w:eastAsia="宋体" w:hAnsi="Arial" w:cs="Arial"/>
                                              <w:b/>
                                              <w:color w:val="333333"/>
                                              <w:sz w:val="15"/>
                                              <w:szCs w:val="15"/>
                                            </w:rPr>
                                          </w:pPr>
                                          <w:r>
                                            <w:rPr>
                                              <w:rFonts w:ascii="微软雅黑" w:eastAsia="微软雅黑" w:hAnsi="微软雅黑" w:hint="eastAsia"/>
                                              <w:color w:val="000000"/>
                                              <w:sz w:val="18"/>
                                              <w:szCs w:val="18"/>
                                              <w:shd w:val="clear" w:color="auto" w:fill="FFFFFF"/>
                                            </w:rPr>
                                            <w:t>选择合适的时间服药，不仅能有效地保障药物治疗效果，还能降低药物的副作用。如对胃无刺激性或刺激性小的药物或需要作用于胃部的药物通常需要饭前服用；肠溶片类药物在胃液中不易崩解，只在肠道中才会被吸收，一般要求空腹服用。</w:t>
                                          </w:r>
                                        </w:p>
                                      </w:tc>
                                    </w:tr>
                                    <w:tr w:rsidR="00244777" w:rsidRPr="00244777" w:rsidTr="00531F4F">
                                      <w:trPr>
                                        <w:trHeight w:val="44"/>
                                        <w:tblCellSpacing w:w="0" w:type="dxa"/>
                                        <w:jc w:val="center"/>
                                      </w:trPr>
                                      <w:tc>
                                        <w:tcPr>
                                          <w:tcW w:w="9840" w:type="dxa"/>
                                          <w:vAlign w:val="center"/>
                                          <w:hideMark/>
                                        </w:tcPr>
                                        <w:p w:rsidR="00244777" w:rsidRPr="00244777" w:rsidRDefault="00244777" w:rsidP="00244777">
                                          <w:pPr>
                                            <w:widowControl/>
                                            <w:jc w:val="center"/>
                                            <w:rPr>
                                              <w:rFonts w:ascii="ˎ̥" w:eastAsia="宋体" w:hAnsi="ˎ̥" w:cs="Arial" w:hint="eastAsia"/>
                                              <w:color w:val="000000"/>
                                              <w:kern w:val="0"/>
                                              <w:sz w:val="4"/>
                                              <w:szCs w:val="13"/>
                                            </w:rPr>
                                          </w:pPr>
                                        </w:p>
                                      </w:tc>
                                    </w:tr>
                                    <w:tr w:rsidR="00244777" w:rsidRPr="00244777" w:rsidTr="00531F4F">
                                      <w:trPr>
                                        <w:tblCellSpacing w:w="0" w:type="dxa"/>
                                        <w:jc w:val="center"/>
                                      </w:trPr>
                                      <w:tc>
                                        <w:tcPr>
                                          <w:tcW w:w="9840" w:type="dxa"/>
                                          <w:tcMar>
                                            <w:top w:w="220" w:type="dxa"/>
                                            <w:left w:w="0" w:type="dxa"/>
                                            <w:bottom w:w="0" w:type="dxa"/>
                                            <w:right w:w="0" w:type="dxa"/>
                                          </w:tcMar>
                                          <w:vAlign w:val="center"/>
                                          <w:hideMark/>
                                        </w:tcPr>
                                        <w:tbl>
                                          <w:tblPr>
                                            <w:tblW w:w="5000" w:type="pct"/>
                                            <w:jc w:val="center"/>
                                            <w:tblCellSpacing w:w="0" w:type="dxa"/>
                                            <w:tblLayout w:type="fixed"/>
                                            <w:tblCellMar>
                                              <w:left w:w="0" w:type="dxa"/>
                                              <w:right w:w="0" w:type="dxa"/>
                                            </w:tblCellMar>
                                            <w:tblLook w:val="04A0"/>
                                          </w:tblPr>
                                          <w:tblGrid>
                                            <w:gridCol w:w="9840"/>
                                          </w:tblGrid>
                                          <w:tr w:rsidR="00531F4F" w:rsidRPr="00531F4F">
                                            <w:trPr>
                                              <w:tblCellSpacing w:w="0" w:type="dxa"/>
                                              <w:jc w:val="center"/>
                                            </w:trPr>
                                            <w:tc>
                                              <w:tcPr>
                                                <w:tcW w:w="8306" w:type="dxa"/>
                                                <w:tcMar>
                                                  <w:top w:w="220" w:type="dxa"/>
                                                  <w:left w:w="0" w:type="dxa"/>
                                                  <w:bottom w:w="0" w:type="dxa"/>
                                                  <w:right w:w="0" w:type="dxa"/>
                                                </w:tcMar>
                                                <w:vAlign w:val="center"/>
                                                <w:hideMark/>
                                              </w:tcPr>
                                              <w:p w:rsidR="00531F4F" w:rsidRPr="00531F4F" w:rsidRDefault="00531F4F" w:rsidP="00531F4F">
                                                <w:pPr>
                                                  <w:widowControl/>
                                                  <w:spacing w:before="100" w:beforeAutospacing="1" w:after="100" w:afterAutospacing="1" w:line="480" w:lineRule="auto"/>
                                                  <w:jc w:val="right"/>
                                                  <w:rPr>
                                                    <w:rFonts w:ascii="Arial" w:eastAsia="宋体" w:hAnsi="Arial" w:cs="Arial"/>
                                                    <w:color w:val="000000"/>
                                                    <w:kern w:val="0"/>
                                                    <w:sz w:val="18"/>
                                                    <w:szCs w:val="18"/>
                                                  </w:rPr>
                                                </w:pPr>
                                                <w:r w:rsidRPr="00531F4F">
                                                  <w:rPr>
                                                    <w:rFonts w:ascii="Arial" w:eastAsia="宋体" w:hAnsi="Arial" w:cs="Arial"/>
                                                    <w:color w:val="000000"/>
                                                    <w:kern w:val="0"/>
                                                    <w:sz w:val="15"/>
                                                    <w:szCs w:val="15"/>
                                                  </w:rPr>
                                                  <w:lastRenderedPageBreak/>
                                                  <w:br/>
                                                </w:r>
                                                <w:r w:rsidRPr="00531F4F">
                                                  <w:rPr>
                                                    <w:rFonts w:ascii="Arial" w:eastAsia="宋体" w:hAnsi="Arial" w:cs="Arial"/>
                                                    <w:color w:val="000000"/>
                                                    <w:kern w:val="0"/>
                                                    <w:sz w:val="15"/>
                                                    <w:szCs w:val="15"/>
                                                  </w:rPr>
                                                  <w:br/>
                                                </w:r>
                                                <w:r w:rsidRPr="00531F4F">
                                                  <w:rPr>
                                                    <w:rFonts w:ascii="Arial" w:eastAsia="宋体" w:hAnsi="Arial" w:cs="Arial"/>
                                                    <w:color w:val="000000"/>
                                                    <w:kern w:val="0"/>
                                                    <w:sz w:val="15"/>
                                                    <w:szCs w:val="15"/>
                                                  </w:rPr>
                                                  <w:br/>
                                                </w:r>
                                                <w:r w:rsidRPr="00531F4F">
                                                  <w:rPr>
                                                    <w:rFonts w:ascii="Arial" w:eastAsia="宋体" w:hAnsi="Arial" w:cs="Arial"/>
                                                    <w:color w:val="000000"/>
                                                    <w:kern w:val="0"/>
                                                    <w:sz w:val="15"/>
                                                    <w:szCs w:val="15"/>
                                                  </w:rPr>
                                                  <w:br/>
                                                </w:r>
                                              </w:p>
                                            </w:tc>
                                          </w:tr>
                                          <w:tr w:rsidR="00531F4F" w:rsidRPr="00531F4F">
                                            <w:trPr>
                                              <w:tblCellSpacing w:w="0" w:type="dxa"/>
                                              <w:jc w:val="center"/>
                                            </w:trPr>
                                            <w:tc>
                                              <w:tcPr>
                                                <w:tcW w:w="8306" w:type="dxa"/>
                                                <w:vAlign w:val="center"/>
                                                <w:hideMark/>
                                              </w:tcPr>
                                              <w:p w:rsidR="00531F4F" w:rsidRPr="00531F4F" w:rsidRDefault="00531F4F" w:rsidP="00531F4F">
                                                <w:pPr>
                                                  <w:widowControl/>
                                                  <w:jc w:val="left"/>
                                                  <w:rPr>
                                                    <w:rFonts w:ascii="Arial" w:eastAsia="宋体" w:hAnsi="Arial" w:cs="Arial"/>
                                                    <w:kern w:val="0"/>
                                                    <w:sz w:val="15"/>
                                                    <w:szCs w:val="15"/>
                                                  </w:rPr>
                                                </w:pPr>
                                              </w:p>
                                            </w:tc>
                                          </w:tr>
                                        </w:tbl>
                                        <w:p w:rsidR="00244777" w:rsidRPr="00244777" w:rsidRDefault="00244777" w:rsidP="00244777">
                                          <w:pPr>
                                            <w:widowControl/>
                                            <w:spacing w:before="100" w:beforeAutospacing="1" w:after="100" w:afterAutospacing="1" w:line="176" w:lineRule="atLeast"/>
                                            <w:jc w:val="left"/>
                                            <w:rPr>
                                              <w:rFonts w:ascii="Arial" w:eastAsia="宋体" w:hAnsi="Arial" w:cs="Arial"/>
                                              <w:color w:val="000000"/>
                                              <w:kern w:val="0"/>
                                              <w:sz w:val="18"/>
                                              <w:szCs w:val="18"/>
                                            </w:rPr>
                                          </w:pPr>
                                        </w:p>
                                      </w:tc>
                                    </w:tr>
                                  </w:tbl>
                                  <w:p w:rsidR="00315C36" w:rsidRDefault="00315C36">
                                    <w:pPr>
                                      <w:widowControl/>
                                      <w:spacing w:line="580" w:lineRule="atLeast"/>
                                      <w:jc w:val="center"/>
                                      <w:rPr>
                                        <w:rFonts w:ascii="&amp;quot" w:eastAsia="&amp;quot" w:hAnsi="&amp;quot" w:cs="&amp;quot"/>
                                        <w:color w:val="333333"/>
                                        <w:sz w:val="39"/>
                                        <w:szCs w:val="39"/>
                                      </w:rPr>
                                    </w:pPr>
                                  </w:p>
                                </w:tc>
                              </w:tr>
                              <w:tr w:rsidR="00315C36">
                                <w:trPr>
                                  <w:tblCellSpacing w:w="0" w:type="dxa"/>
                                </w:trPr>
                                <w:tc>
                                  <w:tcPr>
                                    <w:tcW w:w="9840" w:type="dxa"/>
                                    <w:shd w:val="clear" w:color="auto" w:fill="auto"/>
                                    <w:tcMar>
                                      <w:top w:w="300" w:type="dxa"/>
                                    </w:tcMar>
                                    <w:vAlign w:val="center"/>
                                  </w:tcPr>
                                  <w:p w:rsidR="00315C36" w:rsidRDefault="00315C36">
                                    <w:pPr>
                                      <w:pStyle w:val="a3"/>
                                      <w:widowControl/>
                                      <w:spacing w:line="240" w:lineRule="atLeast"/>
                                      <w:rPr>
                                        <w:color w:val="000000"/>
                                      </w:rPr>
                                    </w:pPr>
                                  </w:p>
                                </w:tc>
                              </w:tr>
                            </w:tbl>
                            <w:p w:rsidR="00315C36" w:rsidRDefault="00315C36">
                              <w:pPr>
                                <w:widowControl/>
                                <w:spacing w:line="580" w:lineRule="atLeast"/>
                                <w:jc w:val="center"/>
                                <w:rPr>
                                  <w:rFonts w:ascii="&amp;quot" w:eastAsia="&amp;quot" w:hAnsi="&amp;quot" w:cs="&amp;quot"/>
                                  <w:color w:val="333333"/>
                                  <w:sz w:val="39"/>
                                  <w:szCs w:val="39"/>
                                </w:rPr>
                              </w:pPr>
                            </w:p>
                          </w:tc>
                        </w:tr>
                        <w:tr w:rsidR="00315C36">
                          <w:trPr>
                            <w:tblCellSpacing w:w="0" w:type="dxa"/>
                          </w:trPr>
                          <w:tc>
                            <w:tcPr>
                              <w:tcW w:w="9840" w:type="dxa"/>
                              <w:shd w:val="clear" w:color="auto" w:fill="auto"/>
                              <w:tcMar>
                                <w:top w:w="120" w:type="dxa"/>
                              </w:tcMar>
                              <w:vAlign w:val="center"/>
                            </w:tcPr>
                            <w:p w:rsidR="00315C36" w:rsidRDefault="00315C36">
                              <w:pPr>
                                <w:widowControl/>
                                <w:spacing w:line="320" w:lineRule="atLeast"/>
                                <w:jc w:val="right"/>
                                <w:rPr>
                                  <w:rFonts w:ascii="&amp;quot" w:eastAsia="&amp;quot" w:hAnsi="&amp;quot" w:cs="&amp;quot"/>
                                  <w:color w:val="919191"/>
                                  <w:szCs w:val="21"/>
                                </w:rPr>
                              </w:pPr>
                            </w:p>
                          </w:tc>
                        </w:tr>
                        <w:tr w:rsidR="00315C36">
                          <w:trPr>
                            <w:tblCellSpacing w:w="0" w:type="dxa"/>
                          </w:trPr>
                          <w:tc>
                            <w:tcPr>
                              <w:tcW w:w="9840" w:type="dxa"/>
                              <w:shd w:val="clear" w:color="auto" w:fill="auto"/>
                              <w:vAlign w:val="center"/>
                            </w:tcPr>
                            <w:p w:rsidR="00315C36" w:rsidRDefault="00315C36">
                              <w:pPr>
                                <w:rPr>
                                  <w:rFonts w:ascii="宋体" w:eastAsia="宋体" w:hAnsi="宋体" w:cs="宋体"/>
                                  <w:color w:val="000000"/>
                                  <w:sz w:val="18"/>
                                  <w:szCs w:val="18"/>
                                </w:rPr>
                              </w:pPr>
                            </w:p>
                          </w:tc>
                        </w:tr>
                        <w:tr w:rsidR="00315C36">
                          <w:trPr>
                            <w:tblCellSpacing w:w="0" w:type="dxa"/>
                          </w:trPr>
                          <w:tc>
                            <w:tcPr>
                              <w:tcW w:w="9840" w:type="dxa"/>
                              <w:shd w:val="clear" w:color="auto" w:fill="auto"/>
                              <w:tcMar>
                                <w:top w:w="300" w:type="dxa"/>
                              </w:tcMar>
                              <w:vAlign w:val="center"/>
                            </w:tcPr>
                            <w:p w:rsidR="00315C36" w:rsidRDefault="00315C36">
                              <w:pPr>
                                <w:pStyle w:val="a3"/>
                                <w:widowControl/>
                                <w:spacing w:line="480" w:lineRule="atLeast"/>
                                <w:jc w:val="right"/>
                                <w:rPr>
                                  <w:color w:val="000000"/>
                                </w:rPr>
                              </w:pPr>
                            </w:p>
                          </w:tc>
                        </w:tr>
                      </w:tbl>
                      <w:p w:rsidR="00315C36" w:rsidRDefault="00315C36">
                        <w:pPr>
                          <w:widowControl/>
                          <w:spacing w:line="585" w:lineRule="atLeast"/>
                          <w:jc w:val="center"/>
                          <w:rPr>
                            <w:rFonts w:ascii="微软雅黑" w:eastAsia="微软雅黑" w:hAnsi="微软雅黑" w:cs="微软雅黑"/>
                            <w:color w:val="333333"/>
                            <w:sz w:val="39"/>
                            <w:szCs w:val="39"/>
                          </w:rPr>
                        </w:pPr>
                      </w:p>
                    </w:tc>
                  </w:tr>
                  <w:tr w:rsidR="00315C36">
                    <w:trPr>
                      <w:tblCellSpacing w:w="0" w:type="dxa"/>
                    </w:trPr>
                    <w:tc>
                      <w:tcPr>
                        <w:tcW w:w="9840" w:type="dxa"/>
                        <w:shd w:val="clear" w:color="auto" w:fill="auto"/>
                        <w:vAlign w:val="center"/>
                      </w:tcPr>
                      <w:p w:rsidR="00315C36" w:rsidRDefault="00315C36">
                        <w:pPr>
                          <w:jc w:val="center"/>
                          <w:rPr>
                            <w:rFonts w:ascii="微软雅黑" w:eastAsia="微软雅黑" w:hAnsi="微软雅黑" w:cs="微软雅黑"/>
                            <w:color w:val="333333"/>
                            <w:sz w:val="27"/>
                            <w:szCs w:val="27"/>
                          </w:rPr>
                        </w:pPr>
                      </w:p>
                    </w:tc>
                  </w:tr>
                  <w:tr w:rsidR="00315C36">
                    <w:trPr>
                      <w:tblCellSpacing w:w="0" w:type="dxa"/>
                    </w:trPr>
                    <w:tc>
                      <w:tcPr>
                        <w:tcW w:w="9840" w:type="dxa"/>
                        <w:shd w:val="clear" w:color="auto" w:fill="auto"/>
                        <w:vAlign w:val="center"/>
                      </w:tcPr>
                      <w:p w:rsidR="00315C36" w:rsidRDefault="00315C36">
                        <w:pPr>
                          <w:jc w:val="right"/>
                          <w:rPr>
                            <w:rFonts w:ascii="宋体" w:eastAsia="宋体" w:hAnsi="宋体" w:cs="宋体"/>
                            <w:sz w:val="18"/>
                            <w:szCs w:val="18"/>
                          </w:rPr>
                        </w:pPr>
                      </w:p>
                    </w:tc>
                  </w:tr>
                  <w:tr w:rsidR="00315C36">
                    <w:trPr>
                      <w:tblCellSpacing w:w="0" w:type="dxa"/>
                    </w:trPr>
                    <w:tc>
                      <w:tcPr>
                        <w:tcW w:w="9840" w:type="dxa"/>
                        <w:shd w:val="clear" w:color="auto" w:fill="auto"/>
                        <w:tcMar>
                          <w:top w:w="120" w:type="dxa"/>
                        </w:tcMar>
                        <w:vAlign w:val="center"/>
                      </w:tcPr>
                      <w:p w:rsidR="00315C36" w:rsidRDefault="00315C36">
                        <w:pPr>
                          <w:widowControl/>
                          <w:spacing w:line="315" w:lineRule="atLeast"/>
                          <w:jc w:val="right"/>
                          <w:rPr>
                            <w:rFonts w:ascii="宋体" w:eastAsia="宋体" w:hAnsi="宋体" w:cs="宋体"/>
                            <w:color w:val="919191"/>
                            <w:szCs w:val="21"/>
                          </w:rPr>
                        </w:pPr>
                      </w:p>
                    </w:tc>
                  </w:tr>
                  <w:tr w:rsidR="00315C36">
                    <w:trPr>
                      <w:trHeight w:val="60"/>
                      <w:tblCellSpacing w:w="0" w:type="dxa"/>
                    </w:trPr>
                    <w:tc>
                      <w:tcPr>
                        <w:tcW w:w="9840" w:type="dxa"/>
                        <w:shd w:val="clear" w:color="auto" w:fill="auto"/>
                        <w:vAlign w:val="center"/>
                      </w:tcPr>
                      <w:p w:rsidR="00315C36" w:rsidRDefault="00315C36">
                        <w:pPr>
                          <w:jc w:val="center"/>
                          <w:rPr>
                            <w:rFonts w:ascii="宋体" w:eastAsia="宋体" w:hAnsi="宋体" w:cs="宋体"/>
                            <w:color w:val="000000"/>
                            <w:sz w:val="18"/>
                            <w:szCs w:val="18"/>
                          </w:rPr>
                        </w:pPr>
                      </w:p>
                    </w:tc>
                  </w:tr>
                  <w:tr w:rsidR="00315C36">
                    <w:trPr>
                      <w:tblCellSpacing w:w="0" w:type="dxa"/>
                    </w:trPr>
                    <w:tc>
                      <w:tcPr>
                        <w:tcW w:w="9840" w:type="dxa"/>
                        <w:shd w:val="clear" w:color="auto" w:fill="auto"/>
                        <w:tcMar>
                          <w:top w:w="300" w:type="dxa"/>
                        </w:tcMar>
                        <w:vAlign w:val="center"/>
                      </w:tcPr>
                      <w:p w:rsidR="00315C36" w:rsidRDefault="00315C36">
                        <w:pPr>
                          <w:pStyle w:val="a3"/>
                          <w:widowControl/>
                          <w:spacing w:line="480" w:lineRule="atLeast"/>
                          <w:jc w:val="right"/>
                          <w:rPr>
                            <w:color w:val="000000"/>
                          </w:rPr>
                        </w:pPr>
                      </w:p>
                    </w:tc>
                  </w:tr>
                </w:tbl>
                <w:p w:rsidR="00315C36" w:rsidRDefault="00315C36">
                  <w:pPr>
                    <w:widowControl/>
                    <w:spacing w:line="585" w:lineRule="atLeast"/>
                    <w:jc w:val="center"/>
                    <w:rPr>
                      <w:rFonts w:ascii="微软雅黑" w:eastAsia="微软雅黑" w:hAnsi="微软雅黑" w:cs="微软雅黑"/>
                      <w:color w:val="333333"/>
                      <w:sz w:val="39"/>
                      <w:szCs w:val="39"/>
                    </w:rPr>
                  </w:pPr>
                </w:p>
              </w:tc>
            </w:tr>
            <w:tr w:rsidR="00315C36">
              <w:trPr>
                <w:tblCellSpacing w:w="0" w:type="dxa"/>
                <w:jc w:val="center"/>
              </w:trPr>
              <w:tc>
                <w:tcPr>
                  <w:tcW w:w="9840" w:type="dxa"/>
                  <w:shd w:val="clear" w:color="auto" w:fill="auto"/>
                  <w:tcMar>
                    <w:top w:w="120" w:type="dxa"/>
                  </w:tcMar>
                  <w:vAlign w:val="center"/>
                </w:tcPr>
                <w:p w:rsidR="00315C36" w:rsidRDefault="00315C36">
                  <w:pPr>
                    <w:widowControl/>
                    <w:spacing w:line="315" w:lineRule="atLeast"/>
                    <w:jc w:val="right"/>
                    <w:rPr>
                      <w:rFonts w:ascii="宋体" w:eastAsia="宋体" w:hAnsi="宋体" w:cs="宋体"/>
                      <w:color w:val="919191"/>
                      <w:szCs w:val="21"/>
                    </w:rPr>
                  </w:pPr>
                </w:p>
              </w:tc>
            </w:tr>
            <w:tr w:rsidR="00315C36">
              <w:trPr>
                <w:trHeight w:val="60"/>
                <w:tblCellSpacing w:w="0" w:type="dxa"/>
                <w:jc w:val="center"/>
              </w:trPr>
              <w:tc>
                <w:tcPr>
                  <w:tcW w:w="9840" w:type="dxa"/>
                  <w:shd w:val="clear" w:color="auto" w:fill="auto"/>
                  <w:vAlign w:val="center"/>
                </w:tcPr>
                <w:p w:rsidR="00315C36" w:rsidRDefault="00315C36">
                  <w:pPr>
                    <w:jc w:val="center"/>
                    <w:rPr>
                      <w:rFonts w:ascii="宋体" w:eastAsia="宋体" w:hAnsi="宋体" w:cs="宋体"/>
                      <w:color w:val="000000"/>
                      <w:sz w:val="18"/>
                      <w:szCs w:val="18"/>
                    </w:rPr>
                  </w:pPr>
                </w:p>
              </w:tc>
            </w:tr>
            <w:tr w:rsidR="00315C36">
              <w:trPr>
                <w:tblCellSpacing w:w="0" w:type="dxa"/>
                <w:jc w:val="center"/>
              </w:trPr>
              <w:tc>
                <w:tcPr>
                  <w:tcW w:w="9840" w:type="dxa"/>
                  <w:shd w:val="clear" w:color="auto" w:fill="auto"/>
                  <w:tcMar>
                    <w:top w:w="300" w:type="dxa"/>
                  </w:tcMar>
                  <w:vAlign w:val="center"/>
                </w:tcPr>
                <w:p w:rsidR="00315C36" w:rsidRDefault="00315C36">
                  <w:pPr>
                    <w:pStyle w:val="a3"/>
                    <w:widowControl/>
                    <w:spacing w:line="240" w:lineRule="atLeast"/>
                    <w:rPr>
                      <w:color w:val="000000"/>
                    </w:rPr>
                  </w:pPr>
                </w:p>
              </w:tc>
            </w:tr>
          </w:tbl>
          <w:p w:rsidR="00315C36" w:rsidRDefault="00315C36">
            <w:pPr>
              <w:jc w:val="center"/>
              <w:rPr>
                <w:rFonts w:ascii="宋体" w:eastAsia="宋体" w:hAnsi="宋体" w:cs="宋体"/>
                <w:sz w:val="18"/>
                <w:szCs w:val="18"/>
              </w:rPr>
            </w:pPr>
          </w:p>
        </w:tc>
      </w:tr>
    </w:tbl>
    <w:p w:rsidR="00315C36" w:rsidRDefault="00315C36"/>
    <w:sectPr w:rsidR="00315C36" w:rsidSect="005E7724">
      <w:pgSz w:w="11906" w:h="16838"/>
      <w:pgMar w:top="1440" w:right="1800" w:bottom="709"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268" w:rsidRDefault="00963268" w:rsidP="00963268">
      <w:r>
        <w:separator/>
      </w:r>
    </w:p>
  </w:endnote>
  <w:endnote w:type="continuationSeparator" w:id="1">
    <w:p w:rsidR="00963268" w:rsidRDefault="00963268" w:rsidP="00963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mp;quot">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268" w:rsidRDefault="00963268" w:rsidP="00963268">
      <w:r>
        <w:separator/>
      </w:r>
    </w:p>
  </w:footnote>
  <w:footnote w:type="continuationSeparator" w:id="1">
    <w:p w:rsidR="00963268" w:rsidRDefault="00963268" w:rsidP="009632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6145"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5667349"/>
    <w:rsid w:val="00097C9D"/>
    <w:rsid w:val="000C5FF1"/>
    <w:rsid w:val="00244777"/>
    <w:rsid w:val="00315C36"/>
    <w:rsid w:val="00356A3D"/>
    <w:rsid w:val="00365857"/>
    <w:rsid w:val="00390BF7"/>
    <w:rsid w:val="004D7AF0"/>
    <w:rsid w:val="00531F4F"/>
    <w:rsid w:val="005E7724"/>
    <w:rsid w:val="005F234B"/>
    <w:rsid w:val="0067754B"/>
    <w:rsid w:val="00693234"/>
    <w:rsid w:val="007051BA"/>
    <w:rsid w:val="007B0BD8"/>
    <w:rsid w:val="007E315A"/>
    <w:rsid w:val="00881A96"/>
    <w:rsid w:val="00916DF8"/>
    <w:rsid w:val="009261B5"/>
    <w:rsid w:val="00963268"/>
    <w:rsid w:val="00B643A8"/>
    <w:rsid w:val="00CE5BBB"/>
    <w:rsid w:val="00D475DC"/>
    <w:rsid w:val="00E458BD"/>
    <w:rsid w:val="00E45CB4"/>
    <w:rsid w:val="00E8650E"/>
    <w:rsid w:val="00ED2D35"/>
    <w:rsid w:val="00F1634D"/>
    <w:rsid w:val="00FA055B"/>
    <w:rsid w:val="00FE2664"/>
    <w:rsid w:val="232F0987"/>
    <w:rsid w:val="25EE0A7A"/>
    <w:rsid w:val="29BB6702"/>
    <w:rsid w:val="2DB938C8"/>
    <w:rsid w:val="599606CA"/>
    <w:rsid w:val="622D6292"/>
    <w:rsid w:val="63007AEB"/>
    <w:rsid w:val="65667349"/>
    <w:rsid w:val="672B73F4"/>
    <w:rsid w:val="688E1349"/>
    <w:rsid w:val="68C40CB0"/>
    <w:rsid w:val="68FF2CB3"/>
    <w:rsid w:val="70C63AC5"/>
    <w:rsid w:val="76C72EAB"/>
    <w:rsid w:val="799F5BA6"/>
    <w:rsid w:val="7D126166"/>
    <w:rsid w:val="7D4E72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5C36"/>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96326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15C36"/>
    <w:pPr>
      <w:spacing w:beforeAutospacing="1" w:afterAutospacing="1"/>
      <w:jc w:val="left"/>
    </w:pPr>
    <w:rPr>
      <w:rFonts w:cs="Times New Roman"/>
      <w:kern w:val="0"/>
      <w:sz w:val="24"/>
    </w:rPr>
  </w:style>
  <w:style w:type="character" w:styleId="a4">
    <w:name w:val="Strong"/>
    <w:basedOn w:val="a0"/>
    <w:uiPriority w:val="22"/>
    <w:qFormat/>
    <w:rsid w:val="00315C36"/>
    <w:rPr>
      <w:b/>
    </w:rPr>
  </w:style>
  <w:style w:type="character" w:styleId="a5">
    <w:name w:val="Hyperlink"/>
    <w:basedOn w:val="a0"/>
    <w:qFormat/>
    <w:rsid w:val="00315C36"/>
    <w:rPr>
      <w:color w:val="0000FF"/>
      <w:u w:val="single"/>
    </w:rPr>
  </w:style>
  <w:style w:type="paragraph" w:styleId="a6">
    <w:name w:val="Balloon Text"/>
    <w:basedOn w:val="a"/>
    <w:link w:val="Char"/>
    <w:rsid w:val="004D7AF0"/>
    <w:rPr>
      <w:sz w:val="18"/>
      <w:szCs w:val="18"/>
    </w:rPr>
  </w:style>
  <w:style w:type="character" w:customStyle="1" w:styleId="Char">
    <w:name w:val="批注框文本 Char"/>
    <w:basedOn w:val="a0"/>
    <w:link w:val="a6"/>
    <w:rsid w:val="004D7AF0"/>
    <w:rPr>
      <w:rFonts w:asciiTheme="minorHAnsi" w:eastAsiaTheme="minorEastAsia" w:hAnsiTheme="minorHAnsi" w:cstheme="minorBidi"/>
      <w:kern w:val="2"/>
      <w:sz w:val="18"/>
      <w:szCs w:val="18"/>
    </w:rPr>
  </w:style>
  <w:style w:type="paragraph" w:styleId="a7">
    <w:name w:val="header"/>
    <w:basedOn w:val="a"/>
    <w:link w:val="Char0"/>
    <w:rsid w:val="009632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963268"/>
    <w:rPr>
      <w:rFonts w:asciiTheme="minorHAnsi" w:eastAsiaTheme="minorEastAsia" w:hAnsiTheme="minorHAnsi" w:cstheme="minorBidi"/>
      <w:kern w:val="2"/>
      <w:sz w:val="18"/>
      <w:szCs w:val="18"/>
    </w:rPr>
  </w:style>
  <w:style w:type="paragraph" w:styleId="a8">
    <w:name w:val="footer"/>
    <w:basedOn w:val="a"/>
    <w:link w:val="Char1"/>
    <w:rsid w:val="00963268"/>
    <w:pPr>
      <w:tabs>
        <w:tab w:val="center" w:pos="4153"/>
        <w:tab w:val="right" w:pos="8306"/>
      </w:tabs>
      <w:snapToGrid w:val="0"/>
      <w:jc w:val="left"/>
    </w:pPr>
    <w:rPr>
      <w:sz w:val="18"/>
      <w:szCs w:val="18"/>
    </w:rPr>
  </w:style>
  <w:style w:type="character" w:customStyle="1" w:styleId="Char1">
    <w:name w:val="页脚 Char"/>
    <w:basedOn w:val="a0"/>
    <w:link w:val="a8"/>
    <w:rsid w:val="00963268"/>
    <w:rPr>
      <w:rFonts w:asciiTheme="minorHAnsi" w:eastAsiaTheme="minorEastAsia" w:hAnsiTheme="minorHAnsi" w:cstheme="minorBidi"/>
      <w:kern w:val="2"/>
      <w:sz w:val="18"/>
      <w:szCs w:val="18"/>
    </w:rPr>
  </w:style>
  <w:style w:type="character" w:customStyle="1" w:styleId="2Char">
    <w:name w:val="标题 2 Char"/>
    <w:basedOn w:val="a0"/>
    <w:link w:val="2"/>
    <w:uiPriority w:val="9"/>
    <w:rsid w:val="00963268"/>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201868216">
      <w:bodyDiv w:val="1"/>
      <w:marLeft w:val="0"/>
      <w:marRight w:val="0"/>
      <w:marTop w:val="0"/>
      <w:marBottom w:val="0"/>
      <w:divBdr>
        <w:top w:val="none" w:sz="0" w:space="0" w:color="auto"/>
        <w:left w:val="none" w:sz="0" w:space="0" w:color="auto"/>
        <w:bottom w:val="none" w:sz="0" w:space="0" w:color="auto"/>
        <w:right w:val="none" w:sz="0" w:space="0" w:color="auto"/>
      </w:divBdr>
    </w:div>
    <w:div w:id="242301101">
      <w:bodyDiv w:val="1"/>
      <w:marLeft w:val="0"/>
      <w:marRight w:val="0"/>
      <w:marTop w:val="0"/>
      <w:marBottom w:val="0"/>
      <w:divBdr>
        <w:top w:val="none" w:sz="0" w:space="0" w:color="auto"/>
        <w:left w:val="none" w:sz="0" w:space="0" w:color="auto"/>
        <w:bottom w:val="none" w:sz="0" w:space="0" w:color="auto"/>
        <w:right w:val="none" w:sz="0" w:space="0" w:color="auto"/>
      </w:divBdr>
    </w:div>
    <w:div w:id="976373889">
      <w:bodyDiv w:val="1"/>
      <w:marLeft w:val="0"/>
      <w:marRight w:val="0"/>
      <w:marTop w:val="0"/>
      <w:marBottom w:val="0"/>
      <w:divBdr>
        <w:top w:val="none" w:sz="0" w:space="0" w:color="auto"/>
        <w:left w:val="none" w:sz="0" w:space="0" w:color="auto"/>
        <w:bottom w:val="none" w:sz="0" w:space="0" w:color="auto"/>
        <w:right w:val="none" w:sz="0" w:space="0" w:color="auto"/>
      </w:divBdr>
    </w:div>
    <w:div w:id="1446077186">
      <w:bodyDiv w:val="1"/>
      <w:marLeft w:val="0"/>
      <w:marRight w:val="0"/>
      <w:marTop w:val="0"/>
      <w:marBottom w:val="0"/>
      <w:divBdr>
        <w:top w:val="none" w:sz="0" w:space="0" w:color="auto"/>
        <w:left w:val="none" w:sz="0" w:space="0" w:color="auto"/>
        <w:bottom w:val="none" w:sz="0" w:space="0" w:color="auto"/>
        <w:right w:val="none" w:sz="0" w:space="0" w:color="auto"/>
      </w:divBdr>
    </w:div>
    <w:div w:id="1450398960">
      <w:bodyDiv w:val="1"/>
      <w:marLeft w:val="0"/>
      <w:marRight w:val="0"/>
      <w:marTop w:val="0"/>
      <w:marBottom w:val="0"/>
      <w:divBdr>
        <w:top w:val="none" w:sz="0" w:space="0" w:color="auto"/>
        <w:left w:val="none" w:sz="0" w:space="0" w:color="auto"/>
        <w:bottom w:val="none" w:sz="0" w:space="0" w:color="auto"/>
        <w:right w:val="none" w:sz="0" w:space="0" w:color="auto"/>
      </w:divBdr>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556356228">
      <w:bodyDiv w:val="1"/>
      <w:marLeft w:val="0"/>
      <w:marRight w:val="0"/>
      <w:marTop w:val="0"/>
      <w:marBottom w:val="0"/>
      <w:divBdr>
        <w:top w:val="none" w:sz="0" w:space="0" w:color="auto"/>
        <w:left w:val="none" w:sz="0" w:space="0" w:color="auto"/>
        <w:bottom w:val="none" w:sz="0" w:space="0" w:color="auto"/>
        <w:right w:val="none" w:sz="0" w:space="0" w:color="auto"/>
      </w:divBdr>
    </w:div>
    <w:div w:id="1948924120">
      <w:bodyDiv w:val="1"/>
      <w:marLeft w:val="0"/>
      <w:marRight w:val="0"/>
      <w:marTop w:val="0"/>
      <w:marBottom w:val="0"/>
      <w:divBdr>
        <w:top w:val="none" w:sz="0" w:space="0" w:color="auto"/>
        <w:left w:val="none" w:sz="0" w:space="0" w:color="auto"/>
        <w:bottom w:val="none" w:sz="0" w:space="0" w:color="auto"/>
        <w:right w:val="none" w:sz="0" w:space="0" w:color="auto"/>
      </w:divBdr>
    </w:div>
    <w:div w:id="1975524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1535</Words>
  <Characters>202</Characters>
  <Application>Microsoft Office Word</Application>
  <DocSecurity>0</DocSecurity>
  <Lines>1</Lines>
  <Paragraphs>3</Paragraphs>
  <ScaleCrop>false</ScaleCrop>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lenovo-cb011</dc:creator>
  <cp:lastModifiedBy>AutoBVT</cp:lastModifiedBy>
  <cp:revision>48</cp:revision>
  <cp:lastPrinted>2020-09-22T03:15:00Z</cp:lastPrinted>
  <dcterms:created xsi:type="dcterms:W3CDTF">2018-09-11T06:24:00Z</dcterms:created>
  <dcterms:modified xsi:type="dcterms:W3CDTF">2020-11-17T08:46:00Z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