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583DA5" w:rsidRPr="00583DA5" w:rsidRDefault="00583DA5" w:rsidP="00583DA5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583DA5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2020年公众十大用药提示丨（四）哺乳用药慎选择，母婴健康最重要</w:t>
                                          </w:r>
                                        </w:p>
                                        <w:p w:rsidR="00244777" w:rsidRPr="00583DA5" w:rsidRDefault="00244777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BE73A0" w:rsidRPr="0082116E" w:rsidTr="00D46B0A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:rsidR="00BE73A0" w:rsidRPr="00BE73A0" w:rsidRDefault="00BE73A0" w:rsidP="007C48FF">
                                                      <w:pPr>
                                                        <w:pStyle w:val="a3"/>
                                                        <w:spacing w:line="352" w:lineRule="atLeast"/>
                                                        <w:rPr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   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>哺乳期妈妈用药，事关母婴健康，须格外谨慎对待。怎样做到哺乳期安全合理用药，既能够让妈妈尽快康复，又不影响婴儿健康呢？特别要注意以下几点：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1.尽量选择单一成分的药品，避免复合制剂。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2.应选择速释剂型，避免缓/控释剂型。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3.服药时间选择在哺乳后立即服用，延长下一次哺乳时间，最好选择婴儿长时间睡眠之前。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4.用药期间注意婴儿的身体变化，是否出现不良反应。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5.哺乳期可安全使用的常用药物：抗生素中，青霉素及头孢菌素类；感冒退热药，对乙酰氨基酚和布洛芬；抗过敏药有，氯雷他定和西替利嗪等。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6.某些药物会通过母亲的乳汁进入到婴儿的体内，在哺乳期应禁用影响婴儿组织器官正常发育的药物。如乳母服碘剂后，27％的药物经乳汁排出被乳儿吃入体内，而抑制孩子的脑垂体分泌促甲状腺素，影响孩子的发育和功能；吗啡类成瘾镇痛药在乳汁中的含量很高，与乳母用药量呈正比，被乳儿吃入可抑制呼吸中枢危及孩子的生命；乳母应用四环素类药，可造成乳儿四环素牙；使用异烟肼、甲丙氨酯、麦角胺后可引起乳儿中毒；乳母使用氨基比林类药，可影响乳儿的造血功能；应用磺胺类药，可使乳儿发生核黄疸；应用地西洋（安定）后，可使乳儿体重下降，高胆红素血症；乳母应用卡那霉素、庆大霉素，可使乳儿中毒。如果因为妈妈的疾病原因急需使用时，应暂停哺乳，并定期吸出乳汁。经过药物的5—7个半衰期可以恢复哺乳。</w:t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583DA5">
                                                        <w:rPr>
                                                          <w:rFonts w:ascii="微软雅黑" w:eastAsia="微软雅黑" w:hAnsi="微软雅黑" w:hint="eastAsia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shd w:val="clear" w:color="auto" w:fill="FFFFFF"/>
                                                        </w:rPr>
                                                        <w:t xml:space="preserve">　　最后提醒哺乳期患者，不要自行用药，应在医生和药师指导下，优先选择可在哺乳期安全使用的药物，尽可能减少药物对婴儿的影响。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BE73A0" w:rsidRPr="0082116E" w:rsidTr="00D46B0A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9840" w:type="dxa"/>
                                                      <w:hideMark/>
                                                    </w:tcPr>
                                                    <w:p w:rsidR="00BE73A0" w:rsidRPr="005502CE" w:rsidRDefault="00BE73A0" w:rsidP="007C48FF">
                                                      <w:pPr>
                                                        <w:pStyle w:val="a3"/>
                                                        <w:spacing w:line="352" w:lineRule="atLeast"/>
                                                        <w:rPr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531F4F" w:rsidP="0082116E">
                                                <w:pPr>
                                                  <w:widowControl/>
                                                  <w:spacing w:before="100" w:beforeAutospacing="1" w:after="100" w:afterAutospacing="1" w:line="360" w:lineRule="auto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31F4F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A0" w:rsidRDefault="00BE73A0" w:rsidP="00BE73A0">
      <w:r>
        <w:separator/>
      </w:r>
    </w:p>
  </w:endnote>
  <w:endnote w:type="continuationSeparator" w:id="1">
    <w:p w:rsidR="00BE73A0" w:rsidRDefault="00BE73A0" w:rsidP="00BE7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A0" w:rsidRDefault="00BE73A0" w:rsidP="00BE73A0">
      <w:r>
        <w:separator/>
      </w:r>
    </w:p>
  </w:footnote>
  <w:footnote w:type="continuationSeparator" w:id="1">
    <w:p w:rsidR="00BE73A0" w:rsidRDefault="00BE73A0" w:rsidP="00BE7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05852"/>
    <w:rsid w:val="00024A4F"/>
    <w:rsid w:val="00097C9D"/>
    <w:rsid w:val="001A6153"/>
    <w:rsid w:val="00235466"/>
    <w:rsid w:val="00244777"/>
    <w:rsid w:val="00294992"/>
    <w:rsid w:val="002C2DCC"/>
    <w:rsid w:val="00315C36"/>
    <w:rsid w:val="00356A3D"/>
    <w:rsid w:val="00365857"/>
    <w:rsid w:val="00390BF7"/>
    <w:rsid w:val="004D7AF0"/>
    <w:rsid w:val="004E2401"/>
    <w:rsid w:val="004E58F0"/>
    <w:rsid w:val="00531F4F"/>
    <w:rsid w:val="00583DA5"/>
    <w:rsid w:val="005F234B"/>
    <w:rsid w:val="00664B43"/>
    <w:rsid w:val="0067754B"/>
    <w:rsid w:val="007051BA"/>
    <w:rsid w:val="007E315A"/>
    <w:rsid w:val="0082116E"/>
    <w:rsid w:val="00881A96"/>
    <w:rsid w:val="00916DF8"/>
    <w:rsid w:val="00B643A8"/>
    <w:rsid w:val="00BE73A0"/>
    <w:rsid w:val="00CE5BBB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BE73A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BE7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BE73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BE7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BE73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E73A0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648</Words>
  <Characters>92</Characters>
  <Application>Microsoft Office Word</Application>
  <DocSecurity>0</DocSecurity>
  <Lines>1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46</cp:revision>
  <cp:lastPrinted>2020-10-19T08:12:00Z</cp:lastPrinted>
  <dcterms:created xsi:type="dcterms:W3CDTF">2018-09-11T06:24:00Z</dcterms:created>
  <dcterms:modified xsi:type="dcterms:W3CDTF">2020-11-20T02:28:00Z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