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color w:val="FF0000"/>
          <w:sz w:val="32"/>
          <w:szCs w:val="32"/>
        </w:rPr>
      </w:pPr>
    </w:p>
    <w:p>
      <w:pPr>
        <w:rPr>
          <w:rFonts w:hint="eastAsia" w:ascii="黑体" w:hAnsi="黑体" w:eastAsia="黑体" w:cs="黑体"/>
          <w:b/>
          <w:color w:val="FF0000"/>
          <w:sz w:val="32"/>
          <w:szCs w:val="32"/>
        </w:rPr>
      </w:pPr>
    </w:p>
    <w:p>
      <w:pPr>
        <w:rPr>
          <w:rFonts w:hint="eastAsia" w:ascii="黑体" w:hAnsi="黑体" w:eastAsia="黑体" w:cs="黑体"/>
          <w:b/>
          <w:color w:val="FF0000"/>
          <w:sz w:val="32"/>
          <w:szCs w:val="32"/>
        </w:rPr>
      </w:pPr>
    </w:p>
    <w:p>
      <w:pPr>
        <w:rPr>
          <w:rFonts w:hint="eastAsia" w:ascii="仿宋_GB2312" w:hAnsi="宋体"/>
        </w:rPr>
      </w:pPr>
      <w:r>
        <w:rPr>
          <w:rFonts w:ascii="宋体" w:hAnsi="宋体"/>
          <w:b/>
          <w:color w:val="FF0000"/>
          <w:sz w:val="72"/>
          <w:szCs w:val="72"/>
        </w:rPr>
        <w:pict>
          <v:shape id="_x0000_i1025" o:spt="136" type="#_x0000_t136" style="height:59.1pt;width:430.65pt;" fillcolor="#FF0000" filled="t" stroked="t" coordsize="21600,21600" adj="10800">
            <v:path/>
            <v:fill on="t" color2="#FFFFFF" focussize="0,0"/>
            <v:stroke color="#FF0000"/>
            <v:imagedata o:title=""/>
            <o:lock v:ext="edit" aspectratio="f"/>
            <v:textpath on="t" fitshape="t" fitpath="t" trim="t" xscale="f" string="中共官渡区委全面依法治区委员会文件" style="font-family:方正小标宋简体;font-size:32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官治区〔20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numPr>
          <w:ilvl w:val="0"/>
          <w:numId w:val="1"/>
        </w:numPr>
        <w:spacing w:line="600" w:lineRule="exact"/>
        <w:rPr>
          <w:rFonts w:eastAsia="黑体"/>
          <w:color w:val="FF0000"/>
          <w:sz w:val="52"/>
          <w:szCs w:val="52"/>
        </w:rPr>
      </w:pPr>
      <w:r>
        <mc:AlternateContent>
          <mc:Choice Requires="wps">
            <w:drawing>
              <wp:anchor distT="0" distB="0" distL="114300" distR="114300" simplePos="0" relativeHeight="251658240" behindDoc="0" locked="0" layoutInCell="1" allowOverlap="1">
                <wp:simplePos x="0" y="0"/>
                <wp:positionH relativeFrom="column">
                  <wp:posOffset>2976880</wp:posOffset>
                </wp:positionH>
                <wp:positionV relativeFrom="paragraph">
                  <wp:posOffset>200660</wp:posOffset>
                </wp:positionV>
                <wp:extent cx="2537460" cy="0"/>
                <wp:effectExtent l="0" t="0" r="0" b="0"/>
                <wp:wrapNone/>
                <wp:docPr id="7" name="直线 2"/>
                <wp:cNvGraphicFramePr/>
                <a:graphic xmlns:a="http://schemas.openxmlformats.org/drawingml/2006/main">
                  <a:graphicData uri="http://schemas.microsoft.com/office/word/2010/wordprocessingShape">
                    <wps:wsp>
                      <wps:cNvCnPr/>
                      <wps:spPr>
                        <a:xfrm>
                          <a:off x="0" y="0"/>
                          <a:ext cx="2458528"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34.4pt;margin-top:15.8pt;height:0pt;width:199.8pt;z-index:251658240;mso-width-relative:page;mso-height-relative:page;" filled="f" stroked="t" coordsize="21600,21600" o:gfxdata="UEsDBAoAAAAAAIdO4kAAAAAAAAAAAAAAAAAEAAAAZHJzL1BLAwQUAAAACACHTuJA5erIg9YAAAAJ&#10;AQAADwAAAGRycy9kb3ducmV2LnhtbE2PvU7EMBCEeyTewVokOs4JHFYU4lwBAgk6Dg5Etxdv4gh7&#10;HcW+H94eIwood3Y0802zOnon9jTHMbCGclGAIO6CGXnQ8Ppyf1GBiAnZoAtMGr4owqo9PWmwNuHA&#10;z7Rfp0HkEI41arApTbWUsbPkMS7CRJx/fZg9pnzOgzQzHnK4d/KyKJT0OHJusDjRraXuc73zGh7f&#10;aGM2H09318GZsn9/ULG3Suvzs7K4AZHomP7M8IOf0aHNTNuwYxOF07BUVUZPGq5KBSIbKlUtQWx/&#10;Bdk28v+C9htQSwMEFAAAAAgAh07iQDHM1XXNAQAAkAMAAA4AAABkcnMvZTJvRG9jLnhtbK1TS44T&#10;MRDdI3EHy3vSPdEERq10ZjEhbBBEAg5Q8afbkn9ymXRyFq7Big3HmWtQdjJhYDYjRBZOlV31qt6r&#10;6uXtwVm2VwlN8D2/mrWcKS+CNH7o+ZfPm1c3nGEGL8EGr3p+VMhvVy9fLKfYqXkYg5UqMQLx2E2x&#10;52POsWsaFKNygLMQladHHZKDTG4aGplgInRnm3nbvm6mkGRMQShEul2fHvmq4mutRP6oNarMbM+p&#10;t1zPVM9dOZvVErohQRyNOLcB/9CFA+Op6AVqDRnY12SeQDkjUsCg80wE1wStjVCVA7G5av9i82mE&#10;qCoXEgfjRSb8f7Diw36bmJE9f8OZB0cjuv/2/f7HTzYv2kwROwq589t09jBuUyF60MmVf6LADlXP&#10;40VPdchM0OX8enGzmNMGiIe35ndiTJjfqeBYMXpujS9UoYP9e8xUjEIfQsq19WwixMV1S2MUQKui&#10;LWQyXaTm0Q81GYM1cmOsLSmYht2dTWwPNPzNpqVf4UTAf4SVKmvA8RRXn05rMSqQb71k+RhJFk/7&#10;y0sPTknOrKJ1LxYBQpfB2OdEUmnrS4Kqq3kmWkQ+yVqsXZDHqnZTPBp77fi8omWvHvtkP/6Q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erIg9YAAAAJAQAADwAAAAAAAAABACAAAAAiAAAAZHJz&#10;L2Rvd25yZXYueG1sUEsBAhQAFAAAAAgAh07iQDHM1XXNAQAAkAMAAA4AAAAAAAAAAQAgAAAAJQEA&#10;AGRycy9lMm9Eb2MueG1sUEsFBgAAAAAGAAYAWQEAAGQFAAAAAA==&#10;">
                <v:fill on="f" focussize="0,0"/>
                <v:stroke weight="2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200660</wp:posOffset>
                </wp:positionV>
                <wp:extent cx="2555875" cy="0"/>
                <wp:effectExtent l="0" t="0" r="0" b="0"/>
                <wp:wrapNone/>
                <wp:docPr id="6" name="直线 3"/>
                <wp:cNvGraphicFramePr/>
                <a:graphic xmlns:a="http://schemas.openxmlformats.org/drawingml/2006/main">
                  <a:graphicData uri="http://schemas.microsoft.com/office/word/2010/wordprocessingShape">
                    <wps:wsp>
                      <wps:cNvCnPr/>
                      <wps:spPr>
                        <a:xfrm>
                          <a:off x="0" y="0"/>
                          <a:ext cx="255587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85pt;margin-top:15.8pt;height:0pt;width:201.25pt;z-index:251659264;mso-width-relative:page;mso-height-relative:page;" filled="f" stroked="t" coordsize="21600,21600" o:gfxdata="UEsDBAoAAAAAAIdO4kAAAAAAAAAAAAAAAAAEAAAAZHJzL1BLAwQUAAAACACHTuJAY8xM4tMAAAAH&#10;AQAADwAAAGRycy9kb3ducmV2LnhtbE2Oy07DMBBF90j8gzVI7KidUgIKcboAgQQ7CgWxc+NJHGGP&#10;o9h98PcM6gKW96F7T708BC92OKUhkoZipkAgtdEO1Gt4e324uAGRsiFrfCTU8I0Jls3pSW0qG/f0&#10;grtV7gWPUKqMBpfzWEmZWofBpFkckTjr4hRMZjn10k5mz+PBy7lSpQxmIH5wZsQ7h+3Xahs0PL3j&#10;2q4/n++vordF9/FYps6VWp+fFeoWRMZD/ivDLz6jQ8NMm7glm4Rnfc1FDZdFCYLjhVrMQWyOhmxq&#10;+Z+/+QFQSwMEFAAAAAgAh07iQAhNcurMAQAAkAMAAA4AAABkcnMvZTJvRG9jLnhtbK1TS44TMRDd&#10;I3EHy3vSPYEMo1Y6s5gQNggiMRyg4k+3Jf/kMunkLFyDFRuOM9eg7GTCABuEyMKpsqte1XtVvbw9&#10;OMv2KqEJvudXs5Yz5UWQxg89/3S/eXHDGWbwEmzwqudHhfx29fzZcoqdmocxWKkSIxCP3RR7PuYc&#10;u6ZBMSoHOAtReXrUITnI5KahkQkmQne2mbftdTOFJGMKQiHS7fr0yFcVX2sl8getUWVme0695Xqm&#10;eu7K2ayW0A0J4mjEuQ34hy4cGE9FL1BryMA+J/MHlDMiBQw6z0RwTdDaCFU5EJur9jc2H0eIqnIh&#10;cTBeZML/Byve77eJGdnza848OBrRw5evD9++s5dFmyliRyF3fpvOHsZtKkQPOrnyTxTYoep5vOip&#10;DpkJupwvFoub1wvOxONb8zMxJsxvVXCsGD23xheq0MH+HWYqRqGPIeXaejYVxFctjVEArYq2kMl0&#10;kZpHP9RkDNbIjbG2pGAadnc2sT3Q8Debln6FEwH/ElaqrAHHU1x9Oq3FqEC+8ZLlYyRZPO0vLz04&#10;JTmzita9WAQIXQZj/yaSSltfElRdzTPRIvJJ1mLtgjxWtZvi0dhrx+cVLXv11Cf76Y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zEzi0wAAAAcBAAAPAAAAAAAAAAEAIAAAACIAAABkcnMvZG93&#10;bnJldi54bWxQSwECFAAUAAAACACHTuJACE1y6swBAACQAwAADgAAAAAAAAABACAAAAAiAQAAZHJz&#10;L2Uyb0RvYy54bWxQSwUGAAAAAAYABgBZAQAAYAUAAAAA&#10;">
                <v:fill on="f" focussize="0,0"/>
                <v:stroke weight="2pt" color="#FF0000" joinstyle="round"/>
                <v:imagedata o:title=""/>
                <o:lock v:ext="edit" aspectratio="f"/>
              </v:line>
            </w:pict>
          </mc:Fallback>
        </mc:AlternateContent>
      </w:r>
      <w:r>
        <w:rPr>
          <w:rFonts w:hint="eastAsia" w:ascii="宋体" w:hAnsi="宋体" w:cs="宋体"/>
          <w:color w:val="FF0000"/>
          <w:sz w:val="52"/>
          <w:szCs w:val="5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rPr>
      </w:pPr>
      <w:r>
        <w:rPr>
          <w:rFonts w:hint="eastAsia" w:ascii="方正小标宋_GBK" w:hAnsi="方正小标宋_GBK" w:eastAsia="方正小标宋_GBK" w:cs="方正小标宋_GBK"/>
          <w:kern w:val="0"/>
          <w:sz w:val="44"/>
          <w:szCs w:val="44"/>
          <w:lang w:eastAsia="zh-CN"/>
        </w:rPr>
        <w:t>关于印发《官渡区贯彻落实中央全面依法治国委员会&lt;关于加强综合治理从源头切实解决执行难问题的意见&gt;的实施意见》的通知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方正小标宋简体" w:eastAsia="仿宋_GB2312" w:cs="方正小标宋简体"/>
          <w:kern w:val="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区委</w:t>
      </w:r>
      <w:r>
        <w:rPr>
          <w:rFonts w:hint="eastAsia" w:ascii="仿宋_GB2312" w:hAnsi="仿宋_GB2312" w:eastAsia="仿宋_GB2312" w:cs="仿宋_GB2312"/>
          <w:spacing w:val="0"/>
          <w:kern w:val="0"/>
          <w:sz w:val="32"/>
          <w:szCs w:val="32"/>
          <w:lang w:eastAsia="zh-CN"/>
        </w:rPr>
        <w:t>全面</w:t>
      </w:r>
      <w:r>
        <w:rPr>
          <w:rFonts w:hint="eastAsia" w:ascii="仿宋_GB2312" w:hAnsi="仿宋_GB2312" w:eastAsia="仿宋_GB2312" w:cs="仿宋_GB2312"/>
          <w:spacing w:val="0"/>
          <w:kern w:val="0"/>
          <w:sz w:val="32"/>
          <w:szCs w:val="32"/>
        </w:rPr>
        <w:t>依法治区</w:t>
      </w:r>
      <w:r>
        <w:rPr>
          <w:rFonts w:hint="eastAsia" w:ascii="仿宋_GB2312" w:hAnsi="仿宋_GB2312" w:eastAsia="仿宋_GB2312" w:cs="仿宋_GB2312"/>
          <w:spacing w:val="0"/>
          <w:kern w:val="0"/>
          <w:sz w:val="32"/>
          <w:szCs w:val="32"/>
          <w:lang w:eastAsia="zh-CN"/>
        </w:rPr>
        <w:t>委员会</w:t>
      </w:r>
      <w:r>
        <w:rPr>
          <w:rFonts w:hint="eastAsia" w:ascii="仿宋_GB2312" w:hAnsi="仿宋_GB2312" w:eastAsia="仿宋_GB2312" w:cs="仿宋_GB2312"/>
          <w:spacing w:val="0"/>
          <w:kern w:val="0"/>
          <w:sz w:val="32"/>
          <w:szCs w:val="32"/>
        </w:rPr>
        <w:t>各</w:t>
      </w:r>
      <w:r>
        <w:rPr>
          <w:rFonts w:hint="eastAsia" w:ascii="仿宋_GB2312" w:hAnsi="仿宋_GB2312" w:eastAsia="仿宋_GB2312" w:cs="仿宋_GB2312"/>
          <w:spacing w:val="0"/>
          <w:kern w:val="0"/>
          <w:sz w:val="32"/>
          <w:szCs w:val="32"/>
          <w:lang w:eastAsia="zh-CN"/>
        </w:rPr>
        <w:t>协调小</w:t>
      </w:r>
      <w:r>
        <w:rPr>
          <w:rFonts w:hint="eastAsia" w:ascii="仿宋_GB2312" w:hAnsi="仿宋_GB2312" w:eastAsia="仿宋_GB2312" w:cs="仿宋_GB2312"/>
          <w:spacing w:val="0"/>
          <w:kern w:val="0"/>
          <w:sz w:val="32"/>
          <w:szCs w:val="32"/>
        </w:rPr>
        <w:t>组</w:t>
      </w:r>
      <w:r>
        <w:rPr>
          <w:rFonts w:hint="eastAsia" w:ascii="仿宋_GB2312" w:hAnsi="仿宋_GB2312" w:eastAsia="仿宋_GB2312" w:cs="仿宋_GB2312"/>
          <w:spacing w:val="0"/>
          <w:kern w:val="0"/>
          <w:sz w:val="32"/>
          <w:szCs w:val="32"/>
          <w:lang w:eastAsia="zh-CN"/>
        </w:rPr>
        <w:t>及成员单位、承担委员会年度工作任务以及法治建设任务的区级单位、各街道</w:t>
      </w:r>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asciiTheme="minorHAnsi" w:hAnsiTheme="minorHAnsi" w:cstheme="minorBidi"/>
          <w:kern w:val="0"/>
        </w:rPr>
      </w:pPr>
      <w:r>
        <w:rPr>
          <w:rFonts w:hint="eastAsia" w:eastAsia="仿宋_GB2312" w:asciiTheme="minorHAnsi" w:hAnsiTheme="minorHAnsi" w:cstheme="minorBidi"/>
          <w:kern w:val="0"/>
          <w:lang w:eastAsia="zh-CN"/>
        </w:rPr>
        <w:t>《官渡区贯彻落实中央全面依法治国委员会</w:t>
      </w:r>
      <w:r>
        <w:rPr>
          <w:rFonts w:hint="eastAsia" w:eastAsia="仿宋_GB2312" w:asciiTheme="minorHAnsi" w:hAnsiTheme="minorHAnsi" w:cstheme="minorBidi"/>
          <w:kern w:val="0"/>
          <w:lang w:val="en-US" w:eastAsia="zh-CN"/>
        </w:rPr>
        <w:t>&lt;</w:t>
      </w:r>
      <w:r>
        <w:rPr>
          <w:rFonts w:hint="eastAsia" w:eastAsia="仿宋_GB2312" w:asciiTheme="minorHAnsi" w:hAnsiTheme="minorHAnsi" w:cstheme="minorBidi"/>
          <w:kern w:val="0"/>
          <w:lang w:eastAsia="zh-CN"/>
        </w:rPr>
        <w:t>关于加强综合治理从源头切实解决执行难问题的意见</w:t>
      </w:r>
      <w:r>
        <w:rPr>
          <w:rFonts w:hint="eastAsia" w:eastAsia="仿宋_GB2312" w:asciiTheme="minorHAnsi" w:hAnsiTheme="minorHAnsi" w:cstheme="minorBidi"/>
          <w:kern w:val="0"/>
          <w:lang w:val="en-US" w:eastAsia="zh-CN"/>
        </w:rPr>
        <w:t>&gt;</w:t>
      </w:r>
      <w:r>
        <w:rPr>
          <w:rFonts w:hint="eastAsia" w:eastAsia="仿宋_GB2312" w:asciiTheme="minorHAnsi" w:hAnsiTheme="minorHAnsi" w:cstheme="minorBidi"/>
          <w:kern w:val="0"/>
          <w:lang w:eastAsia="zh-CN"/>
        </w:rPr>
        <w:t>的实施意见》</w:t>
      </w:r>
      <w:r>
        <w:rPr>
          <w:rFonts w:hint="eastAsia" w:eastAsia="仿宋_GB2312" w:asciiTheme="minorHAnsi" w:hAnsiTheme="minorHAnsi" w:cstheme="minorBidi"/>
          <w:kern w:val="0"/>
        </w:rPr>
        <w:t>经</w:t>
      </w:r>
      <w:r>
        <w:rPr>
          <w:rFonts w:hint="eastAsia" w:eastAsia="仿宋_GB2312" w:asciiTheme="minorHAnsi" w:hAnsiTheme="minorHAnsi" w:cstheme="minorBidi"/>
          <w:kern w:val="0"/>
          <w:lang w:eastAsia="zh-CN"/>
        </w:rPr>
        <w:t>区</w:t>
      </w:r>
      <w:r>
        <w:rPr>
          <w:rFonts w:hint="eastAsia" w:eastAsia="仿宋_GB2312" w:asciiTheme="minorHAnsi" w:hAnsiTheme="minorHAnsi" w:cstheme="minorBidi"/>
          <w:kern w:val="0"/>
        </w:rPr>
        <w:t>委全面依法治</w:t>
      </w:r>
      <w:r>
        <w:rPr>
          <w:rFonts w:hint="eastAsia" w:eastAsia="仿宋_GB2312" w:asciiTheme="minorHAnsi" w:hAnsiTheme="minorHAnsi" w:cstheme="minorBidi"/>
          <w:kern w:val="0"/>
          <w:lang w:eastAsia="zh-CN"/>
        </w:rPr>
        <w:t>区</w:t>
      </w:r>
      <w:r>
        <w:rPr>
          <w:rFonts w:hint="eastAsia" w:eastAsia="仿宋_GB2312" w:asciiTheme="minorHAnsi" w:hAnsiTheme="minorHAnsi" w:cstheme="minorBidi"/>
          <w:kern w:val="0"/>
        </w:rPr>
        <w:t>委员会第</w:t>
      </w:r>
      <w:r>
        <w:rPr>
          <w:rFonts w:hint="eastAsia" w:eastAsia="仿宋_GB2312" w:asciiTheme="minorHAnsi" w:hAnsiTheme="minorHAnsi" w:cstheme="minorBidi"/>
          <w:kern w:val="0"/>
          <w:lang w:eastAsia="zh-CN"/>
        </w:rPr>
        <w:t>二</w:t>
      </w:r>
      <w:r>
        <w:rPr>
          <w:rFonts w:hint="eastAsia" w:eastAsia="仿宋_GB2312" w:asciiTheme="minorHAnsi" w:hAnsiTheme="minorHAnsi" w:cstheme="minorBidi"/>
          <w:kern w:val="0"/>
        </w:rPr>
        <w:t>次全体会议审议通过，现印发给你们，请认真贯彻落实。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asciiTheme="minorHAnsi" w:hAnsiTheme="minorHAnsi" w:cstheme="minorBidi"/>
          <w:kern w:val="0"/>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3520" w:firstLineChars="11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中共官渡区委</w:t>
      </w:r>
      <w:r>
        <w:rPr>
          <w:rFonts w:hint="eastAsia" w:ascii="仿宋_GB2312" w:hAnsi="仿宋_GB2312" w:eastAsia="仿宋_GB2312" w:cs="仿宋_GB2312"/>
          <w:spacing w:val="0"/>
          <w:kern w:val="0"/>
          <w:sz w:val="32"/>
          <w:szCs w:val="32"/>
          <w:lang w:eastAsia="zh-CN"/>
        </w:rPr>
        <w:t>全面</w:t>
      </w:r>
      <w:r>
        <w:rPr>
          <w:rFonts w:hint="eastAsia" w:ascii="仿宋_GB2312" w:hAnsi="仿宋_GB2312" w:eastAsia="仿宋_GB2312" w:cs="仿宋_GB2312"/>
          <w:spacing w:val="0"/>
          <w:kern w:val="0"/>
          <w:sz w:val="32"/>
          <w:szCs w:val="32"/>
        </w:rPr>
        <w:t>依法治区</w:t>
      </w:r>
      <w:r>
        <w:rPr>
          <w:rFonts w:hint="eastAsia" w:ascii="仿宋_GB2312" w:hAnsi="仿宋_GB2312" w:eastAsia="仿宋_GB2312" w:cs="仿宋_GB2312"/>
          <w:spacing w:val="0"/>
          <w:kern w:val="0"/>
          <w:sz w:val="32"/>
          <w:szCs w:val="32"/>
          <w:lang w:eastAsia="zh-CN"/>
        </w:rPr>
        <w:t>委员会</w:t>
      </w:r>
      <w:r>
        <w:rPr>
          <w:rFonts w:hint="eastAsia" w:ascii="仿宋_GB2312" w:hAnsi="仿宋_GB2312" w:eastAsia="仿宋_GB2312" w:cs="仿宋_GB2312"/>
          <w:spacing w:val="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 xml:space="preserve">  20</w:t>
      </w:r>
      <w:r>
        <w:rPr>
          <w:rFonts w:hint="eastAsia" w:ascii="仿宋_GB2312" w:hAnsi="仿宋_GB2312" w:eastAsia="仿宋_GB2312" w:cs="仿宋_GB2312"/>
          <w:spacing w:val="0"/>
          <w:kern w:val="0"/>
          <w:sz w:val="32"/>
          <w:szCs w:val="32"/>
          <w:lang w:val="en-US" w:eastAsia="zh-CN"/>
        </w:rPr>
        <w:t>20</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月</w:t>
      </w:r>
      <w:r>
        <w:rPr>
          <w:rFonts w:hint="eastAsia" w:ascii="仿宋_GB2312" w:hAnsi="仿宋_GB2312" w:eastAsia="仿宋_GB2312" w:cs="仿宋_GB2312"/>
          <w:spacing w:val="0"/>
          <w:kern w:val="0"/>
          <w:sz w:val="32"/>
          <w:szCs w:val="32"/>
          <w:lang w:val="en-US" w:eastAsia="zh-CN"/>
        </w:rPr>
        <w:t>8</w:t>
      </w:r>
      <w:r>
        <w:rPr>
          <w:rFonts w:hint="eastAsia" w:ascii="仿宋_GB2312" w:hAnsi="仿宋_GB2312" w:eastAsia="仿宋_GB2312" w:cs="仿宋_GB2312"/>
          <w:spacing w:val="0"/>
          <w:kern w:val="0"/>
          <w:sz w:val="32"/>
          <w:szCs w:val="32"/>
        </w:rPr>
        <w:t>日</w:t>
      </w:r>
    </w:p>
    <w:p>
      <w:pPr>
        <w:spacing w:line="640" w:lineRule="exact"/>
        <w:rPr>
          <w:rFonts w:ascii="仿宋_GB2312" w:hAnsi="华文仿宋" w:eastAsia="仿宋_GB2312" w:cs="?¬ÀŒ"/>
          <w:kern w:val="1"/>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黑体" w:eastAsia="方正小标宋简体"/>
          <w:sz w:val="44"/>
          <w:szCs w:val="44"/>
          <w:highlight w:val="none"/>
        </w:rPr>
      </w:pPr>
      <w:r>
        <w:rPr>
          <w:rFonts w:hint="eastAsia" w:ascii="方正小标宋_GBK" w:hAnsi="方正小标宋_GBK" w:eastAsia="方正小标宋_GBK" w:cs="方正小标宋_GBK"/>
          <w:kern w:val="0"/>
          <w:sz w:val="44"/>
          <w:szCs w:val="44"/>
          <w:lang w:eastAsia="zh-CN"/>
        </w:rPr>
        <w:t>关于印发《官渡区贯彻落实中央全面依法治国委员会&lt;关于加强综合治理从源头切实解决执行难问题的意见&gt;的实施意见》的通知</w:t>
      </w:r>
    </w:p>
    <w:p>
      <w:pPr>
        <w:spacing w:line="640" w:lineRule="exact"/>
        <w:ind w:firstLine="2880" w:firstLineChars="900"/>
        <w:rPr>
          <w:rFonts w:ascii="楷体_GB2312" w:hAnsi="黑体" w:eastAsia="楷体_GB2312"/>
          <w:sz w:val="32"/>
          <w:szCs w:val="32"/>
          <w:highlight w:val="none"/>
        </w:rPr>
      </w:pPr>
    </w:p>
    <w:p>
      <w:pPr>
        <w:spacing w:line="640" w:lineRule="exact"/>
        <w:ind w:firstLine="640" w:firstLineChars="200"/>
        <w:rPr>
          <w:rFonts w:ascii="仿宋_GB2312" w:eastAsia="仿宋_GB2312"/>
          <w:sz w:val="32"/>
          <w:szCs w:val="32"/>
          <w:highlight w:val="none"/>
        </w:rPr>
      </w:pPr>
      <w:r>
        <w:rPr>
          <w:rFonts w:ascii="仿宋_GB2312" w:hAnsi="华文仿宋" w:eastAsia="仿宋_GB2312" w:cs="?¬ÀŒ"/>
          <w:kern w:val="1"/>
          <w:sz w:val="32"/>
          <w:szCs w:val="32"/>
          <w:highlight w:val="none"/>
        </w:rPr>
        <w:t>党的十八届四中全会提出要“切实解决执行难，依法保障胜诉当事人及时实现权益”</w:t>
      </w:r>
      <w:r>
        <w:rPr>
          <w:rFonts w:hint="eastAsia" w:ascii="仿宋_GB2312" w:hAnsi="华文仿宋" w:eastAsia="仿宋_GB2312" w:cs="?¬ÀŒ"/>
          <w:kern w:val="1"/>
          <w:sz w:val="32"/>
          <w:szCs w:val="32"/>
          <w:highlight w:val="none"/>
        </w:rPr>
        <w:t>。</w:t>
      </w:r>
      <w:r>
        <w:rPr>
          <w:rFonts w:ascii="仿宋_GB2312" w:hAnsi="华文仿宋" w:eastAsia="仿宋_GB2312" w:cs="?¬ÀŒ"/>
          <w:kern w:val="1"/>
          <w:sz w:val="32"/>
          <w:szCs w:val="32"/>
          <w:highlight w:val="none"/>
        </w:rPr>
        <w:t>十九届四中全会审议通过《中共中央关于坚持和完善中国特色社会主义制度、推进国家治理体系和治理能力现代化若干重大问题的决定》</w:t>
      </w:r>
      <w:r>
        <w:rPr>
          <w:rFonts w:hint="eastAsia" w:ascii="仿宋_GB2312" w:hAnsi="华文仿宋" w:eastAsia="仿宋_GB2312" w:cs="?¬ÀŒ"/>
          <w:kern w:val="1"/>
          <w:sz w:val="32"/>
          <w:szCs w:val="32"/>
          <w:highlight w:val="none"/>
        </w:rPr>
        <w:t>。</w:t>
      </w:r>
      <w:r>
        <w:rPr>
          <w:rFonts w:ascii="仿宋_GB2312" w:hAnsi="华文仿宋" w:eastAsia="仿宋_GB2312" w:cs="?¬ÀŒ"/>
          <w:kern w:val="1"/>
          <w:sz w:val="32"/>
          <w:szCs w:val="32"/>
          <w:highlight w:val="none"/>
        </w:rPr>
        <w:t>为深入贯彻中央决策部署，</w:t>
      </w:r>
      <w:r>
        <w:rPr>
          <w:rFonts w:hint="eastAsia" w:ascii="仿宋_GB2312" w:eastAsia="仿宋_GB2312"/>
          <w:sz w:val="32"/>
          <w:szCs w:val="32"/>
          <w:highlight w:val="none"/>
        </w:rPr>
        <w:t>落实中央全面依法治国委员会下发的《关于加强综合治理从源头切实解决执行难问题的意见》，进一步构建解决执行难基层社会治理新格局，并</w:t>
      </w:r>
      <w:r>
        <w:rPr>
          <w:rFonts w:hint="eastAsia" w:ascii="仿宋_GB2312" w:hAnsi="华文仿宋" w:eastAsia="仿宋_GB2312" w:cs="?¬ÀŒ"/>
          <w:kern w:val="1"/>
          <w:sz w:val="32"/>
          <w:szCs w:val="32"/>
          <w:highlight w:val="none"/>
        </w:rPr>
        <w:t>纳入推进</w:t>
      </w:r>
      <w:r>
        <w:rPr>
          <w:rFonts w:hint="eastAsia" w:ascii="仿宋_GB2312" w:hAnsi="华文仿宋" w:eastAsia="仿宋_GB2312" w:cs="?¬ÀŒ"/>
          <w:kern w:val="1"/>
          <w:sz w:val="32"/>
          <w:szCs w:val="32"/>
          <w:highlight w:val="none"/>
          <w:lang w:eastAsia="zh-CN"/>
        </w:rPr>
        <w:t>区域</w:t>
      </w:r>
      <w:r>
        <w:rPr>
          <w:rFonts w:hint="eastAsia" w:ascii="仿宋_GB2312" w:hAnsi="华文仿宋" w:eastAsia="仿宋_GB2312" w:cs="?¬ÀŒ"/>
          <w:kern w:val="1"/>
          <w:sz w:val="32"/>
          <w:szCs w:val="32"/>
          <w:highlight w:val="none"/>
        </w:rPr>
        <w:t>社会治理现代化的重要内容，</w:t>
      </w:r>
      <w:r>
        <w:rPr>
          <w:rFonts w:hint="eastAsia" w:ascii="仿宋_GB2312" w:eastAsia="仿宋_GB2312"/>
          <w:sz w:val="32"/>
          <w:szCs w:val="32"/>
          <w:highlight w:val="none"/>
        </w:rPr>
        <w:t>强化执行难源头治理，加强人民法院执行工作，确保切实解决执行难目标实现，现提出如下意见，请认真落实。</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一、提高政治站位，深刻认识解决执行难工作的重要意义</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人民法院执行工作是整个司法程序中的关键一环，事关人民群众胜诉权益及时实现，事关司法权威和司法公信力有效提升，事关社会治理体系和治理能力现代化，事关社会公平正义实现。党的十八大以来，以习近平同志为核心的党中央站在全局和战略的高度，将解决执行难确定为全面依法治国的重要内容，并作出一系列重大决策部署。全区</w:t>
      </w:r>
      <w:r>
        <w:rPr>
          <w:rFonts w:hint="eastAsia" w:ascii="仿宋_GB2312" w:eastAsia="仿宋_GB2312"/>
          <w:sz w:val="32"/>
          <w:szCs w:val="32"/>
          <w:highlight w:val="none"/>
          <w:lang w:val="en-US" w:eastAsia="zh-CN"/>
        </w:rPr>
        <w:t>各级</w:t>
      </w:r>
      <w:r>
        <w:rPr>
          <w:rFonts w:hint="eastAsia" w:ascii="仿宋_GB2312" w:eastAsia="仿宋_GB2312"/>
          <w:sz w:val="32"/>
          <w:szCs w:val="32"/>
          <w:highlight w:val="none"/>
        </w:rPr>
        <w:t>各部门要提高政治站位，深刻认识到加强综合治理从源头切实解决执行难问题是全面深化</w:t>
      </w:r>
      <w:r>
        <w:rPr>
          <w:rFonts w:hint="eastAsia" w:ascii="仿宋_GB2312" w:eastAsia="仿宋_GB2312"/>
          <w:sz w:val="32"/>
          <w:szCs w:val="32"/>
          <w:highlight w:val="none"/>
          <w:lang w:eastAsia="zh-CN"/>
        </w:rPr>
        <w:t>区域</w:t>
      </w:r>
      <w:r>
        <w:rPr>
          <w:rFonts w:hint="eastAsia" w:ascii="仿宋_GB2312" w:eastAsia="仿宋_GB2312"/>
          <w:sz w:val="32"/>
          <w:szCs w:val="32"/>
          <w:highlight w:val="none"/>
        </w:rPr>
        <w:t>社会治理，推动国家治理体系和治理能力现代化的</w:t>
      </w:r>
      <w:r>
        <w:rPr>
          <w:rFonts w:hint="default" w:ascii="仿宋_GB2312" w:eastAsia="仿宋_GB2312"/>
          <w:sz w:val="32"/>
          <w:szCs w:val="32"/>
          <w:highlight w:val="none"/>
          <w:lang w:val="en-US" w:eastAsia="zh-CN"/>
        </w:rPr>
        <w:t>必然要求</w:t>
      </w:r>
      <w:r>
        <w:rPr>
          <w:rFonts w:hint="eastAsia" w:ascii="仿宋_GB2312" w:eastAsia="仿宋_GB2312"/>
          <w:sz w:val="32"/>
          <w:szCs w:val="32"/>
          <w:highlight w:val="none"/>
        </w:rPr>
        <w:t>。当前切实解决长期存在的执行难问题，是我区深入践行党的群众路线，扎实开展“不忘初心、牢记使命”主题教育的重要实践行动，对于推进社会治理体系和治理能力现代化，维护社会和谐稳定，优化营商环境，推动“平安官渡”、“法治官渡”、“诚信官渡”建设有着十分重要的意义。</w:t>
      </w:r>
    </w:p>
    <w:p>
      <w:pPr>
        <w:spacing w:line="6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近年来，在区委坚强领导下，在各有关部门共同努力下，我区执行工作取得了显著成效，2019年12月，区法院被最高人民法院、人力资源和社会保障部授予全国法院“基本解决执行难”工作先进单位。下一步，区委将充分发挥总揽全局、协调各方的领导核心作用，为区法院切实解决执行难提供坚强领导保障，把切实解决执行难作为全面依法治区的重要内容，全面建立党委领导、政府负责、民主协商、社会协同、公众参与、法治保障、科技支撑的社会治理体系, 推动健全“党委领导、人大监督、政府支持、政协参与、政法委协调、法院主办、部门联动、社会协同”的综合治理执行难工作大格局。各部门要深入贯彻落实习近平总书记考察云南重要讲话精神，坚持以习近平新时代中国特色社会主义思想为指导，加大工作力度，强化责任落实，形成强大合力，确保率先在我区完成党中央提出的切实解决执行难的目标任务。</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二、加强源头治理，构建解决执行难基层社会治理新格局</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（一）大力推进诉源治理，加强执行案件源头化解。</w:t>
      </w:r>
      <w:r>
        <w:rPr>
          <w:rFonts w:hint="eastAsia" w:ascii="仿宋_GB2312" w:eastAsia="仿宋_GB2312"/>
          <w:sz w:val="32"/>
          <w:szCs w:val="32"/>
          <w:highlight w:val="none"/>
        </w:rPr>
        <w:t>全面落实“一核多维、共建共享”社会治理思路，坚持和发展新时代“枫桥经验”，积极推动我区矛盾纠纷多元化解平台建设，建立健全人民调解工作网络、做实人民调解“双对接”，倡导和深化律师、公证、商会、保险、仲裁参与调解的形式，打造矛盾纠纷多元化解纷模式，进一步提升区矛盾纠纷多元化解中心功能，实现矛盾化解“最多跑一地”。发挥街道、社区就近化解矛盾的前端作用，各街道建立矛盾纠纷多元化解分中心，实现矛盾化解“尽量在当地”。制定人民群众易于理解的解纷路线图，引导人民群众选择最便捷、最有效、最经济的纠纷解决途径，实现矛盾化解“选择最优地”。</w:t>
      </w:r>
    </w:p>
    <w:p>
      <w:pPr>
        <w:spacing w:line="640" w:lineRule="exact"/>
        <w:ind w:firstLine="640" w:firstLineChars="200"/>
        <w:rPr>
          <w:rFonts w:hint="eastAsia" w:ascii="仿宋_GB2312" w:eastAsia="仿宋_GB2312"/>
          <w:b/>
          <w:sz w:val="32"/>
          <w:szCs w:val="32"/>
          <w:highlight w:val="none"/>
          <w:lang w:eastAsia="zh-CN"/>
        </w:rPr>
      </w:pPr>
      <w:r>
        <w:rPr>
          <w:rFonts w:hint="eastAsia" w:ascii="楷体_GB2312" w:eastAsia="楷体_GB2312"/>
          <w:sz w:val="32"/>
          <w:szCs w:val="32"/>
          <w:highlight w:val="none"/>
        </w:rPr>
        <w:t>（二）实施自动履行正向激励，努力提高法院生效法律文书自动履行率，助力执源治理。</w:t>
      </w:r>
      <w:r>
        <w:rPr>
          <w:rFonts w:hint="eastAsia" w:ascii="仿宋_GB2312" w:eastAsia="仿宋_GB2312"/>
          <w:sz w:val="32"/>
          <w:szCs w:val="32"/>
          <w:highlight w:val="none"/>
        </w:rPr>
        <w:t>对于自动履行完毕的案件，符合条件的可依法减免案件受理费。建立诚信履行名单库，定期发布诚信履行名单，为诚信履行名单库成员设立诉讼服务专用窗口，</w:t>
      </w:r>
      <w:r>
        <w:rPr>
          <w:rFonts w:hint="eastAsia" w:ascii="仿宋_GB2312" w:eastAsia="仿宋_GB2312"/>
          <w:color w:val="auto"/>
          <w:sz w:val="32"/>
          <w:szCs w:val="32"/>
          <w:highlight w:val="none"/>
        </w:rPr>
        <w:t>申请诉中保全的可依法免予提供担保或降低保证金比例。</w:t>
      </w:r>
    </w:p>
    <w:p>
      <w:pPr>
        <w:spacing w:line="640" w:lineRule="exact"/>
        <w:ind w:left="160" w:leftChars="50" w:firstLine="480" w:firstLineChars="150"/>
        <w:rPr>
          <w:rFonts w:ascii="仿宋_GB2312" w:eastAsia="仿宋_GB2312"/>
          <w:sz w:val="32"/>
          <w:szCs w:val="32"/>
          <w:highlight w:val="none"/>
        </w:rPr>
      </w:pPr>
      <w:r>
        <w:rPr>
          <w:rFonts w:hint="eastAsia" w:ascii="楷体_GB2312" w:eastAsia="楷体_GB2312"/>
          <w:sz w:val="32"/>
          <w:szCs w:val="32"/>
          <w:highlight w:val="none"/>
        </w:rPr>
        <w:t>（三）实施信用修复机制，树立文明执行、善意执行理念</w:t>
      </w:r>
      <w:r>
        <w:rPr>
          <w:rFonts w:hint="eastAsia" w:ascii="楷体_GB2312" w:eastAsia="楷体_GB2312"/>
          <w:sz w:val="32"/>
          <w:szCs w:val="32"/>
          <w:highlight w:val="none"/>
          <w:lang w:eastAsia="zh-CN"/>
        </w:rPr>
        <w:t>。</w:t>
      </w:r>
      <w:r>
        <w:rPr>
          <w:rFonts w:hint="eastAsia" w:ascii="仿宋_GB2312" w:eastAsia="仿宋_GB2312"/>
          <w:sz w:val="32"/>
          <w:szCs w:val="32"/>
          <w:highlight w:val="none"/>
        </w:rPr>
        <w:t>在依法保障胜诉当事人合法权益同时，最大限度降低对企业正常生产经营活动的不利影响，实现法律效果与社会效果有机统一。大力推进救济修复机制，依法保护失信被执行人的合法权益。对于已经采取失信、限制消费的被执行人，符合修复条件的，予以屏蔽失信、解除限制消费。</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（四）建立执行救助保险制度，切实做好困难群众的救助工作。</w:t>
      </w:r>
      <w:r>
        <w:rPr>
          <w:rFonts w:hint="eastAsia" w:ascii="仿宋_GB2312" w:eastAsia="仿宋_GB2312"/>
          <w:sz w:val="32"/>
          <w:szCs w:val="32"/>
          <w:highlight w:val="none"/>
        </w:rPr>
        <w:t>区法院与辖区保险机构进行执行救助合作，建立“保险+救助”的新机制，进一步创新司法救助管理机制，发挥保险在推动社会治理体系和治理现代化中的积极作用。简化司法救助程序，拓宽救助资金来源渠道，加强司法救助与社会救助的衔接配合，区财政局要将国家司法救助资金列入年度财政预算，建立动态调整机制，确保司法救助工作需要。区民政局、</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卫生健康局、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人力资源</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社会保障局等部门要强化与人民法院执行救助的工作衔接，共同做好生活确有困难当事人的救助救济工作。</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三、助力中国（云南）自由贸易试验区昆明片区主战场建设，进一步提升优化营商环境</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（五）全面提升诉讼服务品质。</w:t>
      </w:r>
      <w:r>
        <w:rPr>
          <w:rFonts w:hint="eastAsia" w:ascii="仿宋_GB2312" w:hAnsi="黑体" w:eastAsia="仿宋_GB2312" w:cs="黑体"/>
          <w:color w:val="000000"/>
          <w:kern w:val="0"/>
          <w:sz w:val="32"/>
          <w:szCs w:val="32"/>
          <w:highlight w:val="none"/>
          <w:shd w:val="clear" w:color="070000" w:fill="FFFFFF"/>
        </w:rPr>
        <w:t>深入贯彻落实中央“法治是最好的营商环境”的精神和深化“放管服”改革优化营商环境会议精神，区法院要</w:t>
      </w:r>
      <w:r>
        <w:rPr>
          <w:rFonts w:hint="eastAsia" w:ascii="仿宋_GB2312" w:eastAsia="仿宋_GB2312"/>
          <w:color w:val="000000"/>
          <w:sz w:val="32"/>
          <w:szCs w:val="32"/>
          <w:highlight w:val="none"/>
        </w:rPr>
        <w:t>优化诉讼服务软环境，为中国（云南）自由贸易试验区昆明片区主战场的企业和人民群众提供更加优质高效的诉讼服务，优化辖区司法服务软环境，</w:t>
      </w:r>
      <w:r>
        <w:rPr>
          <w:rFonts w:hint="eastAsia" w:ascii="仿宋_GB2312" w:eastAsia="仿宋_GB2312"/>
          <w:sz w:val="32"/>
          <w:szCs w:val="32"/>
          <w:highlight w:val="none"/>
        </w:rPr>
        <w:t>坚持把非诉纠纷解决机制挺在前，构建“内外多元”、“立体对接”的“十位一体”多元解纷体系。</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（六）大力推进破产审判工作。</w:t>
      </w:r>
      <w:r>
        <w:rPr>
          <w:rFonts w:hint="eastAsia" w:ascii="仿宋_GB2312" w:eastAsia="仿宋_GB2312"/>
          <w:sz w:val="32"/>
          <w:szCs w:val="32"/>
          <w:highlight w:val="none"/>
        </w:rPr>
        <w:t>区法院要积极与上级法院对接，</w:t>
      </w:r>
      <w:r>
        <w:rPr>
          <w:rFonts w:hint="eastAsia" w:ascii="仿宋_GB2312" w:hAnsi="华文仿宋" w:eastAsia="仿宋_GB2312" w:cs="?¬ÀŒ"/>
          <w:kern w:val="1"/>
          <w:sz w:val="32"/>
          <w:szCs w:val="32"/>
          <w:highlight w:val="none"/>
        </w:rPr>
        <w:t>推进破产审判工作，形成“立案、审判、执行、破产”大格局，畅通执行案件进入破产程序的渠道，充分发挥企业破产制度功能</w:t>
      </w:r>
      <w:r>
        <w:rPr>
          <w:rFonts w:hint="eastAsia" w:ascii="仿宋_GB2312" w:eastAsia="仿宋_GB2312"/>
          <w:sz w:val="32"/>
          <w:szCs w:val="32"/>
          <w:highlight w:val="none"/>
        </w:rPr>
        <w:t>。市公安局官渡分局、区市场监管局、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税务局等部门要促进“僵尸企业”有序退出市场，进一步从源头上切实解决执行难。区法院积极开展审破衔接和执破衔接工作，在审判、执行过程中加强对涉案企业破产线索的筛查，符合条件的及时引导转入破产程序。积极探索个人破产机制建设，为有创业创新能力的企业家解困松绑，为“诚信而不幸”的债务人获得重生创造机会。</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（七）加大对财产保全申请的审查力度，财产保全实现精细化。</w:t>
      </w:r>
      <w:r>
        <w:rPr>
          <w:rFonts w:hint="eastAsia" w:ascii="仿宋_GB2312" w:eastAsia="仿宋_GB2312"/>
          <w:sz w:val="32"/>
          <w:szCs w:val="32"/>
          <w:highlight w:val="none"/>
        </w:rPr>
        <w:t>区法院对区域内重点骨干企业实施“谦抑保全”，对前景良好企业实施“审慎保全”，对正常运营企业实施“善意保全”，对暂时困难企业实施“平衡保全”，妥善适用财产保全措施，能够采取“活封”、“活扣”的，尽量不“死封”、“死扣”，兼顾各方利益，保障企业生存发展，尽力实现多方共赢。</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（八）加强对诚信履行行为的联合激励。</w:t>
      </w:r>
      <w:r>
        <w:rPr>
          <w:rFonts w:hint="eastAsia" w:ascii="仿宋_GB2312" w:eastAsia="仿宋_GB2312"/>
          <w:sz w:val="32"/>
          <w:szCs w:val="32"/>
          <w:highlight w:val="none"/>
        </w:rPr>
        <w:t>市公安局官渡分局、区市场监管局、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税务局、</w:t>
      </w:r>
      <w:r>
        <w:rPr>
          <w:rFonts w:hint="default" w:ascii="仿宋_GB2312" w:eastAsia="仿宋_GB2312"/>
          <w:sz w:val="32"/>
          <w:szCs w:val="32"/>
          <w:highlight w:val="none"/>
          <w:lang w:val="en-US" w:eastAsia="zh-CN"/>
        </w:rPr>
        <w:t>中国人民银行官渡区支行</w:t>
      </w:r>
      <w:r>
        <w:rPr>
          <w:rFonts w:hint="eastAsia" w:ascii="仿宋_GB2312" w:eastAsia="仿宋_GB2312"/>
          <w:sz w:val="32"/>
          <w:szCs w:val="32"/>
          <w:highlight w:val="none"/>
        </w:rPr>
        <w:t>、云南银保监局官渡监管组及辖区金融机构等单位要为诚信履行名单库成员设置服务绿色通道，提供“先行受理”“承诺办件”等便利服务，依法优先办理行政审批、资质审批、资质审核、备案等手续。将诚信履行情况作为推荐“守合同、重信用”企业的重要参考，同时纳入纳税信用评价。优先为诚信履行名单库成员搭建融资平台，辖区金融机构在贷款授信额度和利率等方面给予相应优惠。</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四、推进协同治理，扎实做好综合治理执行难重点工作</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（九）建立信息共享机制。</w:t>
      </w:r>
      <w:r>
        <w:rPr>
          <w:rFonts w:hint="eastAsia" w:ascii="仿宋_GB2312" w:eastAsia="仿宋_GB2312"/>
          <w:sz w:val="32"/>
          <w:szCs w:val="32"/>
          <w:highlight w:val="none"/>
        </w:rPr>
        <w:t>市公安局官渡分局、区司法局、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民政局、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人力资源社会保障局、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交通运输局、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自然资源局、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农业农村局、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市场监管局、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科技信息化局、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城市更新改造局、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城市管理局、</w:t>
      </w:r>
      <w:r>
        <w:rPr>
          <w:rFonts w:hint="eastAsia" w:ascii="仿宋_GB2312" w:eastAsia="仿宋_GB2312"/>
          <w:sz w:val="32"/>
          <w:szCs w:val="32"/>
          <w:highlight w:val="none"/>
          <w:lang w:val="en-US" w:eastAsia="zh-CN"/>
        </w:rPr>
        <w:t>区财政局（区</w:t>
      </w:r>
      <w:r>
        <w:rPr>
          <w:rFonts w:hint="eastAsia" w:ascii="仿宋_GB2312" w:eastAsia="仿宋_GB2312"/>
          <w:sz w:val="32"/>
          <w:szCs w:val="32"/>
          <w:highlight w:val="none"/>
        </w:rPr>
        <w:t>金融办</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税务局、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住房城乡建设局、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教育体育局、市公积金中心主城城东管理部等部门以及各金融机构、电信企业等要落实部门间“最多跑一次”的要求，与区法院建立网上查控机制，并依法提供区法院执行工作所需要的信息数据。同时，将法院诚信履行名单、失信被执行人信息与相关单位实现公共信用信息资源共享。建立完善社会信用档案制度，将诚信履行名单和失信被执行人信息作为重要信用评价指标，纳入社会信用评价体系。</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（十）完善部门协作机制。</w:t>
      </w:r>
      <w:r>
        <w:rPr>
          <w:rFonts w:hint="eastAsia" w:ascii="仿宋_GB2312" w:eastAsia="仿宋_GB2312"/>
          <w:sz w:val="32"/>
          <w:szCs w:val="32"/>
          <w:highlight w:val="none"/>
        </w:rPr>
        <w:t>加大部门间协作力度，形成切实解决执行难的强大合力。区法院、市公安局官渡分局、区司法局要进一步深化“一庭三所一处”联动机制，从源头减少执行案件增量。市公安局官渡分局要进一步完善网络化查人、扣车、限制出境协作新机制。区人力资源</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社会保障局要落实关于追究“拒不支付劳动报酬罪”中“经政府有关部门责令支付仍不支付”的前置程序，以利于区法院追究欠薪相关责任人员刑事责任，同时，加强劳动仲裁证据审查，提高“虚假劳动仲裁”防范意识。区市场监管局要建立对失信被执行企业变更法定代表人的严格审查机制。区城市更新改造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自然资源局、各街道要积极配合对被执行人拆迁权益的查封、冻结和提取工作。区城市更新改造局、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城市管理局、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自然资源局和各街道等要按区法院要求做好涉案不动产的测绘、无证建筑物的认定及拆除等事宜。区应急局要积极协助区法院处理好涉易燃易爆、危险化学品、放射性、强污染性等财产的保管、运输、处置等问题。区税务局要简化对涉执“僵尸企业”税务发票的开具手续，以利于区法院对“僵尸企业”的财产拍卖。辖区金融机构要设置专窗或配备专人办理涉执行业务，并将理财、保险等数据纳入统一集中查询范围。辖区电信企业要明确可调取信息的范围，简化调取程序。区科技信息化局积极推进落实区法院智慧法院建设，将信息技术与司法规律深度融合，让司法全流程更加智能、便捷、高效。</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（十一）加大打击拒执力度。</w:t>
      </w:r>
      <w:r>
        <w:rPr>
          <w:rFonts w:hint="eastAsia" w:ascii="仿宋_GB2312" w:eastAsia="仿宋_GB2312"/>
          <w:sz w:val="32"/>
          <w:szCs w:val="32"/>
          <w:highlight w:val="none"/>
        </w:rPr>
        <w:t>全面落实云南省高院、云南省检察院、云南省公安厅2018年6月联合制定的《关于办理拒不执行判决、裁定刑事案件工作若干问题的意见》，进一步规范市公安局官渡分局、区检察院、</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法院移送犯罪线索、侦查、批捕、起诉、审判拒不执行判决、裁定犯罪的工作流程，明确各自职责和工作程序，形成常态化工作机制。市公安局官渡分局、区检察院、</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法院要加强协调配合，确保法院裁判得到有效执行，对拒不履行行为形成强大威慑。区法院要加大对拒不执行判决、裁定犯罪相关线索的排查和移送力度，市公安局官渡分局应及时立案侦查，区检察院应及时批捕起诉。市公安局官渡分局不予立案、区检察院不予起诉的，应当出具法律文书，畅通当事人自诉渠道。对严重扰乱法院正常执行秩序、暴力抗拒执行、冲击执行现场、围攻殴打执行人员、毁坏执行装备等违法犯罪行为，市公安局官渡分局应当及时出警、果断处置。对区法院决定拘留、逮捕或者区检察院批准逮捕的被执行人，市公安局官渡分局应当及时收拘。</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（十二）建立健全网络执行查控系统。</w:t>
      </w:r>
      <w:r>
        <w:rPr>
          <w:rFonts w:hint="eastAsia" w:ascii="仿宋_GB2312" w:eastAsia="仿宋_GB2312"/>
          <w:sz w:val="32"/>
          <w:szCs w:val="32"/>
          <w:highlight w:val="none"/>
        </w:rPr>
        <w:t>进一步加强“城市大脑”建设，提升智慧执行水平，实现区法院与市公安局官渡分局、区自然资源局、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市场监管局、市公积金中心主城城东管理部和三大运营商等单位的网络对接与数据共享，建立网上查控体系，提高执行财产调查、财产控制能力。</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（十三）加强失信被执行人信息共享、应用和惩戒。</w:t>
      </w:r>
      <w:r>
        <w:rPr>
          <w:rFonts w:hint="eastAsia" w:ascii="仿宋_GB2312" w:eastAsia="仿宋_GB2312"/>
          <w:sz w:val="32"/>
          <w:szCs w:val="32"/>
          <w:highlight w:val="none"/>
        </w:rPr>
        <w:t>全区各有关部门要制订时间表，尽快完成与国家“互联网+监管”系统及全国信用信息共享平台的联通对接和信息共享。将人民法院发布的失信被执行人名单信息嵌入本单位“互联网+监管”系统，实现信息的自动比对、自动拦截，推动完善“一处失信、处处受限”的信用监督、警示和惩戒体系。探索将“万人失信率”纳入平安考核，规范失信名单的使用。</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五、积极担当作为，进一步加强人民法院执行工作</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（十四）创新执行工作方法。</w:t>
      </w:r>
      <w:r>
        <w:rPr>
          <w:rFonts w:hint="eastAsia" w:ascii="仿宋_GB2312" w:eastAsia="仿宋_GB2312"/>
          <w:sz w:val="32"/>
          <w:szCs w:val="32"/>
          <w:highlight w:val="none"/>
        </w:rPr>
        <w:t>市公安局官渡分局、区检察院</w:t>
      </w:r>
      <w:r>
        <w:rPr>
          <w:rFonts w:hint="eastAsia" w:ascii="仿宋_GB2312" w:eastAsia="仿宋_GB2312"/>
          <w:sz w:val="32"/>
          <w:szCs w:val="32"/>
          <w:highlight w:val="none"/>
          <w:lang w:val="en-US" w:eastAsia="zh-CN"/>
        </w:rPr>
        <w:t>要</w:t>
      </w:r>
      <w:r>
        <w:rPr>
          <w:rFonts w:hint="eastAsia" w:ascii="仿宋_GB2312" w:eastAsia="仿宋_GB2312"/>
          <w:sz w:val="32"/>
          <w:szCs w:val="32"/>
          <w:highlight w:val="none"/>
        </w:rPr>
        <w:t>加大涉黑恶犯罪案件涉案财产的处置力度，区检察院加强法律监督，区法院加大对涉黑恶势力犯罪、职务犯罪案件涉财产部分的执行力度，开展涉民生、涉金融、涉党政机关和国有企业的执行专项行动。深化委托审计、执行悬赏、朋友圈曝光制度，充分利用社会力量查找被执行人及财产线索。探索委托经营、劳务抵债、强制管理等执行措施，拓展虚拟财产及其他新类型财产权益的执行方式。</w:t>
      </w:r>
    </w:p>
    <w:p>
      <w:pPr>
        <w:spacing w:line="640" w:lineRule="exact"/>
        <w:ind w:firstLine="640" w:firstLineChars="200"/>
        <w:rPr>
          <w:rFonts w:ascii="仿宋_GB2312" w:eastAsia="仿宋_GB2312"/>
          <w:color w:val="000000"/>
          <w:sz w:val="32"/>
          <w:szCs w:val="32"/>
          <w:highlight w:val="none"/>
        </w:rPr>
      </w:pPr>
      <w:r>
        <w:rPr>
          <w:rFonts w:hint="eastAsia" w:ascii="楷体_GB2312" w:eastAsia="楷体_GB2312"/>
          <w:sz w:val="32"/>
          <w:szCs w:val="32"/>
          <w:highlight w:val="none"/>
        </w:rPr>
        <w:t>（十五）加强信息化建设。</w:t>
      </w:r>
      <w:r>
        <w:rPr>
          <w:rFonts w:hint="eastAsia" w:ascii="仿宋_GB2312" w:eastAsia="仿宋_GB2312"/>
          <w:sz w:val="32"/>
          <w:szCs w:val="32"/>
          <w:highlight w:val="none"/>
        </w:rPr>
        <w:t>市公安局官渡分局、区法院、</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科技信息化局</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大数据</w:t>
      </w:r>
      <w:r>
        <w:rPr>
          <w:rFonts w:hint="eastAsia" w:ascii="仿宋_GB2312" w:eastAsia="仿宋_GB2312"/>
          <w:sz w:val="32"/>
          <w:szCs w:val="32"/>
          <w:highlight w:val="none"/>
          <w:lang w:eastAsia="zh-CN"/>
        </w:rPr>
        <w:t>管理</w:t>
      </w:r>
      <w:r>
        <w:rPr>
          <w:rFonts w:hint="eastAsia" w:ascii="仿宋_GB2312" w:eastAsia="仿宋_GB2312"/>
          <w:sz w:val="32"/>
          <w:szCs w:val="32"/>
          <w:highlight w:val="none"/>
        </w:rPr>
        <w:t>局</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自然资源局、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住房城乡建设局、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市场监</w:t>
      </w:r>
      <w:r>
        <w:rPr>
          <w:rFonts w:hint="eastAsia" w:ascii="仿宋_GB2312" w:eastAsia="仿宋_GB2312"/>
          <w:sz w:val="32"/>
          <w:szCs w:val="32"/>
          <w:highlight w:val="none"/>
          <w:lang w:val="en-US" w:eastAsia="zh-CN"/>
        </w:rPr>
        <w:t>管</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税务局、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城市更新改造局、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民政局、</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教育体育局、市公积金中心主城城东管理部和三大运营商等单位进行协作，充分利用大数据，建设“移动执行”办案终端系统，提高查人找物能力；</w:t>
      </w:r>
      <w:r>
        <w:rPr>
          <w:rFonts w:ascii="仿宋_GB2312" w:hAnsi="华文仿宋" w:eastAsia="仿宋_GB2312" w:cs="?¬ÀŒ"/>
          <w:kern w:val="1"/>
          <w:sz w:val="32"/>
          <w:szCs w:val="32"/>
          <w:highlight w:val="none"/>
        </w:rPr>
        <w:t>不断完善“1+2+N”执行信息化系统建设，提高执行效率；</w:t>
      </w:r>
      <w:r>
        <w:rPr>
          <w:rFonts w:ascii="仿宋_GB2312" w:hAnsi="华文仿宋" w:eastAsia="仿宋_GB2312" w:cs="?¬ÀŒ"/>
          <w:color w:val="000000"/>
          <w:kern w:val="1"/>
          <w:sz w:val="32"/>
          <w:szCs w:val="32"/>
          <w:highlight w:val="none"/>
        </w:rPr>
        <w:t>推广“5G+区块链”涉网执行模式，</w:t>
      </w:r>
      <w:r>
        <w:rPr>
          <w:rFonts w:hint="eastAsia" w:ascii="仿宋_GB2312" w:hAnsi="华文仿宋" w:eastAsia="仿宋_GB2312" w:cs="?¬ÀŒ"/>
          <w:color w:val="000000"/>
          <w:kern w:val="1"/>
          <w:sz w:val="32"/>
          <w:szCs w:val="32"/>
          <w:highlight w:val="none"/>
        </w:rPr>
        <w:t>提供更加高效、安全、快速的司法服务，全面</w:t>
      </w:r>
      <w:r>
        <w:rPr>
          <w:rFonts w:ascii="仿宋_GB2312" w:hAnsi="华文仿宋" w:eastAsia="仿宋_GB2312" w:cs="?¬ÀŒ"/>
          <w:color w:val="000000"/>
          <w:kern w:val="1"/>
          <w:sz w:val="32"/>
          <w:szCs w:val="32"/>
          <w:highlight w:val="none"/>
        </w:rPr>
        <w:t>优化网络空间</w:t>
      </w:r>
      <w:r>
        <w:rPr>
          <w:rFonts w:hint="eastAsia" w:ascii="仿宋_GB2312" w:hAnsi="华文仿宋" w:eastAsia="仿宋_GB2312" w:cs="?¬ÀŒ"/>
          <w:color w:val="000000"/>
          <w:kern w:val="1"/>
          <w:sz w:val="32"/>
          <w:szCs w:val="32"/>
          <w:highlight w:val="none"/>
        </w:rPr>
        <w:t>；</w:t>
      </w:r>
      <w:r>
        <w:rPr>
          <w:rFonts w:hint="eastAsia" w:ascii="仿宋_GB2312" w:eastAsia="仿宋_GB2312"/>
          <w:color w:val="000000"/>
          <w:sz w:val="32"/>
          <w:szCs w:val="32"/>
          <w:highlight w:val="none"/>
        </w:rPr>
        <w:t>宣传推广移动微法院，完善涉众案件管理平台，研发涉众案件受害人核实登记系统。</w:t>
      </w:r>
    </w:p>
    <w:p>
      <w:pPr>
        <w:spacing w:line="640" w:lineRule="exact"/>
        <w:ind w:firstLine="640" w:firstLineChars="200"/>
        <w:rPr>
          <w:rFonts w:ascii="仿宋_GB2312" w:eastAsia="仿宋_GB2312"/>
          <w:color w:val="000000"/>
          <w:sz w:val="32"/>
          <w:szCs w:val="32"/>
          <w:highlight w:val="none"/>
        </w:rPr>
      </w:pPr>
      <w:r>
        <w:rPr>
          <w:rFonts w:hint="eastAsia" w:ascii="楷体_GB2312" w:eastAsia="楷体_GB2312"/>
          <w:sz w:val="32"/>
          <w:szCs w:val="32"/>
          <w:highlight w:val="none"/>
        </w:rPr>
        <w:t>（十六）建立健全考核督查机制。</w:t>
      </w:r>
      <w:r>
        <w:rPr>
          <w:rFonts w:hint="eastAsia" w:ascii="仿宋_GB2312" w:eastAsia="仿宋_GB2312"/>
          <w:color w:val="000000"/>
          <w:sz w:val="32"/>
          <w:szCs w:val="32"/>
          <w:highlight w:val="none"/>
        </w:rPr>
        <w:t>全面考核规范执行、阳光执行、监督管理、执行保障、执行质效等指标，以动态方式确保指标体系符合执行工作规律，推动执行工作高效、有序发展，确保最高人民法院“3＋1” 核心指标高标准运行。将激励和劝导当事人自动履行、协助执行、联合惩戒失信被执行人工作全面纳入党建、综治、平安官渡等考核中。区委目督办</w:t>
      </w:r>
      <w:r>
        <w:rPr>
          <w:rFonts w:hint="eastAsia" w:ascii="仿宋_GB2312" w:eastAsia="仿宋_GB2312"/>
          <w:color w:val="000000"/>
          <w:sz w:val="32"/>
          <w:szCs w:val="32"/>
          <w:highlight w:val="none"/>
          <w:lang w:val="en-US" w:eastAsia="zh-CN"/>
        </w:rPr>
        <w:t>要</w:t>
      </w:r>
      <w:r>
        <w:rPr>
          <w:rFonts w:hint="eastAsia" w:ascii="仿宋_GB2312" w:eastAsia="仿宋_GB2312"/>
          <w:color w:val="000000"/>
          <w:sz w:val="32"/>
          <w:szCs w:val="32"/>
          <w:highlight w:val="none"/>
        </w:rPr>
        <w:t>做好督查工作，将全区有关单位配合支持区法院切实解决执行难的工作纳入目督考核。区法院对有关部门及领导干部干预执行、阻扰执行、不配合执行工作的行为，及时通报区纪委监委，构成违纪违法的，分别按照《中国共产党纪律处分条例》和《中华人民共和国监察法》等有关规定处理。</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（十七）加强执行队伍建设。</w:t>
      </w:r>
      <w:r>
        <w:rPr>
          <w:rFonts w:hint="eastAsia" w:ascii="仿宋_GB2312" w:eastAsia="仿宋_GB2312"/>
          <w:sz w:val="32"/>
          <w:szCs w:val="32"/>
          <w:highlight w:val="none"/>
        </w:rPr>
        <w:t>区法院积极推行员额法官带领下的团队化办案模式，健全执行案件繁简分流，实现简案快执、繁案精执。确保法院执行人员配备比例不低于全体干警现有编制总数的15%，为“切实解决执行难”提供组织保障。强化执行队伍思想政治教育和法律业务培训，严格规范执行行为，坚决杜绝消极执行、选择性执行、乱执行现象，增强执行工作透明度和公信力，着力推动执行队伍革命化、正规化、专业化、职业化，努力建设一支信念坚定、执法为民、敢于担当、清正廉洁的“执行铁军”，为切实解决执行难提供有力保障。</w:t>
      </w:r>
    </w:p>
    <w:p>
      <w:pPr>
        <w:spacing w:line="6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六、统一安排部署，大力加强工作领导和工作保障</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（十八）加强工作领导。</w:t>
      </w:r>
      <w:r>
        <w:rPr>
          <w:rFonts w:hint="eastAsia" w:ascii="仿宋_GB2312" w:eastAsia="仿宋_GB2312"/>
          <w:sz w:val="32"/>
          <w:szCs w:val="32"/>
          <w:highlight w:val="none"/>
        </w:rPr>
        <w:t>区委适时听取区法院关于执行工作的汇报，解决加强综合治理从源头切实解决执行难工作中的重大问题。区政府在人、财、物等方面给予充分保障。区人大、区政协要加强对全区有关单位配合支持区法院切实解决执行难的监督，听取相关部门工作情况，并作出工作评议。</w:t>
      </w:r>
    </w:p>
    <w:p>
      <w:pPr>
        <w:spacing w:line="640" w:lineRule="exact"/>
        <w:ind w:firstLine="640" w:firstLineChars="200"/>
        <w:rPr>
          <w:rFonts w:ascii="仿宋_GB2312" w:eastAsia="仿宋_GB2312"/>
          <w:color w:val="FF0000"/>
          <w:sz w:val="32"/>
          <w:szCs w:val="32"/>
          <w:highlight w:val="none"/>
        </w:rPr>
      </w:pPr>
      <w:r>
        <w:rPr>
          <w:rFonts w:hint="eastAsia" w:ascii="楷体_GB2312" w:eastAsia="楷体_GB2312"/>
          <w:sz w:val="32"/>
          <w:szCs w:val="32"/>
          <w:highlight w:val="none"/>
        </w:rPr>
        <w:t>（十九）加强组织保障。</w:t>
      </w:r>
      <w:r>
        <w:rPr>
          <w:rFonts w:hint="eastAsia" w:ascii="仿宋_GB2312" w:eastAsia="仿宋_GB2312"/>
          <w:sz w:val="32"/>
          <w:szCs w:val="32"/>
          <w:highlight w:val="none"/>
        </w:rPr>
        <w:t>成立区切实解决执行难工作领导小组，由区委领导任组长，区委政法委、区委组织部、区委宣传部、区委办、区政府办、区委目督办、</w:t>
      </w:r>
      <w:r>
        <w:rPr>
          <w:rFonts w:hint="eastAsia" w:ascii="仿宋_GB2312" w:eastAsia="仿宋_GB2312"/>
          <w:sz w:val="32"/>
          <w:szCs w:val="32"/>
          <w:highlight w:val="none"/>
          <w:lang w:val="en-US" w:eastAsia="zh-CN"/>
        </w:rPr>
        <w:t>区政府目督办、</w:t>
      </w:r>
      <w:r>
        <w:rPr>
          <w:rFonts w:hint="eastAsia" w:ascii="仿宋_GB2312" w:eastAsia="仿宋_GB2312"/>
          <w:sz w:val="32"/>
          <w:szCs w:val="32"/>
          <w:highlight w:val="none"/>
        </w:rPr>
        <w:t>区法院、区检察院、市公安局官渡分局、区发展改革局、区科技信息化局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区大数据</w:t>
      </w:r>
      <w:r>
        <w:rPr>
          <w:rFonts w:hint="eastAsia" w:ascii="仿宋_GB2312" w:eastAsia="仿宋_GB2312"/>
          <w:sz w:val="32"/>
          <w:szCs w:val="32"/>
          <w:highlight w:val="none"/>
          <w:lang w:eastAsia="zh-CN"/>
        </w:rPr>
        <w:t>管理</w:t>
      </w:r>
      <w:r>
        <w:rPr>
          <w:rFonts w:hint="eastAsia" w:ascii="仿宋_GB2312" w:eastAsia="仿宋_GB2312"/>
          <w:sz w:val="32"/>
          <w:szCs w:val="32"/>
          <w:highlight w:val="none"/>
        </w:rPr>
        <w:t>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区教育体育局、区民政局、区司法局、区财政局、区人力资源社会保障局、区自然资源局、区住房城乡建设局、区交通运输局、区农业农村局、区卫生健康局、区应急局、区市场监管局、区税务局、区信访局、区城市管理局、区城市更新改造局、区</w:t>
      </w:r>
      <w:r>
        <w:rPr>
          <w:rFonts w:hint="eastAsia" w:ascii="仿宋_GB2312" w:eastAsia="仿宋_GB2312"/>
          <w:sz w:val="32"/>
          <w:szCs w:val="32"/>
          <w:highlight w:val="none"/>
          <w:lang w:val="en-US" w:eastAsia="zh-CN"/>
        </w:rPr>
        <w:t>财政局（</w:t>
      </w:r>
      <w:r>
        <w:rPr>
          <w:rFonts w:hint="eastAsia" w:ascii="仿宋_GB2312" w:eastAsia="仿宋_GB2312"/>
          <w:sz w:val="32"/>
          <w:szCs w:val="32"/>
          <w:highlight w:val="none"/>
        </w:rPr>
        <w:t>区金融办</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rPr>
        <w:t>中国人民银行官渡区支行</w:t>
      </w:r>
      <w:r>
        <w:rPr>
          <w:rFonts w:hint="eastAsia" w:ascii="仿宋_GB2312" w:eastAsia="仿宋_GB2312"/>
          <w:sz w:val="32"/>
          <w:szCs w:val="32"/>
          <w:highlight w:val="none"/>
        </w:rPr>
        <w:t>、云南银保监局官渡监管组等相关部门为成员，领导小组</w:t>
      </w:r>
      <w:r>
        <w:rPr>
          <w:rFonts w:hint="eastAsia" w:ascii="仿宋_GB2312" w:eastAsia="仿宋_GB2312"/>
          <w:sz w:val="32"/>
          <w:szCs w:val="32"/>
          <w:highlight w:val="none"/>
          <w:lang w:val="en-US" w:eastAsia="zh-CN"/>
        </w:rPr>
        <w:t>下设</w:t>
      </w:r>
      <w:r>
        <w:rPr>
          <w:rFonts w:hint="eastAsia" w:ascii="仿宋_GB2312" w:eastAsia="仿宋_GB2312"/>
          <w:sz w:val="32"/>
          <w:szCs w:val="32"/>
          <w:highlight w:val="none"/>
        </w:rPr>
        <w:t>办公室在区法院。领导小组定期召开会议，研究制定加强区法院执行工作的重大决策措施；解决人民法院在执行工作中遇到的自身难以解决的问题；协调解决可能影响社会稳定的重大、敏感的执行案件；协调有关部门支持区法院依法执行生效裁判；协调督办受地方、部门干预，涉及政府机关、部队、国有企业以及拖欠农民工工资和建设领域工程款、申请执行人为特困群众执行难案件；对重点执行案件实行挂牌督办、领导包案；督促查处党政部门、领导干部干预执行的违法违纪行为，发现党员、国家公职人员涉嫌违纪和职务违法、职务犯罪的问题线索及时移交区纪委监委调查处置；</w:t>
      </w:r>
      <w:bookmarkStart w:id="0" w:name="_GoBack"/>
      <w:bookmarkEnd w:id="0"/>
      <w:r>
        <w:rPr>
          <w:rFonts w:hint="eastAsia" w:ascii="仿宋_GB2312" w:eastAsia="仿宋_GB2312"/>
          <w:sz w:val="32"/>
          <w:szCs w:val="32"/>
          <w:highlight w:val="none"/>
        </w:rPr>
        <w:t>指导、督促、检查各级各部门切实解决执行难问题的各项工作。</w:t>
      </w:r>
    </w:p>
    <w:p>
      <w:pPr>
        <w:spacing w:line="640" w:lineRule="exact"/>
        <w:ind w:firstLine="640" w:firstLineChars="200"/>
        <w:rPr>
          <w:rFonts w:ascii="仿宋_GB2312" w:eastAsia="仿宋_GB2312"/>
          <w:sz w:val="32"/>
          <w:szCs w:val="32"/>
          <w:highlight w:val="none"/>
        </w:rPr>
      </w:pPr>
      <w:r>
        <w:rPr>
          <w:rFonts w:hint="eastAsia" w:ascii="楷体_GB2312" w:eastAsia="楷体_GB2312"/>
          <w:sz w:val="32"/>
          <w:szCs w:val="32"/>
          <w:highlight w:val="none"/>
        </w:rPr>
        <w:t>（二十）加大宣传力度。</w:t>
      </w:r>
      <w:r>
        <w:rPr>
          <w:rFonts w:hint="eastAsia" w:ascii="仿宋_GB2312" w:eastAsia="仿宋_GB2312"/>
          <w:sz w:val="32"/>
          <w:szCs w:val="32"/>
          <w:highlight w:val="none"/>
        </w:rPr>
        <w:t>根据全面依法治区和“平安官渡”、“法治官渡”、“诚信官渡”建设工作要求，结合诚信文化传承、现代营商环境打造和文明城市创建活动，在宣传工作中突出诚信和谐的价值观，引领全社会加强诚信建设，注重综合施策、源头治理，共同推动法院切实解决执行难工作。综合运用传统媒体和新媒体，建立执行宣传常态化机制，开展正面宣传，充分展现加强执行工作、切实解决执行难的决心，向公众宣传“执行不能”与“消极执行”、“执行难”的区别，提高人民群众的依法履行意识和风险防范意识。定期推送典型案例，组织被执行人参与拒执案件的旁听，在全区大力营造“诚信履行光荣、抗拒执行可耻”的社会氛围。</w:t>
      </w:r>
    </w:p>
    <w:p>
      <w:pPr>
        <w:spacing w:afterLines="100"/>
        <w:ind w:right="925" w:rightChars="289"/>
        <w:rPr>
          <w:rFonts w:ascii="仿宋_GB2312" w:eastAsia="仿宋_GB2312"/>
          <w:sz w:val="32"/>
          <w:szCs w:val="32"/>
          <w:highlight w:val="none"/>
        </w:rPr>
      </w:pPr>
    </w:p>
    <w:p>
      <w:pPr>
        <w:spacing w:afterLines="100"/>
        <w:ind w:right="925" w:rightChars="289" w:firstLine="919"/>
        <w:jc w:val="right"/>
        <w:rPr>
          <w:rFonts w:ascii="仿宋_GB2312" w:eastAsia="仿宋_GB2312"/>
          <w:sz w:val="32"/>
          <w:szCs w:val="32"/>
          <w:highlight w:val="none"/>
        </w:rPr>
      </w:pPr>
    </w:p>
    <w:p>
      <w:pPr>
        <w:spacing w:afterLines="100"/>
        <w:ind w:right="925" w:rightChars="289" w:firstLine="919"/>
        <w:jc w:val="right"/>
        <w:rPr>
          <w:rFonts w:ascii="仿宋_GB2312" w:eastAsia="仿宋_GB2312"/>
          <w:sz w:val="32"/>
          <w:szCs w:val="32"/>
          <w:highlight w:val="none"/>
        </w:rPr>
      </w:pPr>
    </w:p>
    <w:p>
      <w:pPr>
        <w:ind w:firstLine="640" w:firstLineChars="200"/>
        <w:rPr>
          <w:rFonts w:hint="eastAsia" w:ascii="仿宋_GB2312" w:hAnsi="仿宋_GB2312" w:eastAsia="仿宋_GB2312" w:cs="仿宋_GB2312"/>
          <w:color w:val="auto"/>
          <w:kern w:val="0"/>
        </w:rPr>
      </w:pPr>
      <w:r>
        <w:rPr>
          <w:rFonts w:hint="eastAsia" w:ascii="仿宋_GB2312" w:hAnsi="仿宋_GB2312" w:eastAsia="仿宋_GB2312" w:cs="仿宋_GB2312"/>
          <w:spacing w:val="0"/>
          <w:kern w:val="0"/>
          <w:sz w:val="32"/>
          <w:szCs w:val="32"/>
          <w:lang w:val="en-US" w:eastAsia="zh-CN"/>
        </w:rPr>
        <w:t xml:space="preserve">  </w:t>
      </w:r>
    </w:p>
    <w:tbl>
      <w:tblPr>
        <w:tblStyle w:val="4"/>
        <w:tblpPr w:leftFromText="180" w:rightFromText="180" w:vertAnchor="text" w:horzAnchor="page" w:tblpX="1727" w:tblpY="234"/>
        <w:tblOverlap w:val="never"/>
        <w:tblW w:w="8978"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897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468" w:hRule="atLeast"/>
        </w:trPr>
        <w:tc>
          <w:tcPr>
            <w:tcW w:w="8978"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Cs/>
                <w:spacing w:val="-6"/>
                <w:sz w:val="28"/>
                <w:szCs w:val="28"/>
              </w:rPr>
            </w:pPr>
            <w:r>
              <w:rPr>
                <w:rFonts w:hint="eastAsia" w:ascii="仿宋_GB2312" w:hAnsi="仿宋_GB2312" w:eastAsia="仿宋_GB2312" w:cs="仿宋_GB2312"/>
                <w:bCs/>
                <w:spacing w:val="-6"/>
                <w:sz w:val="28"/>
                <w:szCs w:val="28"/>
              </w:rPr>
              <w:t>中共官渡区委全面依法治区委员会办公室</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default" w:ascii="Times New Roman" w:hAnsi="Times New Roman" w:eastAsia="仿宋_GB2312" w:cs="Times New Roman"/>
                <w:sz w:val="28"/>
                <w:szCs w:val="28"/>
                <w:lang w:val="zh-CN"/>
              </w:rPr>
              <w:t>20</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val="zh-CN"/>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zh-CN"/>
              </w:rPr>
              <w:t>月</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zh-CN"/>
              </w:rPr>
              <w:t>日</w:t>
            </w:r>
            <w:r>
              <w:rPr>
                <w:rFonts w:hint="eastAsia" w:ascii="仿宋_GB2312" w:hAnsi="仿宋_GB2312" w:eastAsia="仿宋_GB2312" w:cs="仿宋_GB2312"/>
                <w:sz w:val="28"/>
                <w:szCs w:val="28"/>
                <w:lang w:val="zh-CN"/>
              </w:rPr>
              <w:t>印发</w:t>
            </w:r>
          </w:p>
        </w:tc>
      </w:tr>
    </w:tbl>
    <w:p/>
    <w:sectPr>
      <w:footerReference r:id="rId3" w:type="default"/>
      <w:pgSz w:w="11906" w:h="16838"/>
      <w:pgMar w:top="2098" w:right="1531" w:bottom="2098" w:left="1531"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ÀŒ">
    <w:altName w:val="Times New Roman"/>
    <w:panose1 w:val="00000000000000000000"/>
    <w:charset w:val="00"/>
    <w:family w:val="roman"/>
    <w:pitch w:val="default"/>
    <w:sig w:usb0="00000000" w:usb1="0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6031A"/>
    <w:multiLevelType w:val="multilevel"/>
    <w:tmpl w:val="5D06031A"/>
    <w:lvl w:ilvl="0" w:tentative="0">
      <w:start w:val="0"/>
      <w:numFmt w:val="bullet"/>
      <w:lvlText w:val="★"/>
      <w:lvlJc w:val="left"/>
      <w:pPr>
        <w:ind w:left="4831" w:hanging="720"/>
      </w:pPr>
      <w:rPr>
        <w:rFonts w:hint="eastAsia" w:ascii="仿宋_GB2312" w:hAnsi="宋体" w:eastAsia="仿宋_GB2312" w:cs="宋体"/>
      </w:rPr>
    </w:lvl>
    <w:lvl w:ilvl="1" w:tentative="0">
      <w:start w:val="1"/>
      <w:numFmt w:val="bullet"/>
      <w:lvlText w:val=""/>
      <w:lvlJc w:val="left"/>
      <w:pPr>
        <w:ind w:left="4951" w:hanging="420"/>
      </w:pPr>
      <w:rPr>
        <w:rFonts w:hint="default" w:ascii="Wingdings" w:hAnsi="Wingdings"/>
      </w:rPr>
    </w:lvl>
    <w:lvl w:ilvl="2" w:tentative="0">
      <w:start w:val="1"/>
      <w:numFmt w:val="bullet"/>
      <w:lvlText w:val=""/>
      <w:lvlJc w:val="left"/>
      <w:pPr>
        <w:ind w:left="5371" w:hanging="420"/>
      </w:pPr>
      <w:rPr>
        <w:rFonts w:hint="default" w:ascii="Wingdings" w:hAnsi="Wingdings"/>
      </w:rPr>
    </w:lvl>
    <w:lvl w:ilvl="3" w:tentative="0">
      <w:start w:val="1"/>
      <w:numFmt w:val="bullet"/>
      <w:lvlText w:val=""/>
      <w:lvlJc w:val="left"/>
      <w:pPr>
        <w:ind w:left="5791" w:hanging="420"/>
      </w:pPr>
      <w:rPr>
        <w:rFonts w:hint="default" w:ascii="Wingdings" w:hAnsi="Wingdings"/>
      </w:rPr>
    </w:lvl>
    <w:lvl w:ilvl="4" w:tentative="0">
      <w:start w:val="1"/>
      <w:numFmt w:val="bullet"/>
      <w:lvlText w:val=""/>
      <w:lvlJc w:val="left"/>
      <w:pPr>
        <w:ind w:left="6211" w:hanging="420"/>
      </w:pPr>
      <w:rPr>
        <w:rFonts w:hint="default" w:ascii="Wingdings" w:hAnsi="Wingdings"/>
      </w:rPr>
    </w:lvl>
    <w:lvl w:ilvl="5" w:tentative="0">
      <w:start w:val="1"/>
      <w:numFmt w:val="bullet"/>
      <w:lvlText w:val=""/>
      <w:lvlJc w:val="left"/>
      <w:pPr>
        <w:ind w:left="6631" w:hanging="420"/>
      </w:pPr>
      <w:rPr>
        <w:rFonts w:hint="default" w:ascii="Wingdings" w:hAnsi="Wingdings"/>
      </w:rPr>
    </w:lvl>
    <w:lvl w:ilvl="6" w:tentative="0">
      <w:start w:val="1"/>
      <w:numFmt w:val="bullet"/>
      <w:lvlText w:val=""/>
      <w:lvlJc w:val="left"/>
      <w:pPr>
        <w:ind w:left="7051" w:hanging="420"/>
      </w:pPr>
      <w:rPr>
        <w:rFonts w:hint="default" w:ascii="Wingdings" w:hAnsi="Wingdings"/>
      </w:rPr>
    </w:lvl>
    <w:lvl w:ilvl="7" w:tentative="0">
      <w:start w:val="1"/>
      <w:numFmt w:val="bullet"/>
      <w:lvlText w:val=""/>
      <w:lvlJc w:val="left"/>
      <w:pPr>
        <w:ind w:left="7471" w:hanging="420"/>
      </w:pPr>
      <w:rPr>
        <w:rFonts w:hint="default" w:ascii="Wingdings" w:hAnsi="Wingdings"/>
      </w:rPr>
    </w:lvl>
    <w:lvl w:ilvl="8" w:tentative="0">
      <w:start w:val="1"/>
      <w:numFmt w:val="bullet"/>
      <w:lvlText w:val=""/>
      <w:lvlJc w:val="left"/>
      <w:pPr>
        <w:ind w:left="7891"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ED78AD"/>
    <w:rsid w:val="09AE1632"/>
    <w:rsid w:val="09D61F28"/>
    <w:rsid w:val="0BD40A9A"/>
    <w:rsid w:val="0C6A3CCE"/>
    <w:rsid w:val="18765D84"/>
    <w:rsid w:val="1C2003A5"/>
    <w:rsid w:val="212D7A17"/>
    <w:rsid w:val="22E84333"/>
    <w:rsid w:val="26F81239"/>
    <w:rsid w:val="2876715F"/>
    <w:rsid w:val="2B113937"/>
    <w:rsid w:val="2B735020"/>
    <w:rsid w:val="31D8682C"/>
    <w:rsid w:val="41786653"/>
    <w:rsid w:val="49B45FF3"/>
    <w:rsid w:val="4B55602A"/>
    <w:rsid w:val="4D070944"/>
    <w:rsid w:val="5FA944A3"/>
    <w:rsid w:val="6249338B"/>
    <w:rsid w:val="63FD3FF8"/>
    <w:rsid w:val="759262F7"/>
    <w:rsid w:val="7B9B0F5E"/>
    <w:rsid w:val="7CF71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cs="宋体" w:eastAsiaTheme="minorEastAsia"/>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character" w:styleId="6">
    <w:name w:val="page number"/>
    <w:basedOn w:val="5"/>
    <w:qFormat/>
    <w:uiPriority w:val="99"/>
  </w:style>
  <w:style w:type="paragraph" w:customStyle="1" w:styleId="7">
    <w:name w:val="正文 New New New New New New New New New"/>
    <w:qFormat/>
    <w:uiPriority w:val="0"/>
    <w:pPr>
      <w:widowControl w:val="0"/>
      <w:jc w:val="both"/>
    </w:pPr>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2020-05-08T08:11:33Z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