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_GB2312" w:hAnsi="仿宋_GB2312" w:eastAsia="仿宋_GB2312" w:cs="仿宋_GB2312"/>
          <w:color w:val="000000"/>
          <w:sz w:val="32"/>
          <w:szCs w:val="32"/>
        </w:rPr>
      </w:pPr>
    </w:p>
    <w:p>
      <w:pPr>
        <w:spacing w:line="560" w:lineRule="exact"/>
        <w:jc w:val="center"/>
        <w:rPr>
          <w:rFonts w:ascii="方正小标宋_GBK" w:hAnsi="宋体" w:eastAsia="方正小标宋_GBK"/>
          <w:sz w:val="44"/>
          <w:szCs w:val="44"/>
        </w:rPr>
      </w:pPr>
      <w:r>
        <w:rPr>
          <w:rFonts w:hint="eastAsia" w:ascii="方正小标宋_GBK" w:hAnsi="黑体" w:eastAsia="方正小标宋_GBK"/>
          <w:color w:val="000000"/>
          <w:sz w:val="44"/>
          <w:szCs w:val="44"/>
        </w:rPr>
        <w:t>官渡区滇池流域水环境保护治理工程（六甲街道）</w:t>
      </w:r>
      <w:r>
        <w:rPr>
          <w:rFonts w:hint="eastAsia" w:ascii="方正小标宋_GBK" w:hAnsi="宋体" w:eastAsia="方正小标宋_GBK" w:cs="宋体"/>
          <w:sz w:val="44"/>
          <w:szCs w:val="44"/>
        </w:rPr>
        <w:t>国有土地及国有土地上房屋</w:t>
      </w:r>
      <w:r>
        <w:rPr>
          <w:rFonts w:hint="eastAsia" w:ascii="方正小标宋_GBK" w:hAnsi="黑体" w:eastAsia="方正小标宋_GBK"/>
          <w:color w:val="000000"/>
          <w:sz w:val="44"/>
          <w:szCs w:val="44"/>
        </w:rPr>
        <w:t>征收补偿方案</w:t>
      </w:r>
    </w:p>
    <w:p>
      <w:pPr>
        <w:spacing w:line="56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（送审稿）</w:t>
      </w:r>
    </w:p>
    <w:p>
      <w:pPr>
        <w:spacing w:line="560" w:lineRule="exact"/>
        <w:jc w:val="center"/>
        <w:rPr>
          <w:rFonts w:ascii="楷体_GB2312" w:hAnsi="楷体_GB2312" w:eastAsia="楷体_GB2312" w:cs="楷体_GB2312"/>
          <w:sz w:val="32"/>
          <w:szCs w:val="32"/>
        </w:rPr>
      </w:pPr>
    </w:p>
    <w:p>
      <w:pPr>
        <w:snapToGrid w:val="0"/>
        <w:spacing w:line="560" w:lineRule="exact"/>
        <w:ind w:firstLine="622" w:firstLineChars="200"/>
        <w:rPr>
          <w:rFonts w:ascii="仿宋_GB2312" w:hAnsi="仿宋_GB2312" w:eastAsia="仿宋_GB2312" w:cs="仿宋_GB2312"/>
          <w:sz w:val="32"/>
        </w:rPr>
      </w:pPr>
      <w:bookmarkStart w:id="0" w:name="_Hlk57123644"/>
      <w:r>
        <w:rPr>
          <w:rFonts w:hint="eastAsia" w:ascii="仿宋_GB2312" w:hAnsi="仿宋_GB2312" w:eastAsia="仿宋_GB2312" w:cs="仿宋_GB2312"/>
          <w:sz w:val="32"/>
        </w:rPr>
        <w:t>根据《中华人民共和国物权法》、《中华人民共和国城市房地产管理法》、《中华人民共和国城乡规划法》、《中华人民共和国土地管理法》、《国有土地上房屋征收与补偿条例》</w:t>
      </w:r>
      <w:r>
        <w:rPr>
          <w:rFonts w:hint="eastAsia" w:ascii="仿宋_GB2312" w:hAnsi="仿宋_GB2312" w:eastAsia="仿宋_GB2312" w:cs="仿宋_GB2312"/>
          <w:sz w:val="32"/>
          <w:szCs w:val="32"/>
        </w:rPr>
        <w:t>（国务院令第</w:t>
      </w:r>
      <w:r>
        <w:rPr>
          <w:rFonts w:ascii="仿宋_GB2312" w:hAnsi="仿宋_GB2312" w:eastAsia="仿宋_GB2312" w:cs="仿宋_GB2312"/>
          <w:sz w:val="32"/>
          <w:szCs w:val="32"/>
        </w:rPr>
        <w:t>590</w:t>
      </w:r>
      <w:r>
        <w:rPr>
          <w:rFonts w:hint="eastAsia" w:ascii="仿宋_GB2312" w:hAnsi="仿宋_GB2312" w:eastAsia="仿宋_GB2312" w:cs="仿宋_GB2312"/>
          <w:sz w:val="32"/>
          <w:szCs w:val="32"/>
        </w:rPr>
        <w:t>号）</w:t>
      </w:r>
      <w:r>
        <w:rPr>
          <w:rFonts w:hint="eastAsia" w:ascii="仿宋_GB2312" w:hAnsi="仿宋_GB2312" w:eastAsia="仿宋_GB2312" w:cs="仿宋_GB2312"/>
          <w:sz w:val="32"/>
        </w:rPr>
        <w:t>、《国有土地上房屋征收评估办法》（建房〔</w:t>
      </w:r>
      <w:r>
        <w:rPr>
          <w:rFonts w:ascii="仿宋_GB2312" w:hAnsi="仿宋_GB2312" w:eastAsia="仿宋_GB2312" w:cs="仿宋_GB2312"/>
          <w:sz w:val="32"/>
        </w:rPr>
        <w:t>2011</w:t>
      </w:r>
      <w:r>
        <w:rPr>
          <w:rFonts w:hint="eastAsia" w:ascii="仿宋_GB2312" w:hAnsi="仿宋_GB2312" w:eastAsia="仿宋_GB2312" w:cs="仿宋_GB2312"/>
          <w:sz w:val="32"/>
        </w:rPr>
        <w:t>〕</w:t>
      </w:r>
      <w:r>
        <w:rPr>
          <w:rFonts w:ascii="仿宋_GB2312" w:hAnsi="仿宋_GB2312" w:eastAsia="仿宋_GB2312" w:cs="仿宋_GB2312"/>
          <w:sz w:val="32"/>
        </w:rPr>
        <w:t>77</w:t>
      </w:r>
      <w:r>
        <w:rPr>
          <w:rFonts w:hint="eastAsia" w:ascii="仿宋_GB2312" w:hAnsi="仿宋_GB2312" w:eastAsia="仿宋_GB2312" w:cs="仿宋_GB2312"/>
          <w:sz w:val="32"/>
        </w:rPr>
        <w:t>号）、《云南省国有土地上房屋征收与补偿办法》（云南省人民政府令第</w:t>
      </w:r>
      <w:r>
        <w:rPr>
          <w:rFonts w:ascii="仿宋_GB2312" w:hAnsi="仿宋_GB2312" w:eastAsia="仿宋_GB2312" w:cs="仿宋_GB2312"/>
          <w:sz w:val="32"/>
        </w:rPr>
        <w:t>195</w:t>
      </w:r>
      <w:r>
        <w:rPr>
          <w:rFonts w:hint="eastAsia" w:ascii="仿宋_GB2312" w:hAnsi="仿宋_GB2312" w:eastAsia="仿宋_GB2312" w:cs="仿宋_GB2312"/>
          <w:sz w:val="32"/>
        </w:rPr>
        <w:t>号）、</w:t>
      </w:r>
      <w:r>
        <w:rPr>
          <w:rFonts w:hint="eastAsia" w:ascii="仿宋_GB2312" w:hAnsi="仿宋_GB2312" w:eastAsia="仿宋_GB2312" w:cs="仿宋_GB2312"/>
          <w:color w:val="000000" w:themeColor="text1"/>
          <w:sz w:val="32"/>
        </w:rPr>
        <w:t>《云南省滇池保护条例》、</w:t>
      </w:r>
      <w:r>
        <w:rPr>
          <w:rFonts w:hint="eastAsia" w:ascii="仿宋_GB2312" w:hAnsi="仿宋_GB2312" w:eastAsia="仿宋_GB2312" w:cs="仿宋_GB2312"/>
          <w:sz w:val="32"/>
          <w:szCs w:val="32"/>
        </w:rPr>
        <w:t>《昆明市城市更新改造土地补偿指导意见》（昆政办〔</w:t>
      </w:r>
      <w:r>
        <w:rPr>
          <w:rFonts w:ascii="仿宋_GB2312" w:hAnsi="仿宋_GB2312" w:eastAsia="仿宋_GB2312" w:cs="仿宋_GB2312"/>
          <w:sz w:val="32"/>
          <w:szCs w:val="32"/>
        </w:rPr>
        <w:t>2015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34</w:t>
      </w:r>
      <w:r>
        <w:rPr>
          <w:rFonts w:hint="eastAsia" w:ascii="仿宋_GB2312" w:hAnsi="仿宋_GB2312" w:eastAsia="仿宋_GB2312" w:cs="仿宋_GB2312"/>
          <w:sz w:val="32"/>
          <w:szCs w:val="32"/>
        </w:rPr>
        <w:t>号）、</w:t>
      </w:r>
      <w:r>
        <w:rPr>
          <w:rFonts w:hint="eastAsia" w:ascii="仿宋_GB2312" w:hAnsi="仿宋_GB2312" w:eastAsia="仿宋_GB2312" w:cs="仿宋_GB2312"/>
          <w:sz w:val="32"/>
        </w:rPr>
        <w:t>《昆明市国有土地上房屋征收与补偿指导意见》（昆政办〔</w:t>
      </w:r>
      <w:r>
        <w:rPr>
          <w:rFonts w:ascii="仿宋_GB2312" w:hAnsi="仿宋_GB2312" w:eastAsia="仿宋_GB2312" w:cs="仿宋_GB2312"/>
          <w:sz w:val="32"/>
        </w:rPr>
        <w:t>2015</w:t>
      </w:r>
      <w:r>
        <w:rPr>
          <w:rFonts w:hint="eastAsia" w:ascii="仿宋_GB2312" w:hAnsi="仿宋_GB2312" w:eastAsia="仿宋_GB2312" w:cs="仿宋_GB2312"/>
          <w:sz w:val="32"/>
        </w:rPr>
        <w:t>〕</w:t>
      </w:r>
      <w:r>
        <w:rPr>
          <w:rFonts w:ascii="仿宋_GB2312" w:hAnsi="仿宋_GB2312" w:eastAsia="仿宋_GB2312" w:cs="仿宋_GB2312"/>
          <w:sz w:val="32"/>
        </w:rPr>
        <w:t>104</w:t>
      </w:r>
      <w:r>
        <w:rPr>
          <w:rFonts w:hint="eastAsia" w:ascii="仿宋_GB2312" w:hAnsi="仿宋_GB2312" w:eastAsia="仿宋_GB2312" w:cs="仿宋_GB2312"/>
          <w:sz w:val="32"/>
        </w:rPr>
        <w:t>号）、</w:t>
      </w:r>
      <w:r>
        <w:rPr>
          <w:rFonts w:hint="eastAsia" w:ascii="仿宋_GB2312" w:hAnsi="仿宋_GB2312" w:eastAsia="仿宋_GB2312" w:cs="仿宋_GB2312"/>
          <w:sz w:val="32"/>
          <w:szCs w:val="32"/>
        </w:rPr>
        <w:t>《昆明市人民政府办公厅关于完善“</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31</w:t>
      </w:r>
      <w:r>
        <w:rPr>
          <w:rFonts w:hint="eastAsia" w:ascii="仿宋_GB2312" w:hAnsi="仿宋_GB2312" w:eastAsia="仿宋_GB2312" w:cs="仿宋_GB2312"/>
          <w:sz w:val="32"/>
          <w:szCs w:val="32"/>
        </w:rPr>
        <w:t>”清非用地手续的通知》（昆政办〔</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号）、</w:t>
      </w:r>
      <w:r>
        <w:rPr>
          <w:rFonts w:hint="eastAsia" w:eastAsia="仿宋_GB2312"/>
          <w:color w:val="000000"/>
          <w:sz w:val="32"/>
          <w:szCs w:val="32"/>
        </w:rPr>
        <w:t>《云南省住房和城乡建设厅&lt;关于转发住房和城乡建设部办公厅关于在城市更新改造中切实加强历史文化保护坚决制止破坏行为的通知&gt;的通知》</w:t>
      </w:r>
      <w:r>
        <w:rPr>
          <w:rFonts w:hint="eastAsia" w:ascii="仿宋_GB2312" w:hAnsi="仿宋_GB2312" w:eastAsia="仿宋_GB2312" w:cs="仿宋_GB2312"/>
          <w:sz w:val="32"/>
        </w:rPr>
        <w:t>等相关法律、法规及政策文件的规定，结合被征收片区实际，制定本方案。</w:t>
      </w:r>
    </w:p>
    <w:p>
      <w:pPr>
        <w:pStyle w:val="21"/>
        <w:numPr>
          <w:ilvl w:val="0"/>
          <w:numId w:val="1"/>
        </w:numPr>
        <w:snapToGrid w:val="0"/>
        <w:spacing w:line="560" w:lineRule="exact"/>
        <w:ind w:firstLineChars="0"/>
        <w:rPr>
          <w:rFonts w:ascii="黑体" w:hAnsi="黑体" w:eastAsia="黑体"/>
          <w:sz w:val="32"/>
          <w:szCs w:val="32"/>
        </w:rPr>
      </w:pPr>
      <w:r>
        <w:rPr>
          <w:rFonts w:hint="eastAsia" w:ascii="黑体" w:hAnsi="黑体" w:eastAsia="黑体"/>
          <w:sz w:val="32"/>
          <w:szCs w:val="32"/>
        </w:rPr>
        <w:t>征地拆迁目的</w:t>
      </w:r>
    </w:p>
    <w:p>
      <w:pPr>
        <w:snapToGrid w:val="0"/>
        <w:spacing w:line="560" w:lineRule="exact"/>
        <w:ind w:firstLine="610" w:firstLineChars="196"/>
        <w:rPr>
          <w:rFonts w:ascii="仿宋_GB2312" w:hAnsi="仿宋" w:eastAsia="仿宋_GB2312"/>
          <w:color w:val="000000" w:themeColor="text1"/>
          <w:sz w:val="32"/>
          <w:szCs w:val="32"/>
        </w:rPr>
      </w:pPr>
      <w:r>
        <w:rPr>
          <w:rFonts w:hint="eastAsia" w:ascii="仿宋_GB2312" w:hAnsi="仿宋" w:eastAsia="仿宋_GB2312"/>
          <w:sz w:val="32"/>
          <w:szCs w:val="32"/>
        </w:rPr>
        <w:t>滇池是世界关注的高原湖泊，是长江上游生态安全格局的重要组成部分，是我国重点治理的“三河三湖”之一。滇池的环境问题受到党中央、国务院的高度重视，治理滇池已成为全国生态环境保护和水污染治理的标志性工程。按照习近平总书记提出的“节水优先，空间均衡，系统治理，两手发力”的治水思路，认真落实国务院《水污染防治行动计划》，以环境质量改善取信于民，深入推进以滇池为重点的水环境综合治理，构建人与城市、城市与自然发展的生态家园，</w:t>
      </w:r>
      <w:r>
        <w:rPr>
          <w:rFonts w:hint="eastAsia" w:ascii="仿宋_GB2312" w:hAnsi="仿宋" w:eastAsia="仿宋_GB2312"/>
          <w:color w:val="000000" w:themeColor="text1"/>
          <w:sz w:val="32"/>
          <w:szCs w:val="32"/>
        </w:rPr>
        <w:t>该项目符合公共利益的需要。</w:t>
      </w:r>
    </w:p>
    <w:p>
      <w:pPr>
        <w:pStyle w:val="21"/>
        <w:numPr>
          <w:ilvl w:val="0"/>
          <w:numId w:val="1"/>
        </w:numPr>
        <w:snapToGrid w:val="0"/>
        <w:spacing w:line="560" w:lineRule="exact"/>
        <w:ind w:firstLineChars="0"/>
        <w:rPr>
          <w:rFonts w:ascii="仿宋_GB2312" w:hAnsi="仿宋" w:eastAsia="仿宋_GB2312"/>
          <w:color w:val="FF0000"/>
          <w:sz w:val="32"/>
          <w:szCs w:val="32"/>
        </w:rPr>
      </w:pPr>
      <w:r>
        <w:rPr>
          <w:rFonts w:hint="eastAsia" w:ascii="黑体" w:hAnsi="仿宋_GB2312" w:eastAsia="黑体"/>
          <w:sz w:val="32"/>
        </w:rPr>
        <w:t>征收部门及征收实施单位</w:t>
      </w:r>
    </w:p>
    <w:p>
      <w:pPr>
        <w:snapToGrid w:val="0"/>
        <w:spacing w:line="560" w:lineRule="exact"/>
        <w:ind w:firstLine="622" w:firstLineChars="200"/>
        <w:rPr>
          <w:rFonts w:ascii="仿宋_GB2312" w:hAnsi="仿宋_GB2312" w:eastAsia="仿宋_GB2312" w:cs="仿宋_GB2312"/>
          <w:bCs/>
          <w:sz w:val="32"/>
        </w:rPr>
      </w:pPr>
      <w:r>
        <w:rPr>
          <w:rFonts w:hint="eastAsia" w:ascii="仿宋_GB2312" w:hAnsi="仿宋_GB2312" w:eastAsia="仿宋_GB2312" w:cs="仿宋_GB2312"/>
          <w:bCs/>
          <w:sz w:val="32"/>
        </w:rPr>
        <w:t>土地征收部门为官渡区自然资源局；</w:t>
      </w:r>
    </w:p>
    <w:p>
      <w:pPr>
        <w:snapToGrid w:val="0"/>
        <w:spacing w:line="560" w:lineRule="exact"/>
        <w:ind w:firstLine="622" w:firstLineChars="200"/>
        <w:rPr>
          <w:rFonts w:ascii="仿宋_GB2312" w:hAnsi="仿宋_GB2312" w:eastAsia="仿宋_GB2312" w:cs="仿宋_GB2312"/>
          <w:bCs/>
          <w:sz w:val="32"/>
        </w:rPr>
      </w:pPr>
      <w:r>
        <w:rPr>
          <w:rFonts w:hint="eastAsia" w:ascii="仿宋_GB2312" w:hAnsi="仿宋_GB2312" w:eastAsia="仿宋_GB2312" w:cs="仿宋_GB2312"/>
          <w:bCs/>
          <w:sz w:val="32"/>
        </w:rPr>
        <w:t>房屋征收部门为官渡区城市更新改造局；</w:t>
      </w:r>
    </w:p>
    <w:p>
      <w:pPr>
        <w:snapToGrid w:val="0"/>
        <w:spacing w:line="560" w:lineRule="exact"/>
        <w:ind w:firstLine="622" w:firstLineChars="200"/>
        <w:rPr>
          <w:rFonts w:ascii="仿宋_GB2312" w:hAnsi="仿宋_GB2312" w:eastAsia="仿宋_GB2312" w:cs="仿宋_GB2312"/>
          <w:bCs/>
          <w:sz w:val="32"/>
        </w:rPr>
      </w:pPr>
      <w:r>
        <w:rPr>
          <w:rFonts w:hint="eastAsia" w:ascii="仿宋_GB2312" w:hAnsi="仿宋_GB2312" w:eastAsia="仿宋_GB2312" w:cs="仿宋_GB2312"/>
          <w:bCs/>
          <w:sz w:val="32"/>
        </w:rPr>
        <w:t>征收实施单位为官渡区人民政府六甲街道办事处。</w:t>
      </w:r>
    </w:p>
    <w:p>
      <w:pPr>
        <w:snapToGrid w:val="0"/>
        <w:spacing w:line="560" w:lineRule="exact"/>
        <w:ind w:firstLine="622" w:firstLineChars="200"/>
        <w:rPr>
          <w:rFonts w:ascii="黑体" w:hAnsi="仿宋_GB2312" w:eastAsia="黑体"/>
          <w:sz w:val="32"/>
        </w:rPr>
      </w:pPr>
      <w:r>
        <w:rPr>
          <w:rFonts w:hint="eastAsia" w:ascii="黑体" w:hAnsi="仿宋_GB2312" w:eastAsia="黑体"/>
          <w:sz w:val="32"/>
        </w:rPr>
        <w:t>第三条</w:t>
      </w:r>
      <w:r>
        <w:rPr>
          <w:rFonts w:hint="eastAsia" w:ascii="黑体" w:hAnsi="仿宋_GB2312" w:eastAsia="黑体"/>
          <w:sz w:val="32"/>
          <w:lang w:val="en-US" w:eastAsia="zh-CN"/>
        </w:rPr>
        <w:t xml:space="preserve"> </w:t>
      </w:r>
      <w:r>
        <w:rPr>
          <w:rFonts w:hint="eastAsia" w:ascii="黑体" w:hAnsi="仿宋_GB2312" w:eastAsia="黑体"/>
          <w:sz w:val="32"/>
        </w:rPr>
        <w:t>项目批准文件</w:t>
      </w:r>
    </w:p>
    <w:p>
      <w:pPr>
        <w:snapToGrid w:val="0"/>
        <w:spacing w:line="560" w:lineRule="exact"/>
        <w:ind w:firstLine="457" w:firstLineChars="147"/>
        <w:rPr>
          <w:rFonts w:ascii="仿宋_GB2312" w:hAnsi="仿宋_GB2312" w:eastAsia="仿宋_GB2312" w:cs="仿宋_GB2312"/>
          <w:sz w:val="32"/>
        </w:rPr>
      </w:pPr>
      <w:r>
        <w:rPr>
          <w:rFonts w:hint="eastAsia" w:ascii="仿宋_GB2312" w:hAnsi="仿宋_GB2312" w:eastAsia="仿宋_GB2312" w:cs="仿宋_GB2312"/>
          <w:bCs/>
          <w:kern w:val="0"/>
          <w:sz w:val="32"/>
          <w:szCs w:val="32"/>
        </w:rPr>
        <w:t>《昆明市人民政府关于印发滇池流域水环境保护治理“十三五规划（</w:t>
      </w:r>
      <w:r>
        <w:rPr>
          <w:rFonts w:ascii="仿宋_GB2312" w:hAnsi="仿宋_GB2312" w:eastAsia="仿宋_GB2312" w:cs="仿宋_GB2312"/>
          <w:bCs/>
          <w:kern w:val="0"/>
          <w:sz w:val="32"/>
          <w:szCs w:val="32"/>
        </w:rPr>
        <w:t>2016-2020</w:t>
      </w:r>
      <w:r>
        <w:rPr>
          <w:rFonts w:hint="eastAsia" w:ascii="仿宋_GB2312" w:hAnsi="仿宋_GB2312" w:eastAsia="仿宋_GB2312" w:cs="仿宋_GB2312"/>
          <w:bCs/>
          <w:kern w:val="0"/>
          <w:sz w:val="32"/>
          <w:szCs w:val="32"/>
        </w:rPr>
        <w:t>年）的通知》</w:t>
      </w:r>
      <w:r>
        <w:rPr>
          <w:rFonts w:hint="eastAsia" w:ascii="仿宋_GB2312" w:hAnsi="仿宋_GB2312" w:eastAsia="仿宋_GB2312" w:cs="仿宋_GB2312"/>
          <w:bCs/>
          <w:sz w:val="32"/>
          <w:szCs w:val="32"/>
        </w:rPr>
        <w:t>（昆政发</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号</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《昆明市官渡区国民经济和社会发展第十三个五年规划纲要》，</w:t>
      </w:r>
      <w:r>
        <w:rPr>
          <w:rFonts w:hint="eastAsia" w:ascii="仿宋_GB2312" w:hAnsi="仿宋_GB2312" w:eastAsia="仿宋_GB2312" w:cs="仿宋_GB2312"/>
          <w:bCs/>
          <w:kern w:val="0"/>
          <w:sz w:val="32"/>
          <w:szCs w:val="32"/>
        </w:rPr>
        <w:t>《昆明市官渡区</w:t>
      </w:r>
      <w:r>
        <w:rPr>
          <w:rFonts w:ascii="仿宋_GB2312" w:hAnsi="仿宋_GB2312" w:eastAsia="仿宋_GB2312" w:cs="仿宋_GB2312"/>
          <w:bCs/>
          <w:kern w:val="0"/>
          <w:sz w:val="32"/>
          <w:szCs w:val="32"/>
        </w:rPr>
        <w:t>2018</w:t>
      </w:r>
      <w:r>
        <w:rPr>
          <w:rFonts w:hint="eastAsia" w:ascii="仿宋_GB2312" w:hAnsi="仿宋_GB2312" w:eastAsia="仿宋_GB2312" w:cs="仿宋_GB2312"/>
          <w:bCs/>
          <w:kern w:val="0"/>
          <w:sz w:val="32"/>
          <w:szCs w:val="32"/>
        </w:rPr>
        <w:t>年国民经济和社会发展计划执行情况与</w:t>
      </w:r>
      <w:r>
        <w:rPr>
          <w:rFonts w:ascii="仿宋_GB2312" w:hAnsi="仿宋_GB2312" w:eastAsia="仿宋_GB2312" w:cs="仿宋_GB2312"/>
          <w:bCs/>
          <w:kern w:val="0"/>
          <w:sz w:val="32"/>
          <w:szCs w:val="32"/>
        </w:rPr>
        <w:t>2019</w:t>
      </w:r>
      <w:r>
        <w:rPr>
          <w:rFonts w:hint="eastAsia" w:ascii="仿宋_GB2312" w:hAnsi="仿宋_GB2312" w:eastAsia="仿宋_GB2312" w:cs="仿宋_GB2312"/>
          <w:bCs/>
          <w:kern w:val="0"/>
          <w:sz w:val="32"/>
          <w:szCs w:val="32"/>
        </w:rPr>
        <w:t>年国民经济和社会发展计划的报告》及决议。</w:t>
      </w:r>
    </w:p>
    <w:p>
      <w:pPr>
        <w:pStyle w:val="21"/>
        <w:snapToGrid w:val="0"/>
        <w:spacing w:line="560" w:lineRule="exact"/>
        <w:ind w:left="622" w:firstLine="0" w:firstLineChars="0"/>
        <w:rPr>
          <w:rFonts w:ascii="黑体" w:hAnsi="黑体" w:eastAsia="黑体"/>
          <w:bCs/>
          <w:sz w:val="32"/>
        </w:rPr>
      </w:pPr>
      <w:r>
        <w:rPr>
          <w:rFonts w:hint="eastAsia" w:ascii="黑体" w:hAnsi="黑体" w:eastAsia="黑体"/>
          <w:bCs/>
          <w:sz w:val="32"/>
        </w:rPr>
        <w:t>第四条 征收范围及征收期限</w:t>
      </w:r>
    </w:p>
    <w:p>
      <w:pPr>
        <w:spacing w:line="560" w:lineRule="exact"/>
        <w:ind w:right="-170" w:rightChars="-85" w:firstLine="622"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rPr>
        <w:t>征收范围：</w:t>
      </w:r>
      <w:r>
        <w:rPr>
          <w:rFonts w:hint="eastAsia" w:ascii="仿宋_GB2312" w:hAnsi="仿宋_GB2312" w:eastAsia="仿宋_GB2312" w:cs="仿宋_GB2312"/>
          <w:color w:val="000000" w:themeColor="text1"/>
          <w:sz w:val="32"/>
          <w:szCs w:val="32"/>
        </w:rPr>
        <w:t>昆明市官渡区人民政府六甲街道办事处辖区范围内涉及滇池流域水环境保护治理范围内国有土地及国有土地上房屋，最终以实际勘测定界成果为准。</w:t>
      </w:r>
    </w:p>
    <w:p>
      <w:pPr>
        <w:spacing w:line="560" w:lineRule="exact"/>
        <w:ind w:firstLine="622" w:firstLineChars="200"/>
        <w:rPr>
          <w:rFonts w:ascii="仿宋_GB2312" w:hAnsi="仿宋" w:eastAsia="仿宋_GB2312"/>
          <w:color w:val="000000" w:themeColor="text1"/>
          <w:sz w:val="32"/>
          <w:szCs w:val="32"/>
        </w:rPr>
      </w:pPr>
      <w:r>
        <w:rPr>
          <w:rFonts w:hint="eastAsia" w:ascii="仿宋_GB2312" w:hAnsi="仿宋_GB2312" w:eastAsia="仿宋_GB2312" w:cs="仿宋_GB2312"/>
          <w:color w:val="000000" w:themeColor="text1"/>
          <w:sz w:val="32"/>
        </w:rPr>
        <w:t>征收期限：项目征收期限从房屋征收决定公告之日起算</w:t>
      </w:r>
      <w:r>
        <w:rPr>
          <w:rFonts w:hint="eastAsia" w:ascii="仿宋_GB2312" w:hAnsi="仿宋_GB2312" w:eastAsia="仿宋_GB2312" w:cs="仿宋_GB2312"/>
          <w:color w:val="000000" w:themeColor="text1"/>
          <w:sz w:val="32"/>
          <w:szCs w:val="32"/>
        </w:rPr>
        <w:t>共计</w:t>
      </w:r>
      <w:r>
        <w:rPr>
          <w:rFonts w:ascii="仿宋_GB2312" w:hAnsi="仿宋_GB2312" w:eastAsia="仿宋_GB2312" w:cs="仿宋_GB2312"/>
          <w:color w:val="000000" w:themeColor="text1"/>
          <w:sz w:val="32"/>
          <w:szCs w:val="32"/>
        </w:rPr>
        <w:t>30</w:t>
      </w:r>
      <w:r>
        <w:rPr>
          <w:rFonts w:hint="eastAsia" w:ascii="仿宋_GB2312" w:hAnsi="仿宋_GB2312" w:eastAsia="仿宋_GB2312" w:cs="仿宋_GB2312"/>
          <w:color w:val="000000" w:themeColor="text1"/>
          <w:sz w:val="32"/>
          <w:szCs w:val="32"/>
        </w:rPr>
        <w:t>日</w:t>
      </w:r>
      <w:r>
        <w:rPr>
          <w:rFonts w:hint="eastAsia" w:ascii="仿宋_GB2312" w:hAnsi="仿宋_GB2312" w:eastAsia="仿宋_GB2312" w:cs="仿宋_GB2312"/>
          <w:color w:val="000000" w:themeColor="text1"/>
          <w:sz w:val="32"/>
        </w:rPr>
        <w:t>，包括两个阶段：第一阶段（准备阶段）从房屋征收决定公告发布</w:t>
      </w:r>
      <w:r>
        <w:rPr>
          <w:rFonts w:hint="eastAsia" w:ascii="仿宋_GB2312" w:hAnsi="仿宋_GB2312" w:eastAsia="仿宋_GB2312" w:cs="仿宋_GB2312"/>
          <w:bCs/>
          <w:color w:val="000000" w:themeColor="text1"/>
          <w:sz w:val="32"/>
        </w:rPr>
        <w:t>之日起</w:t>
      </w:r>
      <w:r>
        <w:rPr>
          <w:rFonts w:ascii="仿宋_GB2312" w:hAnsi="仿宋_GB2312" w:eastAsia="仿宋_GB2312" w:cs="仿宋_GB2312"/>
          <w:bCs/>
          <w:color w:val="000000" w:themeColor="text1"/>
          <w:sz w:val="32"/>
        </w:rPr>
        <w:t>10</w:t>
      </w:r>
      <w:r>
        <w:rPr>
          <w:rFonts w:hint="eastAsia" w:ascii="仿宋_GB2312" w:hAnsi="仿宋_GB2312" w:eastAsia="仿宋_GB2312" w:cs="仿宋_GB2312"/>
          <w:bCs/>
          <w:color w:val="000000" w:themeColor="text1"/>
          <w:sz w:val="32"/>
        </w:rPr>
        <w:t>日内</w:t>
      </w:r>
      <w:r>
        <w:rPr>
          <w:rFonts w:hint="eastAsia" w:ascii="仿宋_GB2312" w:hAnsi="仿宋_GB2312" w:eastAsia="仿宋_GB2312" w:cs="仿宋_GB2312"/>
          <w:color w:val="000000" w:themeColor="text1"/>
          <w:sz w:val="32"/>
        </w:rPr>
        <w:t>；第二阶段（签约及搬迁阶段）第一阶段届满后顺延</w:t>
      </w:r>
      <w:r>
        <w:rPr>
          <w:rFonts w:ascii="仿宋_GB2312" w:hAnsi="仿宋_GB2312" w:eastAsia="仿宋_GB2312" w:cs="仿宋_GB2312"/>
          <w:color w:val="000000" w:themeColor="text1"/>
          <w:sz w:val="32"/>
        </w:rPr>
        <w:t>20</w:t>
      </w:r>
      <w:r>
        <w:rPr>
          <w:rFonts w:hint="eastAsia" w:ascii="仿宋_GB2312" w:hAnsi="仿宋_GB2312" w:eastAsia="仿宋_GB2312" w:cs="仿宋_GB2312"/>
          <w:color w:val="000000" w:themeColor="text1"/>
          <w:sz w:val="32"/>
        </w:rPr>
        <w:t>日内。</w:t>
      </w:r>
    </w:p>
    <w:p>
      <w:pPr>
        <w:snapToGrid w:val="0"/>
        <w:spacing w:line="560" w:lineRule="exact"/>
        <w:ind w:firstLine="778" w:firstLineChars="250"/>
        <w:rPr>
          <w:rFonts w:ascii="黑体" w:hAnsi="黑体" w:eastAsia="黑体"/>
          <w:bCs/>
          <w:sz w:val="32"/>
        </w:rPr>
      </w:pPr>
      <w:r>
        <w:rPr>
          <w:rFonts w:hint="eastAsia" w:ascii="黑体" w:hAnsi="黑体" w:eastAsia="黑体"/>
          <w:bCs/>
          <w:sz w:val="32"/>
        </w:rPr>
        <w:t>第五条</w:t>
      </w:r>
      <w:r>
        <w:rPr>
          <w:rFonts w:hint="eastAsia" w:ascii="黑体" w:hAnsi="黑体" w:eastAsia="黑体"/>
          <w:bCs/>
          <w:sz w:val="32"/>
          <w:lang w:val="en-US" w:eastAsia="zh-CN"/>
        </w:rPr>
        <w:t xml:space="preserve"> </w:t>
      </w:r>
      <w:r>
        <w:rPr>
          <w:rFonts w:hint="eastAsia" w:ascii="黑体" w:hAnsi="黑体" w:eastAsia="黑体"/>
          <w:bCs/>
          <w:sz w:val="32"/>
        </w:rPr>
        <w:t>国有土地补偿</w:t>
      </w:r>
    </w:p>
    <w:p>
      <w:pPr>
        <w:snapToGrid w:val="0"/>
        <w:spacing w:line="560" w:lineRule="exact"/>
        <w:ind w:firstLine="622" w:firstLineChars="200"/>
        <w:rPr>
          <w:rFonts w:ascii="仿宋_GB2312" w:hAnsi="仿宋_GB2312" w:eastAsia="仿宋_GB2312" w:cs="仿宋_GB2312"/>
          <w:sz w:val="32"/>
        </w:rPr>
      </w:pPr>
      <w:r>
        <w:rPr>
          <w:rFonts w:hint="eastAsia" w:ascii="仿宋_GB2312" w:hAnsi="仿宋" w:eastAsia="仿宋_GB2312"/>
          <w:sz w:val="32"/>
        </w:rPr>
        <w:t>（一）</w:t>
      </w:r>
      <w:r>
        <w:rPr>
          <w:rFonts w:hint="eastAsia" w:ascii="仿宋_GB2312" w:hAnsi="仿宋_GB2312" w:eastAsia="仿宋_GB2312" w:cs="仿宋_GB2312"/>
          <w:sz w:val="32"/>
        </w:rPr>
        <w:t>划拨土地</w:t>
      </w:r>
    </w:p>
    <w:p>
      <w:pPr>
        <w:snapToGrid w:val="0"/>
        <w:spacing w:line="560" w:lineRule="exact"/>
        <w:ind w:firstLine="622" w:firstLineChars="200"/>
        <w:rPr>
          <w:rFonts w:ascii="仿宋_GB2312" w:hAnsi="仿宋_GB2312" w:eastAsia="仿宋_GB2312" w:cs="仿宋_GB2312"/>
          <w:sz w:val="32"/>
        </w:rPr>
      </w:pPr>
      <w:r>
        <w:rPr>
          <w:rFonts w:hint="eastAsia" w:ascii="仿宋_GB2312" w:hAnsi="仿宋_GB2312" w:eastAsia="仿宋_GB2312" w:cs="仿宋_GB2312"/>
          <w:sz w:val="32"/>
        </w:rPr>
        <w:t>按原国有划拨土地使用权取得时的成本进行补偿。若原取得成本不足</w:t>
      </w:r>
      <w:r>
        <w:rPr>
          <w:rFonts w:ascii="仿宋_GB2312" w:hAnsi="仿宋_GB2312" w:eastAsia="仿宋_GB2312" w:cs="仿宋_GB2312"/>
          <w:sz w:val="32"/>
        </w:rPr>
        <w:t>25</w:t>
      </w:r>
      <w:r>
        <w:rPr>
          <w:rFonts w:hint="eastAsia" w:ascii="仿宋_GB2312" w:hAnsi="仿宋_GB2312" w:eastAsia="仿宋_GB2312" w:cs="仿宋_GB2312"/>
          <w:sz w:val="32"/>
        </w:rPr>
        <w:t>万元</w:t>
      </w:r>
      <w:r>
        <w:rPr>
          <w:rFonts w:ascii="仿宋_GB2312" w:hAnsi="仿宋_GB2312" w:eastAsia="仿宋_GB2312" w:cs="仿宋_GB2312"/>
          <w:sz w:val="32"/>
        </w:rPr>
        <w:t>/</w:t>
      </w:r>
      <w:r>
        <w:rPr>
          <w:rFonts w:hint="eastAsia" w:ascii="仿宋_GB2312" w:hAnsi="仿宋_GB2312" w:eastAsia="仿宋_GB2312" w:cs="仿宋_GB2312"/>
          <w:sz w:val="32"/>
        </w:rPr>
        <w:t>亩的，按</w:t>
      </w:r>
      <w:r>
        <w:rPr>
          <w:rFonts w:ascii="仿宋_GB2312" w:hAnsi="仿宋_GB2312" w:eastAsia="仿宋_GB2312" w:cs="仿宋_GB2312"/>
          <w:sz w:val="32"/>
        </w:rPr>
        <w:t>25</w:t>
      </w:r>
      <w:r>
        <w:rPr>
          <w:rFonts w:hint="eastAsia" w:ascii="仿宋_GB2312" w:hAnsi="仿宋_GB2312" w:eastAsia="仿宋_GB2312" w:cs="仿宋_GB2312"/>
          <w:sz w:val="32"/>
        </w:rPr>
        <w:t>万元</w:t>
      </w:r>
      <w:r>
        <w:rPr>
          <w:rFonts w:ascii="仿宋_GB2312" w:hAnsi="仿宋_GB2312" w:eastAsia="仿宋_GB2312" w:cs="仿宋_GB2312"/>
          <w:sz w:val="32"/>
        </w:rPr>
        <w:t>/</w:t>
      </w:r>
      <w:r>
        <w:rPr>
          <w:rFonts w:hint="eastAsia" w:ascii="仿宋_GB2312" w:hAnsi="仿宋_GB2312" w:eastAsia="仿宋_GB2312" w:cs="仿宋_GB2312"/>
          <w:sz w:val="32"/>
        </w:rPr>
        <w:t>亩进行补偿。</w:t>
      </w:r>
    </w:p>
    <w:p>
      <w:pPr>
        <w:snapToGrid w:val="0"/>
        <w:spacing w:line="560" w:lineRule="exact"/>
        <w:ind w:firstLine="610" w:firstLineChars="196"/>
        <w:rPr>
          <w:rFonts w:ascii="仿宋_GB2312" w:hAnsi="仿宋" w:eastAsia="仿宋_GB2312"/>
          <w:sz w:val="32"/>
        </w:rPr>
      </w:pPr>
      <w:r>
        <w:rPr>
          <w:rFonts w:hint="eastAsia" w:ascii="仿宋_GB2312" w:hAnsi="仿宋" w:eastAsia="仿宋_GB2312"/>
          <w:sz w:val="32"/>
        </w:rPr>
        <w:t>（二）出让土地</w:t>
      </w:r>
    </w:p>
    <w:p>
      <w:pPr>
        <w:spacing w:line="560" w:lineRule="exact"/>
        <w:ind w:firstLine="622" w:firstLineChars="200"/>
        <w:rPr>
          <w:rFonts w:ascii="仿宋_GB2312" w:hAnsi="仿宋_GB2312" w:eastAsia="仿宋_GB2312" w:cs="仿宋_GB2312"/>
          <w:sz w:val="32"/>
        </w:rPr>
      </w:pPr>
      <w:r>
        <w:rPr>
          <w:rFonts w:ascii="仿宋_GB2312" w:hAnsi="仿宋_GB2312" w:eastAsia="仿宋_GB2312" w:cs="仿宋_GB2312"/>
          <w:sz w:val="32"/>
        </w:rPr>
        <w:t>1.</w:t>
      </w:r>
      <w:r>
        <w:rPr>
          <w:rFonts w:hint="eastAsia" w:ascii="仿宋_GB2312" w:hAnsi="仿宋_GB2312" w:eastAsia="仿宋_GB2312" w:cs="仿宋_GB2312"/>
          <w:sz w:val="32"/>
        </w:rPr>
        <w:t>通过招标、拍卖、挂牌方式取得的土地按照土地原批准用途扣减已使用年限后，以评估价格为依据协商补偿。</w:t>
      </w:r>
    </w:p>
    <w:p>
      <w:pPr>
        <w:snapToGrid w:val="0"/>
        <w:spacing w:line="560" w:lineRule="exact"/>
        <w:ind w:firstLine="610" w:firstLineChars="196"/>
        <w:rPr>
          <w:rFonts w:ascii="仿宋_GB2312" w:hAnsi="仿宋_GB2312" w:eastAsia="仿宋_GB2312" w:cs="仿宋_GB2312"/>
          <w:sz w:val="32"/>
        </w:rPr>
      </w:pPr>
      <w:r>
        <w:rPr>
          <w:rFonts w:ascii="仿宋_GB2312" w:hAnsi="仿宋_GB2312" w:eastAsia="仿宋_GB2312" w:cs="仿宋_GB2312"/>
          <w:sz w:val="32"/>
        </w:rPr>
        <w:t>2.</w:t>
      </w:r>
      <w:r>
        <w:rPr>
          <w:rFonts w:hint="eastAsia" w:ascii="仿宋_GB2312" w:hAnsi="仿宋_GB2312" w:eastAsia="仿宋_GB2312" w:cs="仿宋_GB2312"/>
          <w:sz w:val="32"/>
        </w:rPr>
        <w:t>协议出让土地</w:t>
      </w:r>
    </w:p>
    <w:p>
      <w:pPr>
        <w:snapToGrid w:val="0"/>
        <w:spacing w:line="560" w:lineRule="exact"/>
        <w:ind w:firstLine="619" w:firstLineChars="199"/>
        <w:rPr>
          <w:rFonts w:ascii="仿宋_GB2312" w:hAnsi="仿宋_GB2312" w:eastAsia="仿宋_GB2312" w:cs="仿宋_GB2312"/>
          <w:sz w:val="32"/>
        </w:rPr>
      </w:pPr>
      <w:r>
        <w:rPr>
          <w:rFonts w:hint="eastAsia" w:ascii="仿宋_GB2312" w:hAnsi="仿宋_GB2312" w:eastAsia="仿宋_GB2312" w:cs="仿宋_GB2312"/>
          <w:sz w:val="32"/>
        </w:rPr>
        <w:t>按照原土地使用权取得成本扣减已使用年限进行补偿，也可双方协商确定补偿，但协商补偿价格不得高于原批准用途扣减已使用年限后的评估价。</w:t>
      </w:r>
    </w:p>
    <w:p>
      <w:pPr>
        <w:snapToGrid w:val="0"/>
        <w:spacing w:line="560" w:lineRule="exact"/>
        <w:ind w:firstLine="622" w:firstLineChars="200"/>
        <w:rPr>
          <w:rFonts w:ascii="仿宋_GB2312" w:hAnsi="仿宋_GB2312" w:eastAsia="仿宋_GB2312" w:cs="仿宋_GB2312"/>
          <w:sz w:val="32"/>
        </w:rPr>
      </w:pPr>
      <w:r>
        <w:rPr>
          <w:rFonts w:ascii="仿宋_GB2312" w:hAnsi="仿宋_GB2312" w:eastAsia="仿宋_GB2312" w:cs="仿宋_GB2312"/>
          <w:sz w:val="32"/>
        </w:rPr>
        <w:t>3.</w:t>
      </w:r>
      <w:r>
        <w:rPr>
          <w:rFonts w:hint="eastAsia" w:ascii="仿宋_GB2312" w:hAnsi="仿宋_GB2312" w:eastAsia="仿宋_GB2312" w:cs="仿宋_GB2312"/>
          <w:sz w:val="32"/>
        </w:rPr>
        <w:t>通过转让方式取得土地</w:t>
      </w:r>
    </w:p>
    <w:p>
      <w:pPr>
        <w:snapToGrid w:val="0"/>
        <w:spacing w:line="560" w:lineRule="exact"/>
        <w:ind w:firstLine="622" w:firstLineChars="200"/>
        <w:rPr>
          <w:rFonts w:ascii="仿宋_GB2312" w:hAnsi="仿宋_GB2312" w:eastAsia="仿宋_GB2312" w:cs="仿宋_GB2312"/>
          <w:sz w:val="32"/>
        </w:rPr>
      </w:pPr>
      <w:r>
        <w:rPr>
          <w:rFonts w:hint="eastAsia" w:ascii="仿宋_GB2312" w:hAnsi="仿宋_GB2312" w:eastAsia="仿宋_GB2312" w:cs="仿宋_GB2312"/>
          <w:sz w:val="32"/>
        </w:rPr>
        <w:t>按照原转让时取得价扣减土地已使用年限后进行补偿。也可双方协商确定补偿，但协商补偿价格不得高于原批准用途扣减已使用年限后的评估价。</w:t>
      </w:r>
    </w:p>
    <w:p>
      <w:pPr>
        <w:snapToGrid w:val="0"/>
        <w:spacing w:line="560" w:lineRule="exact"/>
        <w:ind w:firstLine="622" w:firstLineChars="200"/>
        <w:rPr>
          <w:rFonts w:ascii="仿宋_GB2312" w:hAnsi="仿宋_GB2312" w:eastAsia="仿宋_GB2312" w:cs="仿宋_GB2312"/>
          <w:sz w:val="32"/>
        </w:rPr>
      </w:pPr>
      <w:r>
        <w:rPr>
          <w:rFonts w:hint="eastAsia" w:ascii="仿宋_GB2312" w:hAnsi="仿宋_GB2312" w:eastAsia="仿宋_GB2312" w:cs="仿宋_GB2312"/>
          <w:sz w:val="32"/>
        </w:rPr>
        <w:t>若转让时，土地使用权人已向政府作出书面承诺的，按原承诺转让价扣减土地已使用年限后进行补偿。</w:t>
      </w:r>
    </w:p>
    <w:p>
      <w:pPr>
        <w:snapToGrid w:val="0"/>
        <w:spacing w:line="560" w:lineRule="exact"/>
        <w:ind w:firstLine="622" w:firstLineChars="200"/>
        <w:rPr>
          <w:rFonts w:ascii="仿宋_GB2312" w:hAnsi="仿宋_GB2312" w:eastAsia="仿宋_GB2312" w:cs="仿宋_GB2312"/>
          <w:b/>
          <w:bCs/>
          <w:sz w:val="32"/>
        </w:rPr>
      </w:pPr>
      <w:r>
        <w:rPr>
          <w:rFonts w:ascii="仿宋_GB2312" w:hAnsi="仿宋_GB2312" w:eastAsia="仿宋_GB2312" w:cs="仿宋_GB2312"/>
          <w:sz w:val="32"/>
        </w:rPr>
        <w:t xml:space="preserve"> 4.</w:t>
      </w:r>
      <w:r>
        <w:rPr>
          <w:rFonts w:hint="eastAsia" w:ascii="仿宋_GB2312" w:hAnsi="仿宋_GB2312" w:eastAsia="仿宋_GB2312" w:cs="仿宋_GB2312"/>
          <w:sz w:val="32"/>
        </w:rPr>
        <w:t>清理完善手续用地（</w:t>
      </w:r>
      <w:r>
        <w:rPr>
          <w:rFonts w:ascii="仿宋_GB2312" w:hAnsi="仿宋_GB2312" w:eastAsia="仿宋_GB2312" w:cs="仿宋_GB2312"/>
          <w:sz w:val="32"/>
        </w:rPr>
        <w:t>8</w:t>
      </w:r>
      <w:r>
        <w:rPr>
          <w:rFonts w:hint="eastAsia" w:ascii="仿宋_GB2312" w:hAnsi="仿宋_GB2312" w:eastAsia="仿宋_GB2312" w:cs="仿宋_GB2312"/>
          <w:sz w:val="32"/>
        </w:rPr>
        <w:t>·</w:t>
      </w:r>
      <w:r>
        <w:rPr>
          <w:rFonts w:ascii="仿宋_GB2312" w:hAnsi="仿宋_GB2312" w:eastAsia="仿宋_GB2312" w:cs="仿宋_GB2312"/>
          <w:sz w:val="32"/>
        </w:rPr>
        <w:t>31</w:t>
      </w:r>
      <w:r>
        <w:rPr>
          <w:rFonts w:hint="eastAsia" w:ascii="仿宋_GB2312" w:hAnsi="仿宋_GB2312" w:eastAsia="仿宋_GB2312" w:cs="仿宋_GB2312"/>
          <w:sz w:val="32"/>
        </w:rPr>
        <w:t>用地）</w:t>
      </w:r>
    </w:p>
    <w:p>
      <w:pPr>
        <w:snapToGrid w:val="0"/>
        <w:spacing w:line="560" w:lineRule="exact"/>
        <w:ind w:firstLine="622" w:firstLineChars="200"/>
        <w:rPr>
          <w:rFonts w:ascii="仿宋_GB2312" w:hAnsi="仿宋_GB2312" w:eastAsia="仿宋_GB2312" w:cs="仿宋_GB2312"/>
          <w:color w:val="0000FF"/>
          <w:sz w:val="32"/>
        </w:rPr>
      </w:pPr>
      <w:r>
        <w:rPr>
          <w:rFonts w:hint="eastAsia" w:ascii="仿宋_GB2312" w:hAnsi="仿宋_GB2312" w:eastAsia="仿宋_GB2312" w:cs="仿宋_GB2312"/>
          <w:sz w:val="32"/>
          <w:szCs w:val="32"/>
        </w:rPr>
        <w:t>按照《昆明市人民政府办公厅关于完善“</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31</w:t>
      </w:r>
      <w:r>
        <w:rPr>
          <w:rFonts w:hint="eastAsia" w:ascii="仿宋_GB2312" w:hAnsi="仿宋_GB2312" w:eastAsia="仿宋_GB2312" w:cs="仿宋_GB2312"/>
          <w:sz w:val="32"/>
          <w:szCs w:val="32"/>
        </w:rPr>
        <w:t>”清非用地手续的通知》（昆政办〔</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号）执行。</w:t>
      </w:r>
    </w:p>
    <w:p>
      <w:pPr>
        <w:snapToGrid w:val="0"/>
        <w:spacing w:line="560" w:lineRule="exact"/>
        <w:ind w:firstLine="610" w:firstLineChars="196"/>
        <w:rPr>
          <w:rFonts w:ascii="黑体" w:hAnsi="黑体" w:eastAsia="黑体" w:cs="仿宋_GB2312"/>
          <w:sz w:val="32"/>
          <w:szCs w:val="32"/>
        </w:rPr>
      </w:pPr>
      <w:r>
        <w:rPr>
          <w:rFonts w:hint="eastAsia" w:ascii="黑体" w:hAnsi="黑体" w:eastAsia="黑体" w:cs="仿宋_GB2312"/>
          <w:sz w:val="32"/>
          <w:szCs w:val="32"/>
        </w:rPr>
        <w:t>第六条</w:t>
      </w:r>
      <w:r>
        <w:rPr>
          <w:rFonts w:hint="eastAsia" w:ascii="黑体" w:hAnsi="黑体" w:eastAsia="黑体" w:cs="仿宋_GB2312"/>
          <w:sz w:val="32"/>
          <w:szCs w:val="32"/>
          <w:lang w:val="en-US" w:eastAsia="zh-CN"/>
        </w:rPr>
        <w:t xml:space="preserve"> </w:t>
      </w:r>
      <w:r>
        <w:rPr>
          <w:rFonts w:hint="eastAsia" w:ascii="黑体" w:hAnsi="黑体" w:eastAsia="黑体" w:cs="仿宋_GB2312"/>
          <w:sz w:val="32"/>
          <w:szCs w:val="32"/>
        </w:rPr>
        <w:t>限制行为</w:t>
      </w:r>
    </w:p>
    <w:p>
      <w:pPr>
        <w:spacing w:line="56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房屋征收范围公告发布后，任何单位或个人不得在房屋征收范围内实施新建、扩建、改建房屋和改变房屋用途等不当增加补偿费用的行为，包括但不限于：</w:t>
      </w:r>
    </w:p>
    <w:p>
      <w:pPr>
        <w:spacing w:line="56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（一）新建、扩建、改建、装修房屋；</w:t>
      </w:r>
    </w:p>
    <w:p>
      <w:pPr>
        <w:spacing w:line="56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（二）改变房屋和土地用途；</w:t>
      </w:r>
    </w:p>
    <w:p>
      <w:pPr>
        <w:spacing w:line="56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（三）土地权属和房屋的出让、转让、分割、抵押、登记发证；</w:t>
      </w:r>
    </w:p>
    <w:p>
      <w:pPr>
        <w:spacing w:line="56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（四）以被征收房屋为注册地址办理工商注册登记手续；</w:t>
      </w:r>
    </w:p>
    <w:p>
      <w:pPr>
        <w:spacing w:line="56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（五）设立和变更房屋租赁关系；</w:t>
      </w:r>
    </w:p>
    <w:p>
      <w:pPr>
        <w:spacing w:line="56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（六）已依法取得建房批准文件但尚未建造完毕房屋的续建；</w:t>
      </w:r>
    </w:p>
    <w:p>
      <w:pPr>
        <w:spacing w:line="56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（七）法律规定的其他禁止事项和其它不当增加补偿费的行为。</w:t>
      </w:r>
    </w:p>
    <w:p>
      <w:pPr>
        <w:snapToGrid w:val="0"/>
        <w:spacing w:line="56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违反规定实施上述行为的，在安置补偿过程中不予确认，所产生的损失和后果由行为人自行承担。</w:t>
      </w:r>
    </w:p>
    <w:p>
      <w:pPr>
        <w:numPr>
          <w:ilvl w:val="0"/>
          <w:numId w:val="2"/>
        </w:numPr>
        <w:snapToGrid w:val="0"/>
        <w:spacing w:line="560" w:lineRule="exact"/>
        <w:ind w:firstLine="622" w:firstLineChars="200"/>
        <w:rPr>
          <w:rFonts w:ascii="黑体" w:hAnsi="黑体" w:eastAsia="黑体" w:cs="宋体"/>
          <w:kern w:val="0"/>
          <w:sz w:val="32"/>
          <w:szCs w:val="32"/>
        </w:rPr>
      </w:pPr>
      <w:r>
        <w:rPr>
          <w:rFonts w:hint="eastAsia" w:ascii="黑体" w:hAnsi="黑体" w:eastAsia="黑体" w:cs="宋体"/>
          <w:kern w:val="0"/>
          <w:sz w:val="32"/>
          <w:szCs w:val="32"/>
        </w:rPr>
        <w:t>被征收房屋面积、用途、性质的认定办法</w:t>
      </w:r>
    </w:p>
    <w:p>
      <w:pPr>
        <w:pStyle w:val="3"/>
        <w:spacing w:line="560" w:lineRule="exact"/>
        <w:ind w:firstLine="622" w:firstLineChars="200"/>
        <w:rPr>
          <w:rFonts w:ascii="仿宋_GB2312" w:hAnsi="仿宋" w:eastAsia="仿宋_GB2312" w:cs="宋体"/>
          <w:color w:val="000000" w:themeColor="text1"/>
          <w:kern w:val="0"/>
          <w:sz w:val="32"/>
          <w:szCs w:val="32"/>
        </w:rPr>
      </w:pPr>
      <w:r>
        <w:rPr>
          <w:rFonts w:hint="eastAsia" w:ascii="仿宋_GB2312" w:hAnsi="仿宋" w:eastAsia="仿宋_GB2312" w:cs="宋体"/>
          <w:color w:val="000000" w:themeColor="text1"/>
          <w:kern w:val="0"/>
          <w:sz w:val="32"/>
          <w:szCs w:val="32"/>
        </w:rPr>
        <w:t>办理征收补偿协议时，被征收人需提交如下相关证明文件，被征收人出具的下述证照及相关证件必须是具有法律效力或行政效力的文件，方可办理征收补偿手续：</w:t>
      </w:r>
    </w:p>
    <w:p>
      <w:pPr>
        <w:pStyle w:val="3"/>
        <w:spacing w:line="560" w:lineRule="exact"/>
        <w:ind w:firstLine="622" w:firstLineChars="200"/>
        <w:rPr>
          <w:rFonts w:ascii="仿宋_GB2312" w:hAnsi="仿宋" w:eastAsia="仿宋_GB2312" w:cs="宋体"/>
          <w:color w:val="000000" w:themeColor="text1"/>
          <w:kern w:val="0"/>
          <w:sz w:val="32"/>
          <w:szCs w:val="32"/>
        </w:rPr>
      </w:pPr>
      <w:r>
        <w:rPr>
          <w:rFonts w:hint="eastAsia" w:ascii="仿宋_GB2312" w:hAnsi="仿宋" w:eastAsia="仿宋_GB2312" w:cs="宋体"/>
          <w:color w:val="000000" w:themeColor="text1"/>
          <w:kern w:val="0"/>
          <w:sz w:val="32"/>
          <w:szCs w:val="32"/>
        </w:rPr>
        <w:t>（一）《中华人民共和国房屋所有权证》（或《中华人民共和国不动产权证书》）、《中华人民共和国国有土地使用证》（原件）。</w:t>
      </w:r>
    </w:p>
    <w:p>
      <w:pPr>
        <w:pStyle w:val="3"/>
        <w:spacing w:line="560" w:lineRule="exact"/>
        <w:ind w:firstLine="622" w:firstLineChars="200"/>
        <w:rPr>
          <w:rFonts w:ascii="仿宋_GB2312" w:hAnsi="仿宋" w:eastAsia="仿宋_GB2312" w:cs="宋体"/>
          <w:color w:val="000000" w:themeColor="text1"/>
          <w:kern w:val="0"/>
          <w:sz w:val="32"/>
          <w:szCs w:val="32"/>
        </w:rPr>
      </w:pPr>
      <w:r>
        <w:rPr>
          <w:rFonts w:hint="eastAsia" w:ascii="仿宋_GB2312" w:hAnsi="仿宋" w:eastAsia="仿宋_GB2312" w:cs="宋体"/>
          <w:color w:val="000000" w:themeColor="text1"/>
          <w:kern w:val="0"/>
          <w:sz w:val="32"/>
          <w:szCs w:val="32"/>
        </w:rPr>
        <w:t>（二）办理上述权证注销手续相应材料（如法人身份证明、委托书等相关资料）。</w:t>
      </w:r>
    </w:p>
    <w:p>
      <w:pPr>
        <w:pStyle w:val="3"/>
        <w:spacing w:line="560" w:lineRule="exact"/>
        <w:ind w:firstLine="622" w:firstLineChars="200"/>
        <w:rPr>
          <w:rFonts w:ascii="仿宋_GB2312" w:hAnsi="仿宋" w:eastAsia="仿宋_GB2312" w:cs="宋体"/>
          <w:color w:val="000000" w:themeColor="text1"/>
          <w:kern w:val="0"/>
          <w:sz w:val="32"/>
          <w:szCs w:val="32"/>
        </w:rPr>
      </w:pPr>
      <w:r>
        <w:rPr>
          <w:rFonts w:hint="eastAsia" w:ascii="仿宋_GB2312" w:hAnsi="仿宋" w:eastAsia="仿宋_GB2312" w:cs="宋体"/>
          <w:color w:val="000000" w:themeColor="text1"/>
          <w:kern w:val="0"/>
          <w:sz w:val="32"/>
          <w:szCs w:val="32"/>
        </w:rPr>
        <w:t>（三）其他相关材料（建设规划许可证、建设施工许可证、营业执照、税务登记证及组织机构代码证等其他相关材料）。</w:t>
      </w:r>
    </w:p>
    <w:p>
      <w:pPr>
        <w:snapToGrid w:val="0"/>
        <w:spacing w:line="560" w:lineRule="exact"/>
        <w:ind w:firstLine="622" w:firstLineChars="200"/>
        <w:rPr>
          <w:rFonts w:ascii="仿宋_GB2312" w:hAnsi="仿宋" w:eastAsia="仿宋_GB2312" w:cs="宋体"/>
          <w:color w:val="000000" w:themeColor="text1"/>
          <w:kern w:val="0"/>
          <w:sz w:val="32"/>
          <w:szCs w:val="32"/>
        </w:rPr>
      </w:pPr>
      <w:r>
        <w:rPr>
          <w:rFonts w:hint="eastAsia" w:ascii="仿宋_GB2312" w:hAnsi="仿宋" w:eastAsia="仿宋_GB2312" w:cs="宋体"/>
          <w:color w:val="000000" w:themeColor="text1"/>
          <w:kern w:val="0"/>
          <w:sz w:val="32"/>
          <w:szCs w:val="32"/>
        </w:rPr>
        <w:t>（四）被征收房屋认定办法</w:t>
      </w:r>
    </w:p>
    <w:p>
      <w:pPr>
        <w:snapToGrid w:val="0"/>
        <w:spacing w:line="560" w:lineRule="exact"/>
        <w:ind w:firstLine="778" w:firstLineChars="250"/>
        <w:rPr>
          <w:rFonts w:ascii="仿宋_GB2312" w:hAnsi="仿宋_GB2312" w:eastAsia="仿宋_GB2312" w:cs="仿宋_GB2312"/>
          <w:kern w:val="0"/>
          <w:sz w:val="32"/>
          <w:szCs w:val="32"/>
        </w:rPr>
      </w:pPr>
      <w:r>
        <w:rPr>
          <w:rFonts w:ascii="仿宋_GB2312" w:hAnsi="仿宋" w:eastAsia="仿宋_GB2312" w:cs="宋体"/>
          <w:b/>
          <w:bCs/>
          <w:kern w:val="0"/>
          <w:sz w:val="32"/>
          <w:szCs w:val="32"/>
        </w:rPr>
        <w:t>1.</w:t>
      </w:r>
      <w:r>
        <w:rPr>
          <w:rFonts w:hint="eastAsia" w:ascii="仿宋_GB2312" w:hAnsi="仿宋" w:eastAsia="仿宋_GB2312" w:cs="宋体"/>
          <w:b/>
          <w:bCs/>
          <w:kern w:val="0"/>
          <w:sz w:val="32"/>
          <w:szCs w:val="32"/>
        </w:rPr>
        <w:t>被征收房屋面积的认定</w:t>
      </w:r>
      <w:r>
        <w:rPr>
          <w:rFonts w:hint="eastAsia" w:ascii="仿宋_GB2312" w:hAnsi="仿宋" w:eastAsia="仿宋_GB2312" w:cs="宋体"/>
          <w:kern w:val="0"/>
          <w:sz w:val="32"/>
          <w:szCs w:val="32"/>
        </w:rPr>
        <w:t>。</w:t>
      </w:r>
      <w:r>
        <w:rPr>
          <w:rFonts w:hint="eastAsia" w:ascii="仿宋_GB2312" w:hAnsi="仿宋_GB2312" w:eastAsia="仿宋_GB2312" w:cs="仿宋_GB2312"/>
          <w:kern w:val="0"/>
          <w:sz w:val="32"/>
          <w:szCs w:val="32"/>
        </w:rPr>
        <w:t>被征收房屋经依法登记并取得《中华人民共和国房屋所有权证》</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《中华人民共和国不动产权证书》</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的，以《中华人民共和国房屋所有权证》</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《中华人民共和国不动产权证书》</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登记面积为准。被征收房屋所有权登记面积与实际面积不相符的，或者被征收人对面积认定有争议的，由具有房屋测绘资质的专业机构进行测绘，并由测绘机构、征收部门或征收实施单位、被征收人等进行多方签证认定。</w:t>
      </w:r>
    </w:p>
    <w:p>
      <w:pPr>
        <w:snapToGrid w:val="0"/>
        <w:spacing w:line="560" w:lineRule="exact"/>
        <w:ind w:firstLine="622" w:firstLineChars="200"/>
        <w:rPr>
          <w:rFonts w:ascii="仿宋_GB2312" w:hAnsi="仿宋_GB2312" w:eastAsia="仿宋_GB2312" w:cs="仿宋_GB2312"/>
          <w:kern w:val="0"/>
          <w:sz w:val="32"/>
          <w:szCs w:val="32"/>
        </w:rPr>
      </w:pPr>
      <w:r>
        <w:rPr>
          <w:rFonts w:ascii="仿宋_GB2312" w:hAnsi="仿宋" w:eastAsia="仿宋_GB2312" w:cs="宋体"/>
          <w:b/>
          <w:bCs/>
          <w:kern w:val="0"/>
          <w:sz w:val="32"/>
          <w:szCs w:val="32"/>
        </w:rPr>
        <w:t>2.</w:t>
      </w:r>
      <w:r>
        <w:rPr>
          <w:rFonts w:hint="eastAsia" w:ascii="仿宋_GB2312" w:hAnsi="仿宋" w:eastAsia="仿宋_GB2312" w:cs="宋体"/>
          <w:b/>
          <w:bCs/>
          <w:kern w:val="0"/>
          <w:sz w:val="32"/>
          <w:szCs w:val="32"/>
        </w:rPr>
        <w:t>被征收房屋用途、</w:t>
      </w:r>
      <w:r>
        <w:rPr>
          <w:rFonts w:hint="eastAsia" w:ascii="仿宋_GB2312" w:hAnsi="仿宋" w:eastAsia="仿宋_GB2312" w:cs="宋体"/>
          <w:b/>
          <w:bCs/>
          <w:color w:val="000000" w:themeColor="text1"/>
          <w:kern w:val="0"/>
          <w:sz w:val="32"/>
          <w:szCs w:val="32"/>
        </w:rPr>
        <w:t>性质</w:t>
      </w:r>
      <w:r>
        <w:rPr>
          <w:rFonts w:hint="eastAsia" w:ascii="仿宋_GB2312" w:hAnsi="仿宋" w:eastAsia="仿宋_GB2312" w:cs="宋体"/>
          <w:b/>
          <w:bCs/>
          <w:kern w:val="0"/>
          <w:sz w:val="32"/>
          <w:szCs w:val="32"/>
        </w:rPr>
        <w:t>的认定</w:t>
      </w:r>
      <w:r>
        <w:rPr>
          <w:rFonts w:hint="eastAsia" w:ascii="仿宋_GB2312" w:hAnsi="仿宋" w:eastAsia="仿宋_GB2312" w:cs="宋体"/>
          <w:kern w:val="0"/>
          <w:sz w:val="32"/>
          <w:szCs w:val="32"/>
        </w:rPr>
        <w:t>。</w:t>
      </w:r>
      <w:r>
        <w:rPr>
          <w:rFonts w:hint="eastAsia" w:ascii="仿宋_GB2312" w:hAnsi="仿宋_GB2312" w:eastAsia="仿宋_GB2312" w:cs="仿宋_GB2312"/>
          <w:kern w:val="0"/>
          <w:sz w:val="32"/>
          <w:szCs w:val="32"/>
        </w:rPr>
        <w:t>以国土部门核发的《中华人民共和国国有土地使用证》、规划部门核发的《中华人民共和国建设工程规划许可证》、房产管理部门核发的《中华人民共和国房屋所有权证》</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《中华人民共和国不动产权证书》</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载明的用途为准。如三证认定的用途有差异，按照规划部门核发的《中华人民共和国建设工程规划许可证》载明的用途为准。《中华人民共和国城乡规划法》实施前建成的房屋，不能提供《中华人民共和国建设工程规划许可证》的，按《中华人民共和国国有土地使用证》载明的用途为准。</w:t>
      </w:r>
    </w:p>
    <w:p>
      <w:pPr>
        <w:snapToGrid w:val="0"/>
        <w:spacing w:line="560" w:lineRule="exact"/>
        <w:ind w:firstLine="622" w:firstLineChars="200"/>
        <w:rPr>
          <w:rFonts w:ascii="仿宋_GB2312" w:hAnsi="仿宋" w:eastAsia="仿宋_GB2312" w:cs="宋体"/>
          <w:color w:val="000000" w:themeColor="text1"/>
          <w:kern w:val="0"/>
          <w:sz w:val="32"/>
          <w:szCs w:val="32"/>
        </w:rPr>
      </w:pPr>
      <w:r>
        <w:rPr>
          <w:rFonts w:hint="eastAsia" w:ascii="仿宋_GB2312" w:hAnsi="仿宋" w:eastAsia="仿宋_GB2312" w:cs="宋体"/>
          <w:b/>
          <w:color w:val="000000" w:themeColor="text1"/>
          <w:kern w:val="0"/>
          <w:sz w:val="32"/>
          <w:szCs w:val="32"/>
        </w:rPr>
        <w:t>3.未办理产权登记或有部分手续的房屋</w:t>
      </w:r>
      <w:r>
        <w:rPr>
          <w:rFonts w:hint="eastAsia" w:ascii="仿宋_GB2312" w:hAnsi="仿宋" w:eastAsia="仿宋_GB2312" w:cs="宋体"/>
          <w:color w:val="000000" w:themeColor="text1"/>
          <w:kern w:val="0"/>
          <w:sz w:val="32"/>
          <w:szCs w:val="32"/>
        </w:rPr>
        <w:t>。</w:t>
      </w:r>
      <w:r>
        <w:rPr>
          <w:rFonts w:hint="eastAsia" w:ascii="仿宋_GB2312" w:hAnsi="仿宋" w:eastAsia="仿宋_GB2312" w:cs="宋体"/>
          <w:color w:val="000000" w:themeColor="text1"/>
          <w:kern w:val="0"/>
          <w:sz w:val="32"/>
          <w:szCs w:val="32"/>
          <w:lang w:val="en-US" w:eastAsia="zh-CN"/>
        </w:rPr>
        <w:t>未办理产权登记或有部分手续的房屋，由区级各部门按照各自职能职责依法依规对征收范围内未登记建筑合法性、面积和用途进行调</w:t>
      </w:r>
      <w:bookmarkStart w:id="1" w:name="_GoBack"/>
      <w:bookmarkEnd w:id="1"/>
      <w:r>
        <w:rPr>
          <w:rFonts w:hint="eastAsia" w:ascii="仿宋_GB2312" w:hAnsi="仿宋" w:eastAsia="仿宋_GB2312" w:cs="宋体"/>
          <w:color w:val="000000" w:themeColor="text1"/>
          <w:kern w:val="0"/>
          <w:sz w:val="32"/>
          <w:szCs w:val="32"/>
          <w:lang w:val="en-US" w:eastAsia="zh-CN"/>
        </w:rPr>
        <w:t>查认定和处理</w:t>
      </w:r>
      <w:r>
        <w:rPr>
          <w:rFonts w:hint="eastAsia" w:ascii="仿宋_GB2312" w:hAnsi="仿宋_GB2312" w:eastAsia="仿宋_GB2312" w:cs="仿宋_GB2312"/>
          <w:kern w:val="0"/>
          <w:sz w:val="32"/>
          <w:szCs w:val="32"/>
        </w:rPr>
        <w:t>。。</w:t>
      </w:r>
      <w:r>
        <w:rPr>
          <w:rFonts w:hint="eastAsia" w:ascii="仿宋_GB2312" w:hAnsi="仿宋" w:eastAsia="仿宋_GB2312" w:cs="宋体"/>
          <w:color w:val="000000" w:themeColor="text1"/>
          <w:kern w:val="0"/>
          <w:sz w:val="32"/>
          <w:szCs w:val="32"/>
        </w:rPr>
        <w:t>认定为</w:t>
      </w:r>
      <w:r>
        <w:rPr>
          <w:rFonts w:hint="eastAsia" w:ascii="仿宋_GB2312" w:hAnsi="仿宋" w:eastAsia="仿宋_GB2312" w:cs="宋体"/>
          <w:bCs/>
          <w:kern w:val="0"/>
          <w:sz w:val="32"/>
          <w:szCs w:val="32"/>
        </w:rPr>
        <w:t>违法违章建筑和超过批准期限的临时建筑，一律不予补偿</w:t>
      </w:r>
      <w:r>
        <w:rPr>
          <w:rFonts w:hint="eastAsia" w:ascii="仿宋_GB2312" w:hAnsi="仿宋" w:eastAsia="仿宋_GB2312" w:cs="宋体"/>
          <w:kern w:val="0"/>
          <w:sz w:val="32"/>
          <w:szCs w:val="32"/>
        </w:rPr>
        <w:t>；</w:t>
      </w:r>
      <w:r>
        <w:rPr>
          <w:rFonts w:hint="eastAsia" w:ascii="仿宋_GB2312" w:hAnsi="仿宋_GB2312" w:eastAsia="仿宋_GB2312" w:cs="仿宋_GB2312"/>
          <w:kern w:val="0"/>
          <w:sz w:val="32"/>
          <w:szCs w:val="32"/>
        </w:rPr>
        <w:t>未超过批准期限的临时建筑按照建造成本结合折旧适当补偿。涉及国有资产的，按照相关规定执行。</w:t>
      </w:r>
    </w:p>
    <w:p>
      <w:pPr>
        <w:snapToGrid w:val="0"/>
        <w:spacing w:line="560" w:lineRule="exact"/>
        <w:ind w:firstLine="622" w:firstLineChars="200"/>
        <w:rPr>
          <w:rFonts w:ascii="黑体" w:hAnsi="黑体" w:eastAsia="黑体"/>
          <w:bCs/>
          <w:sz w:val="32"/>
          <w:szCs w:val="32"/>
        </w:rPr>
      </w:pPr>
      <w:r>
        <w:rPr>
          <w:rFonts w:hint="eastAsia" w:ascii="黑体" w:hAnsi="黑体" w:eastAsia="黑体"/>
          <w:bCs/>
          <w:sz w:val="32"/>
          <w:szCs w:val="32"/>
        </w:rPr>
        <w:t>第八条</w:t>
      </w:r>
      <w:r>
        <w:rPr>
          <w:rFonts w:hint="eastAsia" w:ascii="黑体" w:hAnsi="黑体" w:eastAsia="黑体"/>
          <w:bCs/>
          <w:sz w:val="32"/>
          <w:szCs w:val="32"/>
          <w:lang w:val="en-US" w:eastAsia="zh-CN"/>
        </w:rPr>
        <w:t xml:space="preserve"> </w:t>
      </w:r>
      <w:r>
        <w:rPr>
          <w:rFonts w:hint="eastAsia" w:ascii="黑体" w:hAnsi="黑体" w:eastAsia="黑体"/>
          <w:bCs/>
          <w:sz w:val="32"/>
          <w:szCs w:val="32"/>
        </w:rPr>
        <w:t>房屋征收补偿方式</w:t>
      </w:r>
    </w:p>
    <w:p>
      <w:pPr>
        <w:snapToGrid w:val="0"/>
        <w:spacing w:line="560" w:lineRule="exact"/>
        <w:ind w:firstLine="457" w:firstLineChars="147"/>
        <w:rPr>
          <w:rFonts w:ascii="仿宋_GB2312" w:hAnsi="仿宋_GB2312" w:eastAsia="仿宋_GB2312" w:cs="仿宋_GB2312"/>
          <w:bCs/>
          <w:color w:val="0000FF"/>
          <w:sz w:val="32"/>
          <w:szCs w:val="32"/>
        </w:rPr>
      </w:pPr>
      <w:r>
        <w:rPr>
          <w:rFonts w:hint="eastAsia" w:ascii="仿宋_GB2312" w:hAnsi="仿宋_GB2312" w:eastAsia="仿宋_GB2312" w:cs="仿宋_GB2312"/>
          <w:bCs/>
          <w:sz w:val="32"/>
          <w:szCs w:val="32"/>
        </w:rPr>
        <w:t>（一）具有合法产权的建（构）筑物，依照有关规定，根据被征收房屋的区位、用途、建筑面积等因素，以评估价格确定货币补偿金额，因该项目属于滇池保护治理的公益项目，</w:t>
      </w:r>
      <w:r>
        <w:rPr>
          <w:rFonts w:hint="eastAsia" w:ascii="仿宋_GB2312" w:hAnsi="仿宋_GB2312" w:eastAsia="仿宋_GB2312" w:cs="仿宋_GB2312"/>
          <w:bCs/>
          <w:color w:val="000000" w:themeColor="text1"/>
          <w:sz w:val="32"/>
          <w:szCs w:val="32"/>
        </w:rPr>
        <w:t>原则上采取货币补偿的方式，</w:t>
      </w:r>
      <w:r>
        <w:rPr>
          <w:rFonts w:hint="eastAsia" w:ascii="仿宋_GB2312" w:hAnsi="仿宋_GB2312" w:eastAsia="仿宋_GB2312" w:cs="仿宋_GB2312"/>
          <w:bCs/>
          <w:sz w:val="32"/>
          <w:szCs w:val="32"/>
        </w:rPr>
        <w:t>以房地合一的方式进行征收补偿。被征收房屋的价值，包括被征收房屋及其占用范围内国有土地使用权的价值和房屋装饰装修价值。</w:t>
      </w:r>
    </w:p>
    <w:p>
      <w:pPr>
        <w:snapToGrid w:val="0"/>
        <w:spacing w:line="560" w:lineRule="exact"/>
        <w:ind w:firstLine="622" w:firstLineChars="200"/>
        <w:rPr>
          <w:rFonts w:ascii="仿宋_GB2312" w:hAnsi="仿宋_GB2312" w:eastAsia="仿宋_GB2312" w:cs="仿宋_GB2312"/>
          <w:sz w:val="32"/>
          <w:szCs w:val="32"/>
        </w:rPr>
      </w:pP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rPr>
        <w:t>二</w:t>
      </w:r>
      <w:r>
        <w:rPr>
          <w:rFonts w:ascii="仿宋_GB2312" w:hAnsi="仿宋_GB2312" w:eastAsia="仿宋_GB2312" w:cs="仿宋_GB2312"/>
          <w:bCs/>
          <w:sz w:val="32"/>
          <w:szCs w:val="32"/>
        </w:rPr>
        <w:t>)</w:t>
      </w:r>
      <w:r>
        <w:rPr>
          <w:rFonts w:hint="eastAsia" w:ascii="仿宋_GB2312" w:hAnsi="仿宋_GB2312" w:eastAsia="仿宋_GB2312" w:cs="仿宋_GB2312"/>
          <w:sz w:val="32"/>
        </w:rPr>
        <w:t>附属设施补偿，</w:t>
      </w:r>
      <w:r>
        <w:rPr>
          <w:rFonts w:hint="eastAsia" w:ascii="仿宋_GB2312" w:hAnsi="仿宋_GB2312" w:eastAsia="仿宋_GB2312" w:cs="仿宋_GB2312"/>
          <w:kern w:val="0"/>
          <w:sz w:val="32"/>
        </w:rPr>
        <w:t>详见附表二、附表三。</w:t>
      </w:r>
      <w:r>
        <w:rPr>
          <w:rFonts w:hint="eastAsia" w:ascii="仿宋_GB2312" w:hAnsi="仿宋_GB2312" w:eastAsia="仿宋_GB2312" w:cs="仿宋_GB2312"/>
          <w:sz w:val="32"/>
          <w:szCs w:val="32"/>
        </w:rPr>
        <w:t>本方案未明确的</w:t>
      </w:r>
      <w:r>
        <w:rPr>
          <w:rFonts w:hint="eastAsia" w:ascii="仿宋_GB2312" w:hAnsi="仿宋_GB2312" w:eastAsia="仿宋_GB2312" w:cs="仿宋_GB2312"/>
          <w:sz w:val="32"/>
        </w:rPr>
        <w:t>附属设施补偿</w:t>
      </w:r>
      <w:r>
        <w:rPr>
          <w:rFonts w:hint="eastAsia" w:ascii="仿宋_GB2312" w:hAnsi="仿宋_GB2312" w:eastAsia="仿宋_GB2312" w:cs="仿宋_GB2312"/>
          <w:sz w:val="32"/>
          <w:szCs w:val="32"/>
        </w:rPr>
        <w:t>由造价、评估机构认定后给予一次性货币补偿。</w:t>
      </w:r>
    </w:p>
    <w:p>
      <w:pPr>
        <w:snapToGrid w:val="0"/>
        <w:spacing w:line="56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（三）</w:t>
      </w:r>
      <w:r>
        <w:rPr>
          <w:rFonts w:hint="eastAsia" w:ascii="仿宋_GB2312" w:hAnsi="仿宋_GB2312" w:eastAsia="仿宋_GB2312" w:cs="仿宋_GB2312"/>
          <w:sz w:val="32"/>
          <w:szCs w:val="32"/>
        </w:rPr>
        <w:t>征收有审批手续且未超过批准期限的临时建筑，依照《中华人民共和国城乡规划法》规定，政府一旦建设须无条件拆除，拆除后可采用成本法评估其建筑物残值予以补偿。征收有审批手续且到期的临时建筑，对积极主动配合拆除的可以给予适当补助，不积极主动配合拆除的，</w:t>
      </w:r>
      <w:r>
        <w:rPr>
          <w:rFonts w:hint="eastAsia" w:ascii="仿宋_GB2312" w:hAnsi="仿宋_GB2312" w:eastAsia="仿宋_GB2312" w:cs="仿宋_GB2312"/>
          <w:color w:val="000000" w:themeColor="text1"/>
          <w:sz w:val="32"/>
          <w:szCs w:val="32"/>
        </w:rPr>
        <w:t>依法强制拆除；</w:t>
      </w:r>
      <w:r>
        <w:rPr>
          <w:rFonts w:hint="eastAsia" w:ascii="仿宋_GB2312" w:hAnsi="仿宋_GB2312" w:eastAsia="仿宋_GB2312" w:cs="仿宋_GB2312"/>
          <w:sz w:val="32"/>
          <w:szCs w:val="32"/>
        </w:rPr>
        <w:t>没有审批手续的临时建筑应当无条件拆除。</w:t>
      </w:r>
    </w:p>
    <w:p>
      <w:pPr>
        <w:snapToGrid w:val="0"/>
        <w:spacing w:line="560" w:lineRule="exact"/>
        <w:ind w:firstLine="762" w:firstLineChars="245"/>
        <w:rPr>
          <w:rFonts w:ascii="黑体" w:hAnsi="黑体" w:eastAsia="黑体" w:cs="黑体"/>
          <w:sz w:val="32"/>
          <w:szCs w:val="32"/>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房屋征收评估原则</w:t>
      </w:r>
    </w:p>
    <w:p>
      <w:pPr>
        <w:spacing w:line="56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（一）房屋评估机构由被征收人协商选定；协商不成的，由房屋征收部门组织被征收人按照少数服从多数的原则投票决定，也可以由房屋征收部门或者被征收人采取摇号、抽签等随机方式确定。</w:t>
      </w:r>
    </w:p>
    <w:p>
      <w:pPr>
        <w:spacing w:line="56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对被征收房屋价值的补偿，自征收决定公告发布之日起，由被征收人协商选定的具有相应资质的房地产价格评估机构，按照《国有土地上房屋征收评估办法》和《云南省国有土地上房屋征收评估技术鉴定管理暂行办法》评估确定房屋的价值进行补偿。</w:t>
      </w:r>
    </w:p>
    <w:p>
      <w:pPr>
        <w:spacing w:line="56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（三）被征收房屋价值的补偿，不得低于房屋征收决定公告之日被征收房屋类似房地产的市场价格。</w:t>
      </w:r>
    </w:p>
    <w:p>
      <w:pPr>
        <w:spacing w:line="56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（四）房屋征收部门、实施部门应当将分户的初步评估结果在征收范围内向被征收人公示，公示期不少于</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日。</w:t>
      </w:r>
    </w:p>
    <w:p>
      <w:pPr>
        <w:pStyle w:val="3"/>
        <w:spacing w:line="560" w:lineRule="exact"/>
        <w:ind w:firstLine="622"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（五）征收人或被征收人对评估报告有疑问的，可以向评估机构咨询。征收当事人对房地产评估结果有异议且协商达不成一致意见的，可自收到评估结果之日起</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日内，</w:t>
      </w:r>
      <w:r>
        <w:rPr>
          <w:rFonts w:hint="eastAsia" w:ascii="仿宋_GB2312" w:hAnsi="仿宋_GB2312" w:eastAsia="仿宋_GB2312" w:cs="仿宋_GB2312"/>
          <w:kern w:val="0"/>
          <w:sz w:val="32"/>
          <w:szCs w:val="32"/>
        </w:rPr>
        <w:t>向房地产价格评估机构申请复核评估。被征收人或者征收人对原房地产价格评估机构的复核结果有异议的，应当自收到复核结果之日起</w:t>
      </w:r>
      <w:r>
        <w:rPr>
          <w:rFonts w:ascii="仿宋_GB2312" w:hAnsi="仿宋_GB2312" w:eastAsia="仿宋_GB2312" w:cs="仿宋_GB2312"/>
          <w:sz w:val="32"/>
          <w:szCs w:val="32"/>
        </w:rPr>
        <w:t>10</w:t>
      </w:r>
      <w:r>
        <w:rPr>
          <w:rFonts w:hint="eastAsia" w:ascii="仿宋_GB2312" w:hAnsi="仿宋_GB2312" w:eastAsia="仿宋_GB2312" w:cs="仿宋_GB2312"/>
          <w:kern w:val="0"/>
          <w:sz w:val="32"/>
          <w:szCs w:val="32"/>
        </w:rPr>
        <w:t>日内，向云南省房地产评估专家委员会申请鉴定。</w:t>
      </w:r>
      <w:r>
        <w:rPr>
          <w:rFonts w:hint="eastAsia" w:ascii="仿宋_GB2312" w:hAnsi="仿宋_GB2312" w:eastAsia="仿宋_GB2312" w:cs="仿宋_GB2312"/>
          <w:sz w:val="32"/>
          <w:szCs w:val="32"/>
        </w:rPr>
        <w:t>鉴定结果未改变的，鉴定评估费用由申请人承担，鉴定结果改变的，鉴定评估费用由房地产评估机构承担。经鉴定后，</w:t>
      </w:r>
      <w:r>
        <w:rPr>
          <w:rFonts w:hint="eastAsia" w:ascii="仿宋_GB2312" w:hAnsi="仿宋_GB2312" w:eastAsia="仿宋_GB2312" w:cs="仿宋_GB2312"/>
          <w:kern w:val="0"/>
          <w:sz w:val="32"/>
          <w:szCs w:val="32"/>
        </w:rPr>
        <w:t>被征收人对补偿仍有异议的，按照《国有土地上房屋征收与补偿条例》第二十六条规定处理。</w:t>
      </w:r>
    </w:p>
    <w:p>
      <w:pPr>
        <w:snapToGrid w:val="0"/>
        <w:spacing w:line="560" w:lineRule="exact"/>
        <w:ind w:firstLine="774" w:firstLineChars="249"/>
        <w:rPr>
          <w:rFonts w:ascii="黑体" w:hAnsi="黑体" w:eastAsia="黑体"/>
          <w:sz w:val="32"/>
          <w:szCs w:val="32"/>
        </w:rPr>
      </w:pPr>
      <w:r>
        <w:rPr>
          <w:rFonts w:hint="eastAsia" w:ascii="黑体" w:hAnsi="黑体" w:eastAsia="黑体"/>
          <w:sz w:val="32"/>
          <w:szCs w:val="32"/>
        </w:rPr>
        <w:t>第十条</w:t>
      </w:r>
      <w:r>
        <w:rPr>
          <w:rFonts w:hint="eastAsia" w:ascii="黑体" w:hAnsi="黑体" w:eastAsia="黑体"/>
          <w:sz w:val="32"/>
          <w:szCs w:val="32"/>
          <w:lang w:val="en-US" w:eastAsia="zh-CN"/>
        </w:rPr>
        <w:t xml:space="preserve"> </w:t>
      </w:r>
      <w:r>
        <w:rPr>
          <w:rFonts w:hint="eastAsia" w:eastAsia="黑体"/>
          <w:bCs/>
          <w:sz w:val="32"/>
          <w:szCs w:val="32"/>
        </w:rPr>
        <w:t>征收补偿标准</w:t>
      </w:r>
    </w:p>
    <w:p>
      <w:pPr>
        <w:snapToGrid w:val="0"/>
        <w:spacing w:line="560" w:lineRule="exact"/>
        <w:ind w:firstLine="645"/>
        <w:rPr>
          <w:rFonts w:ascii="仿宋_GB2312" w:hAnsi="仿宋_GB2312" w:eastAsia="仿宋_GB2312" w:cs="仿宋_GB2312"/>
          <w:b/>
          <w:sz w:val="32"/>
          <w:szCs w:val="32"/>
        </w:rPr>
      </w:pPr>
      <w:r>
        <w:rPr>
          <w:rFonts w:hint="eastAsia" w:ascii="仿宋_GB2312" w:hAnsi="仿宋_GB2312" w:eastAsia="仿宋_GB2312" w:cs="仿宋_GB2312"/>
          <w:b/>
          <w:color w:val="000000" w:themeColor="text1"/>
          <w:sz w:val="32"/>
          <w:szCs w:val="32"/>
        </w:rPr>
        <w:t>（一）</w:t>
      </w:r>
      <w:r>
        <w:rPr>
          <w:rFonts w:hint="eastAsia" w:ascii="仿宋_GB2312" w:hAnsi="仿宋_GB2312" w:eastAsia="仿宋_GB2312" w:cs="仿宋_GB2312"/>
          <w:b/>
          <w:sz w:val="32"/>
          <w:szCs w:val="32"/>
        </w:rPr>
        <w:t>建（构）筑物补偿：</w:t>
      </w:r>
      <w:r>
        <w:rPr>
          <w:rFonts w:hint="eastAsia" w:ascii="仿宋_GB2312" w:hAnsi="仿宋_GB2312" w:eastAsia="仿宋_GB2312" w:cs="仿宋_GB2312"/>
          <w:bCs/>
          <w:sz w:val="32"/>
          <w:szCs w:val="32"/>
        </w:rPr>
        <w:t>具有合法产权的建（构）筑物，依照有关规定，根据被征收房屋的区位、用途、建筑面积、装修标准（档次）、新旧程度等因素，以评估价格确定货币补偿金额，以房地合一的方式进行征收补偿。</w:t>
      </w:r>
    </w:p>
    <w:p>
      <w:pPr>
        <w:spacing w:line="560" w:lineRule="exact"/>
        <w:ind w:firstLine="638" w:firstLineChars="205"/>
        <w:rPr>
          <w:rFonts w:ascii="仿宋_GB2312" w:hAnsi="仿宋_GB2312" w:eastAsia="仿宋_GB2312" w:cs="仿宋_GB2312"/>
          <w:sz w:val="32"/>
        </w:rPr>
      </w:pPr>
      <w:r>
        <w:rPr>
          <w:rFonts w:hint="eastAsia" w:ascii="仿宋_GB2312" w:hAnsi="仿宋_GB2312" w:eastAsia="仿宋_GB2312" w:cs="仿宋_GB2312"/>
          <w:b/>
          <w:color w:val="000000" w:themeColor="text1"/>
          <w:sz w:val="32"/>
          <w:szCs w:val="32"/>
        </w:rPr>
        <w:t>（二）</w:t>
      </w:r>
      <w:r>
        <w:rPr>
          <w:rFonts w:hint="eastAsia" w:ascii="仿宋_GB2312" w:hAnsi="仿宋_GB2312" w:eastAsia="仿宋_GB2312" w:cs="仿宋_GB2312"/>
          <w:b/>
          <w:sz w:val="32"/>
          <w:szCs w:val="32"/>
        </w:rPr>
        <w:t>非住宅搬迁费：</w:t>
      </w:r>
      <w:r>
        <w:rPr>
          <w:rFonts w:hint="eastAsia" w:ascii="仿宋_GB2312" w:hAnsi="仿宋_GB2312" w:eastAsia="仿宋_GB2312" w:cs="仿宋_GB2312"/>
          <w:sz w:val="32"/>
        </w:rPr>
        <w:t>按照被征收人房屋补偿价值的</w:t>
      </w:r>
      <w:r>
        <w:rPr>
          <w:rFonts w:ascii="仿宋_GB2312" w:hAnsi="仿宋_GB2312" w:eastAsia="仿宋_GB2312" w:cs="仿宋_GB2312"/>
          <w:sz w:val="32"/>
        </w:rPr>
        <w:t>2</w:t>
      </w:r>
      <w:r>
        <w:rPr>
          <w:rFonts w:hint="eastAsia" w:ascii="仿宋_GB2312" w:hAnsi="仿宋_GB2312" w:eastAsia="仿宋_GB2312" w:cs="仿宋_GB2312"/>
          <w:sz w:val="32"/>
        </w:rPr>
        <w:t>‰计发。特殊设施、设备的搬迁费由征收当事人协商确定，协商不成的，由具有相应资质的评估机构通过评估确定。</w:t>
      </w:r>
    </w:p>
    <w:p>
      <w:pPr>
        <w:spacing w:line="560" w:lineRule="exact"/>
        <w:ind w:left="100" w:leftChars="50" w:firstLine="622" w:firstLineChars="200"/>
        <w:rPr>
          <w:rFonts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rPr>
        <w:t>（三）</w:t>
      </w:r>
      <w:r>
        <w:rPr>
          <w:rFonts w:hint="eastAsia" w:ascii="仿宋_GB2312" w:hAnsi="仿宋_GB2312" w:eastAsia="仿宋_GB2312" w:cs="仿宋_GB2312"/>
          <w:b/>
          <w:bCs/>
          <w:sz w:val="32"/>
          <w:szCs w:val="32"/>
        </w:rPr>
        <w:t>停产停业损失费</w:t>
      </w:r>
      <w:r>
        <w:rPr>
          <w:rFonts w:hint="eastAsia" w:ascii="仿宋_GB2312" w:hAnsi="仿宋_GB2312" w:eastAsia="仿宋_GB2312" w:cs="仿宋_GB2312"/>
          <w:sz w:val="32"/>
          <w:szCs w:val="32"/>
        </w:rPr>
        <w:t>：仅指因征收房屋造成停产停业的直接经济损失，给予停产停业损失补偿的被征收非住宅房屋应当具备下列条件：</w:t>
      </w:r>
    </w:p>
    <w:p>
      <w:pPr>
        <w:spacing w:line="560" w:lineRule="exact"/>
        <w:ind w:left="100" w:leftChars="50" w:firstLine="634" w:firstLineChars="204"/>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1.被征收人应当提供合法、有效的土地、房屋权属证明及营业执照、税务登记证以及其他相关许可证件；</w:t>
      </w:r>
    </w:p>
    <w:p>
      <w:pPr>
        <w:spacing w:line="560" w:lineRule="exact"/>
        <w:ind w:firstLine="774" w:firstLineChars="249"/>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2.房屋征收公告发布前持续生产（经营）；</w:t>
      </w:r>
    </w:p>
    <w:p>
      <w:pPr>
        <w:spacing w:line="560" w:lineRule="exact"/>
        <w:ind w:firstLine="774" w:firstLineChars="249"/>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3.因征收房屋造成停产停业损失。</w:t>
      </w:r>
    </w:p>
    <w:p>
      <w:pPr>
        <w:snapToGrid w:val="0"/>
        <w:spacing w:line="560" w:lineRule="exact"/>
        <w:ind w:firstLine="622"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rPr>
        <w:t>非住宅房屋具有土地、房屋权属证明，一层按照</w:t>
      </w:r>
      <w:r>
        <w:rPr>
          <w:rFonts w:ascii="仿宋_GB2312" w:hAnsi="仿宋_GB2312" w:eastAsia="仿宋_GB2312" w:cs="仿宋_GB2312"/>
          <w:sz w:val="32"/>
          <w:szCs w:val="32"/>
        </w:rPr>
        <w:t>60</w:t>
      </w:r>
      <w:r>
        <w:rPr>
          <w:rFonts w:hint="eastAsia" w:ascii="仿宋_GB2312" w:hAnsi="仿宋_GB2312" w:eastAsia="仿宋_GB2312" w:cs="仿宋_GB2312"/>
          <w:sz w:val="32"/>
          <w:szCs w:val="32"/>
        </w:rPr>
        <w:t>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平方米</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月计发停产停业损失，二层以上按照</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平方米</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月计发停产停业损失。停产停业损失补偿期限，商业、服务性行业按</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个月计发，工业、生产行业按</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个月计发。对于特殊用途房屋，可按照被征收房屋征收前效益根据评估机构评估确定停产停业损失。</w:t>
      </w:r>
      <w:r>
        <w:rPr>
          <w:rFonts w:hint="eastAsia" w:ascii="仿宋_GB2312" w:hAnsi="仿宋_GB2312" w:eastAsia="仿宋_GB2312" w:cs="仿宋_GB2312"/>
          <w:color w:val="000000"/>
          <w:sz w:val="32"/>
          <w:szCs w:val="32"/>
        </w:rPr>
        <w:t>非住宅房屋具有部分土地、房屋权属证明的一层按照</w:t>
      </w:r>
      <w:r>
        <w:rPr>
          <w:rFonts w:ascii="仿宋_GB2312" w:hAnsi="仿宋_GB2312" w:eastAsia="仿宋_GB2312" w:cs="仿宋_GB2312"/>
          <w:color w:val="000000"/>
          <w:sz w:val="32"/>
          <w:szCs w:val="32"/>
        </w:rPr>
        <w:t>30</w:t>
      </w:r>
      <w:r>
        <w:rPr>
          <w:rFonts w:hint="eastAsia" w:ascii="仿宋_GB2312" w:hAnsi="仿宋_GB2312" w:eastAsia="仿宋_GB2312" w:cs="仿宋_GB2312"/>
          <w:color w:val="000000"/>
          <w:sz w:val="32"/>
          <w:szCs w:val="32"/>
        </w:rPr>
        <w:t>元</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平方米</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月计发停产停业损失，二层以上按照</w:t>
      </w: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rPr>
        <w:t>元</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平方米</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月计发停产停业损失，一次性计发三个月。</w:t>
      </w:r>
    </w:p>
    <w:p>
      <w:pPr>
        <w:snapToGrid w:val="0"/>
        <w:spacing w:line="560" w:lineRule="exact"/>
        <w:ind w:left="613" w:leftChars="305"/>
        <w:rPr>
          <w:rFonts w:ascii="黑体" w:hAnsi="黑体" w:eastAsia="黑体"/>
          <w:bCs/>
          <w:sz w:val="32"/>
          <w:szCs w:val="32"/>
        </w:rPr>
      </w:pPr>
      <w:r>
        <w:rPr>
          <w:rFonts w:hint="eastAsia" w:ascii="黑体" w:hAnsi="黑体" w:eastAsia="黑体"/>
          <w:bCs/>
          <w:sz w:val="32"/>
          <w:szCs w:val="32"/>
        </w:rPr>
        <w:t>第十一条</w:t>
      </w:r>
      <w:r>
        <w:rPr>
          <w:rFonts w:hint="eastAsia" w:ascii="黑体" w:hAnsi="黑体" w:eastAsia="黑体"/>
          <w:bCs/>
          <w:sz w:val="32"/>
          <w:szCs w:val="32"/>
          <w:lang w:val="en-US" w:eastAsia="zh-CN"/>
        </w:rPr>
        <w:t xml:space="preserve"> </w:t>
      </w:r>
      <w:r>
        <w:rPr>
          <w:rFonts w:hint="eastAsia" w:ascii="黑体" w:hAnsi="黑体" w:eastAsia="黑体"/>
          <w:bCs/>
          <w:sz w:val="32"/>
          <w:szCs w:val="32"/>
        </w:rPr>
        <w:t>奖励措施</w:t>
      </w:r>
    </w:p>
    <w:p>
      <w:pPr>
        <w:spacing w:line="560" w:lineRule="exact"/>
        <w:ind w:firstLine="645"/>
        <w:rPr>
          <w:rFonts w:eastAsia="仿宋_GB2312"/>
          <w:sz w:val="32"/>
          <w:szCs w:val="32"/>
        </w:rPr>
      </w:pPr>
      <w:r>
        <w:rPr>
          <w:rFonts w:hint="eastAsia" w:eastAsia="仿宋_GB2312"/>
          <w:sz w:val="32"/>
          <w:szCs w:val="32"/>
        </w:rPr>
        <w:t>被征收人在规定的时限内签订补偿安置协议、完成搬迁且房屋交验合格的，根据被征收房屋面积，以被征收房屋价值为基数，按不同时段给予</w:t>
      </w:r>
      <w:r>
        <w:rPr>
          <w:rFonts w:hint="eastAsia" w:eastAsia="仿宋_GB2312"/>
          <w:color w:val="000000" w:themeColor="text1"/>
          <w:sz w:val="32"/>
          <w:szCs w:val="32"/>
        </w:rPr>
        <w:t>搬迁</w:t>
      </w:r>
      <w:r>
        <w:rPr>
          <w:rFonts w:hint="eastAsia" w:eastAsia="仿宋_GB2312"/>
          <w:sz w:val="32"/>
          <w:szCs w:val="32"/>
        </w:rPr>
        <w:t>奖励，具体奖励标准见附表一。</w:t>
      </w:r>
    </w:p>
    <w:p>
      <w:pPr>
        <w:spacing w:line="560" w:lineRule="exact"/>
        <w:ind w:firstLine="622" w:firstLineChars="200"/>
        <w:rPr>
          <w:rFonts w:ascii="仿宋_GB2312" w:hAnsi="仿宋" w:eastAsia="仿宋_GB2312"/>
          <w:b/>
          <w:sz w:val="32"/>
          <w:szCs w:val="32"/>
        </w:rPr>
      </w:pPr>
      <w:r>
        <w:rPr>
          <w:rFonts w:hint="eastAsia" w:ascii="仿宋_GB2312" w:hAnsi="仿宋" w:eastAsia="仿宋_GB2312"/>
          <w:b/>
          <w:sz w:val="32"/>
          <w:szCs w:val="32"/>
        </w:rPr>
        <w:t>附表一</w:t>
      </w:r>
      <w:r>
        <w:rPr>
          <w:rFonts w:ascii="仿宋_GB2312" w:hAnsi="仿宋" w:eastAsia="仿宋_GB2312"/>
          <w:b/>
          <w:sz w:val="32"/>
          <w:szCs w:val="32"/>
        </w:rPr>
        <w:t>:</w:t>
      </w:r>
    </w:p>
    <w:tbl>
      <w:tblPr>
        <w:tblStyle w:val="7"/>
        <w:tblW w:w="87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2"/>
        <w:gridCol w:w="4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52" w:type="dxa"/>
            <w:vAlign w:val="center"/>
          </w:tcPr>
          <w:p>
            <w:pPr>
              <w:spacing w:line="560" w:lineRule="exact"/>
              <w:jc w:val="center"/>
              <w:rPr>
                <w:rFonts w:ascii="仿宋_GB2312" w:hAnsi="仿宋" w:eastAsia="仿宋_GB2312"/>
                <w:sz w:val="32"/>
                <w:szCs w:val="32"/>
              </w:rPr>
            </w:pPr>
            <w:r>
              <w:rPr>
                <w:rFonts w:hint="eastAsia" w:eastAsia="仿宋_GB2312"/>
                <w:sz w:val="32"/>
                <w:szCs w:val="32"/>
              </w:rPr>
              <w:t>非住宅</w:t>
            </w:r>
            <w:r>
              <w:rPr>
                <w:rFonts w:hint="eastAsia" w:ascii="仿宋_GB2312" w:hAnsi="仿宋" w:eastAsia="仿宋_GB2312"/>
                <w:sz w:val="32"/>
                <w:szCs w:val="32"/>
              </w:rPr>
              <w:t>搬迁奖励时段</w:t>
            </w:r>
          </w:p>
        </w:tc>
        <w:tc>
          <w:tcPr>
            <w:tcW w:w="4791" w:type="dxa"/>
            <w:vAlign w:val="center"/>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奖励比例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52" w:type="dxa"/>
          </w:tcPr>
          <w:p>
            <w:pPr>
              <w:spacing w:line="560" w:lineRule="exact"/>
              <w:jc w:val="center"/>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第一时段（1-10日）</w:t>
            </w:r>
          </w:p>
        </w:tc>
        <w:tc>
          <w:tcPr>
            <w:tcW w:w="4791" w:type="dxa"/>
          </w:tcPr>
          <w:p>
            <w:pPr>
              <w:spacing w:line="560" w:lineRule="exact"/>
              <w:jc w:val="center"/>
              <w:rPr>
                <w:rFonts w:ascii="仿宋_GB2312" w:hAnsi="仿宋" w:eastAsia="仿宋_GB2312"/>
                <w:sz w:val="32"/>
                <w:szCs w:val="32"/>
              </w:rPr>
            </w:pPr>
            <w:r>
              <w:rPr>
                <w:rFonts w:ascii="仿宋_GB2312" w:hAnsi="仿宋" w:eastAsia="仿宋_GB2312"/>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52" w:type="dxa"/>
          </w:tcPr>
          <w:p>
            <w:pPr>
              <w:spacing w:line="560" w:lineRule="exact"/>
              <w:jc w:val="center"/>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第二时段（11-20日）</w:t>
            </w:r>
          </w:p>
        </w:tc>
        <w:tc>
          <w:tcPr>
            <w:tcW w:w="4791" w:type="dxa"/>
          </w:tcPr>
          <w:p>
            <w:pPr>
              <w:spacing w:line="560" w:lineRule="exact"/>
              <w:jc w:val="center"/>
              <w:rPr>
                <w:rFonts w:ascii="仿宋_GB2312" w:hAnsi="仿宋" w:eastAsia="仿宋_GB2312"/>
                <w:sz w:val="32"/>
                <w:szCs w:val="32"/>
              </w:rPr>
            </w:pPr>
            <w:r>
              <w:rPr>
                <w:rFonts w:ascii="仿宋_GB2312" w:hAnsi="仿宋" w:eastAsia="仿宋_GB2312"/>
                <w:sz w:val="32"/>
                <w:szCs w:val="32"/>
              </w:rPr>
              <w:t>3%</w:t>
            </w:r>
          </w:p>
        </w:tc>
      </w:tr>
    </w:tbl>
    <w:p>
      <w:pPr>
        <w:spacing w:line="560" w:lineRule="exact"/>
        <w:ind w:firstLine="622" w:firstLineChars="200"/>
        <w:rPr>
          <w:rFonts w:ascii="黑体" w:hAnsi="黑体" w:eastAsia="黑体"/>
          <w:sz w:val="32"/>
          <w:szCs w:val="32"/>
        </w:rPr>
      </w:pPr>
      <w:r>
        <w:rPr>
          <w:rFonts w:hint="eastAsia" w:ascii="黑体" w:hAnsi="黑体" w:eastAsia="黑体"/>
          <w:sz w:val="32"/>
          <w:szCs w:val="32"/>
        </w:rPr>
        <w:t>第十二条</w:t>
      </w:r>
      <w:r>
        <w:rPr>
          <w:rFonts w:hint="eastAsia" w:ascii="黑体" w:hAnsi="黑体" w:eastAsia="黑体"/>
          <w:sz w:val="32"/>
          <w:szCs w:val="32"/>
          <w:lang w:val="en-US" w:eastAsia="zh-CN"/>
        </w:rPr>
        <w:t xml:space="preserve"> </w:t>
      </w:r>
      <w:r>
        <w:rPr>
          <w:rFonts w:hint="eastAsia" w:ascii="黑体" w:hAnsi="黑体" w:eastAsia="黑体"/>
          <w:sz w:val="32"/>
          <w:szCs w:val="32"/>
        </w:rPr>
        <w:t>补偿款支付</w:t>
      </w:r>
    </w:p>
    <w:p>
      <w:pPr>
        <w:spacing w:line="56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被征收人向征收实施单位提交</w:t>
      </w:r>
      <w:r>
        <w:rPr>
          <w:rFonts w:hint="eastAsia" w:ascii="仿宋_GB2312" w:hAnsi="仿宋_GB2312" w:eastAsia="仿宋_GB2312" w:cs="仿宋_GB2312"/>
          <w:kern w:val="0"/>
          <w:sz w:val="32"/>
          <w:szCs w:val="32"/>
        </w:rPr>
        <w:t>《中华人民共和国房屋所有权证》</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《中华人民共和国不动产权证书》</w:t>
      </w:r>
      <w:r>
        <w:rPr>
          <w:rFonts w:ascii="仿宋_GB2312" w:hAnsi="仿宋_GB2312" w:eastAsia="仿宋_GB2312" w:cs="仿宋_GB2312"/>
          <w:kern w:val="0"/>
          <w:sz w:val="32"/>
          <w:szCs w:val="32"/>
        </w:rPr>
        <w:t>)</w:t>
      </w:r>
      <w:r>
        <w:rPr>
          <w:rFonts w:hint="eastAsia" w:ascii="仿宋_GB2312" w:hAnsi="仿宋_GB2312" w:eastAsia="仿宋_GB2312" w:cs="仿宋_GB2312"/>
          <w:sz w:val="32"/>
          <w:szCs w:val="32"/>
        </w:rPr>
        <w:t>及《中华人民共和国国有土地使用证》等相关证件，签订协议</w:t>
      </w:r>
      <w:r>
        <w:rPr>
          <w:rFonts w:hint="eastAsia" w:ascii="仿宋_GB2312" w:hAnsi="仿宋_GB2312" w:eastAsia="仿宋_GB2312" w:cs="仿宋_GB2312"/>
          <w:color w:val="000000"/>
          <w:sz w:val="32"/>
          <w:szCs w:val="32"/>
        </w:rPr>
        <w:t>并经审计完成后拨付</w:t>
      </w:r>
      <w:r>
        <w:rPr>
          <w:rFonts w:ascii="仿宋_GB2312" w:hAnsi="仿宋_GB2312" w:eastAsia="仿宋_GB2312" w:cs="仿宋_GB2312"/>
          <w:color w:val="000000"/>
          <w:sz w:val="32"/>
          <w:szCs w:val="32"/>
        </w:rPr>
        <w:t>50%</w:t>
      </w:r>
      <w:r>
        <w:rPr>
          <w:rFonts w:hint="eastAsia" w:ascii="仿宋_GB2312" w:hAnsi="仿宋_GB2312" w:eastAsia="仿宋_GB2312" w:cs="仿宋_GB2312"/>
          <w:color w:val="000000"/>
          <w:sz w:val="32"/>
          <w:szCs w:val="32"/>
        </w:rPr>
        <w:t>的补偿款；</w:t>
      </w:r>
      <w:r>
        <w:rPr>
          <w:rFonts w:hint="eastAsia" w:ascii="仿宋_GB2312" w:hAnsi="仿宋_GB2312" w:eastAsia="仿宋_GB2312" w:cs="仿宋_GB2312"/>
          <w:sz w:val="32"/>
          <w:szCs w:val="32"/>
        </w:rPr>
        <w:t>被征收人腾空房屋验收合格并交付征收实施单位后拨付剩余</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的款项。</w:t>
      </w:r>
    </w:p>
    <w:p>
      <w:pPr>
        <w:pStyle w:val="2"/>
        <w:ind w:firstLine="622" w:firstLineChars="200"/>
        <w:rPr>
          <w:rFonts w:ascii="仿宋_GB2312" w:hAnsi="仿宋_GB2312" w:eastAsia="仿宋_GB2312" w:cs="仿宋_GB2312"/>
          <w:color w:val="auto"/>
          <w:sz w:val="32"/>
          <w:szCs w:val="32"/>
        </w:rPr>
      </w:pPr>
      <w:r>
        <w:rPr>
          <w:rFonts w:hint="eastAsia" w:hAnsi="黑体" w:cs="仿宋_GB2312"/>
          <w:color w:val="auto"/>
          <w:sz w:val="32"/>
          <w:szCs w:val="32"/>
        </w:rPr>
        <w:t>第十三条</w:t>
      </w:r>
      <w:r>
        <w:rPr>
          <w:rFonts w:hint="eastAsia" w:hAnsi="黑体" w:cs="仿宋_GB2312"/>
          <w:color w:val="auto"/>
          <w:sz w:val="32"/>
          <w:szCs w:val="32"/>
          <w:lang w:val="en-US" w:eastAsia="zh-CN"/>
        </w:rPr>
        <w:t xml:space="preserve"> </w:t>
      </w:r>
      <w:r>
        <w:rPr>
          <w:rFonts w:hint="eastAsia" w:hAnsi="黑体" w:cs="仿宋_GB2312"/>
          <w:color w:val="auto"/>
          <w:sz w:val="32"/>
          <w:szCs w:val="32"/>
        </w:rPr>
        <w:t>关于历史文化资源保护的相关规定</w:t>
      </w:r>
    </w:p>
    <w:p>
      <w:pPr>
        <w:pStyle w:val="2"/>
        <w:ind w:firstLine="622" w:firstLineChars="200"/>
      </w:pPr>
      <w:r>
        <w:rPr>
          <w:rFonts w:hint="eastAsia" w:ascii="Times New Roman" w:hAnsi="Times New Roman" w:eastAsia="仿宋_GB2312"/>
          <w:sz w:val="32"/>
          <w:szCs w:val="32"/>
        </w:rPr>
        <w:t>按照“保护弘扬中华优秀传统文化，延续城市文脉，保留中华文化基因”的工作要求，在项目征收范围内涉及历史文化遗产、历史文物、历史文化街区和历史建筑等历史文化资源的，必须严格落实有关保护管理规定要求，做好普查、专家论证、保护相关工作。特别是改造面积大于</w:t>
      </w:r>
      <w:r>
        <w:rPr>
          <w:rFonts w:ascii="Times New Roman" w:hAnsi="Times New Roman" w:eastAsia="仿宋_GB2312"/>
          <w:sz w:val="32"/>
          <w:szCs w:val="32"/>
        </w:rPr>
        <w:t>1</w:t>
      </w:r>
      <w:r>
        <w:rPr>
          <w:rFonts w:hint="eastAsia" w:ascii="Times New Roman" w:hAnsi="Times New Roman" w:eastAsia="仿宋_GB2312"/>
          <w:sz w:val="32"/>
          <w:szCs w:val="32"/>
        </w:rPr>
        <w:t>公顷或涉及</w:t>
      </w:r>
      <w:r>
        <w:rPr>
          <w:rFonts w:ascii="Times New Roman" w:hAnsi="Times New Roman" w:eastAsia="仿宋_GB2312"/>
          <w:sz w:val="32"/>
          <w:szCs w:val="32"/>
        </w:rPr>
        <w:t>5</w:t>
      </w:r>
      <w:r>
        <w:rPr>
          <w:rFonts w:hint="eastAsia" w:ascii="Times New Roman" w:hAnsi="Times New Roman" w:eastAsia="仿宋_GB2312"/>
          <w:sz w:val="32"/>
          <w:szCs w:val="32"/>
        </w:rPr>
        <w:t>栋以上具有保护价值建筑的项目，由区文化和旅游局牵头，辖区街道办事处、区住建局、区城改局、区自然资源局、区民政局、区民宗局和相应国有平台公司等配合，组织专家评估论证，评估论证结果应在论证结束后</w:t>
      </w:r>
      <w:r>
        <w:rPr>
          <w:rFonts w:ascii="Times New Roman" w:hAnsi="Times New Roman" w:eastAsia="仿宋_GB2312"/>
          <w:sz w:val="32"/>
          <w:szCs w:val="32"/>
        </w:rPr>
        <w:t>5</w:t>
      </w:r>
      <w:r>
        <w:rPr>
          <w:rFonts w:hint="eastAsia" w:ascii="Times New Roman" w:hAnsi="Times New Roman" w:eastAsia="仿宋_GB2312"/>
          <w:sz w:val="32"/>
          <w:szCs w:val="32"/>
        </w:rPr>
        <w:t>个工作日内将评估论证结果报送市住房和城乡建设局备案，制定相关保护方案，落实相应保护措施后，才能启动对相关区域和建筑的拆迁工作。</w:t>
      </w:r>
    </w:p>
    <w:p>
      <w:pPr>
        <w:spacing w:line="560" w:lineRule="exact"/>
        <w:ind w:firstLine="774" w:firstLineChars="249"/>
        <w:rPr>
          <w:rFonts w:ascii="黑体" w:hAnsi="黑体" w:eastAsia="黑体"/>
          <w:sz w:val="32"/>
          <w:szCs w:val="32"/>
        </w:rPr>
      </w:pPr>
      <w:r>
        <w:rPr>
          <w:rFonts w:hint="eastAsia" w:ascii="黑体" w:hAnsi="黑体" w:eastAsia="黑体"/>
          <w:sz w:val="32"/>
          <w:szCs w:val="32"/>
        </w:rPr>
        <w:t>第十四条</w:t>
      </w:r>
      <w:r>
        <w:rPr>
          <w:rFonts w:hint="eastAsia" w:ascii="黑体" w:hAnsi="黑体" w:eastAsia="黑体"/>
          <w:sz w:val="32"/>
          <w:szCs w:val="32"/>
          <w:lang w:val="en-US" w:eastAsia="zh-CN"/>
        </w:rPr>
        <w:t xml:space="preserve"> </w:t>
      </w:r>
      <w:r>
        <w:rPr>
          <w:rFonts w:hint="eastAsia" w:ascii="黑体" w:hAnsi="黑体" w:eastAsia="黑体"/>
          <w:sz w:val="32"/>
          <w:szCs w:val="32"/>
        </w:rPr>
        <w:t>其他相关规定</w:t>
      </w:r>
    </w:p>
    <w:p>
      <w:pPr>
        <w:snapToGrid w:val="0"/>
        <w:spacing w:line="560" w:lineRule="exact"/>
        <w:ind w:firstLine="622" w:firstLineChars="200"/>
        <w:rPr>
          <w:rFonts w:ascii="仿宋_GB2312" w:hAnsi="仿宋_GB2312" w:eastAsia="仿宋_GB2312" w:cs="仿宋_GB2312"/>
          <w:sz w:val="32"/>
        </w:rPr>
      </w:pPr>
      <w:r>
        <w:rPr>
          <w:rFonts w:hint="eastAsia" w:ascii="仿宋_GB2312" w:hAnsi="仿宋_GB2312" w:eastAsia="仿宋_GB2312" w:cs="仿宋_GB2312"/>
          <w:sz w:val="32"/>
          <w:szCs w:val="32"/>
        </w:rPr>
        <w:t>（一）在征收项目范围内国有土地上的房屋所有权单位和个人均为被征收人。被征收人应服从城市总体规划建设要求，在规定的搬迁期限内完成搬迁</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征收人按照征收补偿方案对被征收人进行补偿。</w:t>
      </w:r>
    </w:p>
    <w:p>
      <w:pPr>
        <w:spacing w:line="560" w:lineRule="exact"/>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（二）签订房屋征收补偿协议时，被征收人应当出具注销</w:t>
      </w:r>
      <w:r>
        <w:rPr>
          <w:rFonts w:hint="eastAsia" w:ascii="仿宋_GB2312" w:hAnsi="仿宋_GB2312" w:eastAsia="仿宋_GB2312" w:cs="仿宋_GB2312"/>
          <w:kern w:val="0"/>
          <w:sz w:val="32"/>
          <w:szCs w:val="32"/>
        </w:rPr>
        <w:t>《中华人民共和国国有土地使用证》</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《中华人民共和国房屋所有权证》</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《中华人民共和国不动产权证书》</w:t>
      </w:r>
      <w:r>
        <w:rPr>
          <w:rFonts w:ascii="仿宋_GB2312" w:hAnsi="仿宋_GB2312" w:eastAsia="仿宋_GB2312" w:cs="仿宋_GB2312"/>
          <w:kern w:val="0"/>
          <w:sz w:val="32"/>
          <w:szCs w:val="32"/>
        </w:rPr>
        <w:t>)</w:t>
      </w:r>
      <w:r>
        <w:rPr>
          <w:rFonts w:hint="eastAsia" w:ascii="仿宋_GB2312" w:hAnsi="仿宋_GB2312" w:eastAsia="仿宋_GB2312" w:cs="仿宋_GB2312"/>
          <w:sz w:val="32"/>
          <w:szCs w:val="32"/>
        </w:rPr>
        <w:t>、《中华人民共和国房屋共有权证》等权属证明的书面委托，由</w:t>
      </w:r>
      <w:r>
        <w:rPr>
          <w:rFonts w:hint="eastAsia" w:ascii="仿宋_GB2312" w:hAnsi="仿宋" w:eastAsia="仿宋_GB2312"/>
          <w:sz w:val="32"/>
          <w:szCs w:val="32"/>
        </w:rPr>
        <w:t>房屋征收实施单位向</w:t>
      </w:r>
      <w:r>
        <w:rPr>
          <w:rFonts w:hint="eastAsia" w:ascii="仿宋_GB2312" w:hAnsi="仿宋_GB2312" w:eastAsia="仿宋_GB2312" w:cs="仿宋_GB2312"/>
          <w:sz w:val="32"/>
          <w:szCs w:val="32"/>
        </w:rPr>
        <w:t>相关部门办理注销登记手续。</w:t>
      </w:r>
    </w:p>
    <w:p>
      <w:pPr>
        <w:spacing w:line="560" w:lineRule="exact"/>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三）签订补偿协议前，被征收人应如实提供被征收土地、房屋是否存在担保、抵押、查封等情况。被征收房屋设有担保、抵押、查封的，依照国家相关的法律规定执行。房屋征收实施单位在签订征收安置补偿协议及进行付款前，须对被征收土地、房屋的担保、抵押、查封等情况进行查询核实，并确保无影响《中华人民共和国国有土地使用证》</w:t>
      </w:r>
      <w:r>
        <w:rPr>
          <w:rFonts w:hint="eastAsia" w:ascii="仿宋_GB2312" w:hAnsi="仿宋_GB2312" w:eastAsia="仿宋_GB2312" w:cs="仿宋_GB2312"/>
          <w:kern w:val="0"/>
          <w:sz w:val="32"/>
          <w:szCs w:val="32"/>
        </w:rPr>
        <w:t>《中华人民共和国房屋所有权证》</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《中华人民共和国不动产权证书》</w:t>
      </w:r>
      <w:r>
        <w:rPr>
          <w:rFonts w:ascii="仿宋_GB2312" w:hAnsi="仿宋_GB2312" w:eastAsia="仿宋_GB2312" w:cs="仿宋_GB2312"/>
          <w:kern w:val="0"/>
          <w:sz w:val="32"/>
          <w:szCs w:val="32"/>
        </w:rPr>
        <w:t>)</w:t>
      </w:r>
      <w:r>
        <w:rPr>
          <w:rFonts w:hint="eastAsia" w:ascii="仿宋_GB2312" w:hAnsi="仿宋_GB2312" w:eastAsia="仿宋_GB2312" w:cs="仿宋_GB2312"/>
          <w:sz w:val="32"/>
          <w:szCs w:val="32"/>
        </w:rPr>
        <w:t>收回注销的情况。</w:t>
      </w:r>
    </w:p>
    <w:p>
      <w:pPr>
        <w:spacing w:line="560" w:lineRule="exact"/>
        <w:ind w:firstLine="555"/>
        <w:rPr>
          <w:rFonts w:ascii="仿宋_GB2312" w:hAnsi="仿宋_GB2312" w:eastAsia="仿宋_GB2312" w:cs="仿宋_GB2312"/>
          <w:color w:val="0000FF"/>
          <w:sz w:val="32"/>
          <w:szCs w:val="32"/>
        </w:rPr>
      </w:pPr>
      <w:r>
        <w:rPr>
          <w:rFonts w:hint="eastAsia" w:ascii="仿宋_GB2312" w:hAnsi="仿宋_GB2312" w:eastAsia="仿宋_GB2312" w:cs="仿宋_GB2312"/>
          <w:sz w:val="32"/>
          <w:szCs w:val="32"/>
        </w:rPr>
        <w:t>（四）被征收房屋处于租赁状态的，被征收人应负责解除租赁关系并清租、腾空房屋交付征收实施单位验收合格。</w:t>
      </w:r>
    </w:p>
    <w:p>
      <w:pPr>
        <w:spacing w:line="56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（五）被征收人搬迁时不得擅自拆除原房屋内的门、窗、水、电、煤气等设施，如有拆除，则在补偿中扣除相关损失。</w:t>
      </w:r>
    </w:p>
    <w:p>
      <w:pPr>
        <w:spacing w:line="56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（六）被征收人必须自行缴清搬迁前所使用的水、电、煤气、有线电视、电话等费用，如未缴纳以上费用的在补偿总款中扣除。</w:t>
      </w:r>
    </w:p>
    <w:p>
      <w:pPr>
        <w:spacing w:line="560" w:lineRule="exact"/>
        <w:ind w:firstLine="622" w:firstLineChars="200"/>
        <w:rPr>
          <w:rFonts w:ascii="仿宋_GB2312" w:hAnsi="仿宋_GB2312" w:eastAsia="仿宋_GB2312" w:cs="仿宋_GB2312"/>
          <w:color w:val="0000FF"/>
          <w:sz w:val="32"/>
          <w:szCs w:val="32"/>
        </w:rPr>
      </w:pPr>
      <w:r>
        <w:rPr>
          <w:rFonts w:hint="eastAsia" w:ascii="仿宋_GB2312" w:hAnsi="仿宋_GB2312" w:eastAsia="仿宋_GB2312" w:cs="仿宋_GB2312"/>
          <w:sz w:val="32"/>
          <w:szCs w:val="32"/>
        </w:rPr>
        <w:t>（七）在征收补偿方案确定的签约期限内达不成补偿协议，或者被征收房屋所有权人不明确的，由征收实施单位提出补偿方案，经征收部门审核后报请官渡区人民政府作出补偿决定，并在房屋征收范围内予以公告。作出补偿决定前，由征收实施单位向公证机关申请办理被征收房屋有关事项的证据保全。</w:t>
      </w:r>
    </w:p>
    <w:p>
      <w:pPr>
        <w:spacing w:line="560" w:lineRule="exact"/>
        <w:ind w:firstLine="622" w:firstLineChars="200"/>
        <w:rPr>
          <w:rFonts w:ascii="仿宋_GB2312" w:hAnsi="仿宋_GB2312" w:eastAsia="仿宋_GB2312" w:cs="仿宋_GB2312"/>
          <w:color w:val="000000"/>
          <w:sz w:val="32"/>
        </w:rPr>
      </w:pPr>
      <w:r>
        <w:rPr>
          <w:rFonts w:hint="eastAsia" w:ascii="仿宋_GB2312" w:hAnsi="仿宋_GB2312" w:eastAsia="仿宋_GB2312" w:cs="仿宋_GB2312"/>
          <w:color w:val="000000"/>
          <w:sz w:val="32"/>
        </w:rPr>
        <w:t>（八）辱骂、殴打工作人员，阻碍征地拆迁工作的，由公安机关根据《中华人民共和国治安管理处罚法》的规定给予处罚，构成犯罪的移交司法机关依法追究其刑事责任。</w:t>
      </w:r>
    </w:p>
    <w:p>
      <w:pPr>
        <w:spacing w:line="560" w:lineRule="exact"/>
        <w:ind w:firstLine="622" w:firstLineChars="200"/>
        <w:rPr>
          <w:rFonts w:ascii="仿宋_GB2312" w:hAnsi="仿宋" w:eastAsia="仿宋_GB2312"/>
          <w:sz w:val="32"/>
        </w:rPr>
      </w:pPr>
      <w:r>
        <w:rPr>
          <w:rFonts w:hint="eastAsia" w:eastAsia="仿宋_GB2312"/>
          <w:color w:val="000000"/>
          <w:sz w:val="32"/>
          <w:szCs w:val="32"/>
        </w:rPr>
        <w:t>（九）</w:t>
      </w:r>
      <w:r>
        <w:rPr>
          <w:rFonts w:hint="eastAsia" w:ascii="仿宋_GB2312" w:hAnsi="仿宋" w:eastAsia="仿宋_GB2312"/>
          <w:color w:val="000000"/>
          <w:sz w:val="32"/>
        </w:rPr>
        <w:t>监察机关应当加强对参与房屋征收补偿工作的政府有关部门或者单位及其工作人员的监察。</w:t>
      </w:r>
    </w:p>
    <w:p>
      <w:pPr>
        <w:snapToGrid w:val="0"/>
        <w:spacing w:line="540" w:lineRule="exact"/>
        <w:ind w:firstLine="622" w:firstLineChars="200"/>
        <w:rPr>
          <w:rFonts w:ascii="仿宋_GB2312" w:hAnsi="仿宋" w:eastAsia="仿宋_GB2312"/>
          <w:color w:val="0C0C0C"/>
          <w:sz w:val="32"/>
        </w:rPr>
      </w:pPr>
      <w:r>
        <w:rPr>
          <w:rFonts w:hint="eastAsia" w:ascii="仿宋_GB2312" w:hAnsi="仿宋" w:eastAsia="仿宋_GB2312"/>
          <w:color w:val="0C0C0C"/>
          <w:sz w:val="32"/>
        </w:rPr>
        <w:t>（十）被征收人对征收决定和补偿决定不服的，可以依法申请行政复议，也可以依法提起行政诉讼。</w:t>
      </w:r>
    </w:p>
    <w:p>
      <w:pPr>
        <w:spacing w:line="560" w:lineRule="exact"/>
        <w:ind w:firstLine="622" w:firstLineChars="200"/>
        <w:rPr>
          <w:rFonts w:ascii="仿宋_GB2312" w:hAnsi="仿宋" w:eastAsia="仿宋_GB2312"/>
          <w:color w:val="0C0C0C"/>
          <w:sz w:val="32"/>
        </w:rPr>
      </w:pPr>
      <w:r>
        <w:rPr>
          <w:rFonts w:hint="eastAsia" w:ascii="仿宋_GB2312" w:hAnsi="仿宋" w:eastAsia="仿宋_GB2312"/>
          <w:color w:val="0C0C0C"/>
          <w:sz w:val="32"/>
        </w:rPr>
        <w:t>（十一）被征收人在法定期限内不申请行政复议或者不提起行政诉讼，在补偿决定的期限内又不搬迁的，由作出房屋征收决定方依法申请人民法院强制执行。</w:t>
      </w:r>
    </w:p>
    <w:p>
      <w:pPr>
        <w:spacing w:line="560" w:lineRule="exact"/>
        <w:ind w:firstLine="610" w:firstLineChars="196"/>
        <w:rPr>
          <w:rFonts w:ascii="黑体" w:hAnsi="黑体" w:eastAsia="黑体"/>
          <w:color w:val="000000"/>
          <w:sz w:val="32"/>
          <w:szCs w:val="32"/>
        </w:rPr>
      </w:pPr>
      <w:r>
        <w:rPr>
          <w:rFonts w:hint="eastAsia" w:ascii="黑体" w:hAnsi="黑体" w:eastAsia="黑体"/>
          <w:color w:val="000000"/>
          <w:sz w:val="32"/>
          <w:szCs w:val="32"/>
        </w:rPr>
        <w:t>第十五条</w:t>
      </w:r>
      <w:r>
        <w:rPr>
          <w:rFonts w:hint="eastAsia" w:ascii="黑体" w:hAnsi="黑体" w:eastAsia="黑体"/>
          <w:color w:val="000000"/>
          <w:sz w:val="32"/>
          <w:szCs w:val="32"/>
          <w:lang w:val="en-US" w:eastAsia="zh-CN"/>
        </w:rPr>
        <w:t xml:space="preserve"> </w:t>
      </w:r>
      <w:r>
        <w:rPr>
          <w:rFonts w:hint="eastAsia" w:ascii="黑体" w:hAnsi="黑体" w:eastAsia="黑体" w:cs="黑体"/>
          <w:sz w:val="32"/>
          <w:szCs w:val="32"/>
        </w:rPr>
        <w:t>本方案仅适用于官渡区滇池流域水环境保护治理工程（六甲街道办事处）</w:t>
      </w:r>
      <w:r>
        <w:rPr>
          <w:rFonts w:eastAsia="黑体"/>
          <w:sz w:val="32"/>
          <w:szCs w:val="32"/>
        </w:rPr>
        <w:t>国有土地及房屋征收补偿安置工作，</w:t>
      </w:r>
      <w:r>
        <w:rPr>
          <w:rFonts w:hint="eastAsia" w:ascii="黑体" w:hAnsi="黑体" w:eastAsia="黑体"/>
          <w:color w:val="000000"/>
          <w:sz w:val="32"/>
          <w:szCs w:val="32"/>
        </w:rPr>
        <w:t>由六甲街道办事处负责具体实施并解释。</w:t>
      </w:r>
    </w:p>
    <w:p>
      <w:pPr>
        <w:spacing w:line="560" w:lineRule="exact"/>
        <w:ind w:firstLine="610" w:firstLineChars="196"/>
        <w:rPr>
          <w:rFonts w:ascii="仿宋_GB2312" w:hAnsi="仿宋" w:eastAsia="仿宋_GB2312"/>
          <w:b/>
          <w:sz w:val="32"/>
          <w:szCs w:val="32"/>
        </w:rPr>
      </w:pPr>
      <w:r>
        <w:rPr>
          <w:rFonts w:hint="eastAsia" w:ascii="黑体" w:hAnsi="黑体" w:eastAsia="黑体"/>
          <w:sz w:val="32"/>
          <w:szCs w:val="32"/>
        </w:rPr>
        <w:t>第十六条本方案未尽事宜，按照相关法律、法规及规定执行。</w:t>
      </w:r>
    </w:p>
    <w:p>
      <w:pPr>
        <w:spacing w:line="560" w:lineRule="exact"/>
        <w:rPr>
          <w:rFonts w:ascii="仿宋_GB2312" w:hAnsi="仿宋" w:eastAsia="仿宋_GB2312"/>
          <w:b/>
          <w:sz w:val="32"/>
          <w:szCs w:val="32"/>
        </w:rPr>
      </w:pPr>
    </w:p>
    <w:p>
      <w:pPr>
        <w:snapToGrid w:val="0"/>
        <w:spacing w:line="560" w:lineRule="exact"/>
        <w:ind w:firstLine="622" w:firstLineChars="200"/>
        <w:rPr>
          <w:rFonts w:ascii="仿宋_GB2312" w:hAnsi="仿宋" w:eastAsia="仿宋_GB2312"/>
          <w:b/>
          <w:sz w:val="32"/>
        </w:rPr>
      </w:pPr>
      <w:r>
        <w:rPr>
          <w:rFonts w:hint="eastAsia" w:ascii="仿宋_GB2312" w:hAnsi="仿宋" w:eastAsia="仿宋_GB2312"/>
          <w:b/>
          <w:sz w:val="32"/>
        </w:rPr>
        <w:t>附表二：</w:t>
      </w:r>
    </w:p>
    <w:tbl>
      <w:tblPr>
        <w:tblStyle w:val="7"/>
        <w:tblW w:w="879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2"/>
        <w:gridCol w:w="3118"/>
        <w:gridCol w:w="3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42" w:type="dxa"/>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3118" w:type="dxa"/>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结构</w:t>
            </w:r>
          </w:p>
        </w:tc>
        <w:tc>
          <w:tcPr>
            <w:tcW w:w="3638" w:type="dxa"/>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补偿标准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42" w:type="dxa"/>
          </w:tcPr>
          <w:p>
            <w:pPr>
              <w:spacing w:line="56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1</w:t>
            </w:r>
          </w:p>
        </w:tc>
        <w:tc>
          <w:tcPr>
            <w:tcW w:w="3118" w:type="dxa"/>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框架结构</w:t>
            </w:r>
          </w:p>
        </w:tc>
        <w:tc>
          <w:tcPr>
            <w:tcW w:w="3638" w:type="dxa"/>
          </w:tcPr>
          <w:p>
            <w:pPr>
              <w:spacing w:line="56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900</w:t>
            </w:r>
            <w:r>
              <w:rPr>
                <w:rFonts w:hint="eastAsia" w:ascii="仿宋_GB2312" w:hAnsi="仿宋_GB2312" w:eastAsia="仿宋_GB2312" w:cs="仿宋_GB2312"/>
                <w:sz w:val="32"/>
                <w:szCs w:val="32"/>
              </w:rPr>
              <w:t>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42" w:type="dxa"/>
          </w:tcPr>
          <w:p>
            <w:pPr>
              <w:spacing w:line="56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2</w:t>
            </w:r>
          </w:p>
        </w:tc>
        <w:tc>
          <w:tcPr>
            <w:tcW w:w="3118" w:type="dxa"/>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砖混结构</w:t>
            </w:r>
          </w:p>
        </w:tc>
        <w:tc>
          <w:tcPr>
            <w:tcW w:w="3638" w:type="dxa"/>
          </w:tcPr>
          <w:p>
            <w:pPr>
              <w:spacing w:line="56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700</w:t>
            </w:r>
            <w:r>
              <w:rPr>
                <w:rFonts w:hint="eastAsia" w:ascii="仿宋_GB2312" w:hAnsi="仿宋_GB2312" w:eastAsia="仿宋_GB2312" w:cs="仿宋_GB2312"/>
                <w:sz w:val="32"/>
                <w:szCs w:val="32"/>
              </w:rPr>
              <w:t>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42" w:type="dxa"/>
          </w:tcPr>
          <w:p>
            <w:pPr>
              <w:spacing w:line="56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3</w:t>
            </w:r>
          </w:p>
        </w:tc>
        <w:tc>
          <w:tcPr>
            <w:tcW w:w="3118" w:type="dxa"/>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砖木结构</w:t>
            </w:r>
          </w:p>
        </w:tc>
        <w:tc>
          <w:tcPr>
            <w:tcW w:w="3638" w:type="dxa"/>
          </w:tcPr>
          <w:p>
            <w:pPr>
              <w:spacing w:line="56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500</w:t>
            </w:r>
            <w:r>
              <w:rPr>
                <w:rFonts w:hint="eastAsia" w:ascii="仿宋_GB2312" w:hAnsi="仿宋_GB2312" w:eastAsia="仿宋_GB2312" w:cs="仿宋_GB2312"/>
                <w:sz w:val="32"/>
                <w:szCs w:val="32"/>
              </w:rPr>
              <w:t>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42" w:type="dxa"/>
          </w:tcPr>
          <w:p>
            <w:pPr>
              <w:spacing w:line="56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4</w:t>
            </w:r>
          </w:p>
        </w:tc>
        <w:tc>
          <w:tcPr>
            <w:tcW w:w="3118" w:type="dxa"/>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钢架大棚</w:t>
            </w:r>
          </w:p>
        </w:tc>
        <w:tc>
          <w:tcPr>
            <w:tcW w:w="3638" w:type="dxa"/>
          </w:tcPr>
          <w:p>
            <w:pPr>
              <w:spacing w:line="56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450</w:t>
            </w:r>
            <w:r>
              <w:rPr>
                <w:rFonts w:hint="eastAsia" w:ascii="仿宋_GB2312" w:hAnsi="仿宋_GB2312" w:eastAsia="仿宋_GB2312" w:cs="仿宋_GB2312"/>
                <w:sz w:val="32"/>
                <w:szCs w:val="32"/>
              </w:rPr>
              <w:t>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42" w:type="dxa"/>
          </w:tcPr>
          <w:p>
            <w:pPr>
              <w:spacing w:line="56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5</w:t>
            </w:r>
          </w:p>
        </w:tc>
        <w:tc>
          <w:tcPr>
            <w:tcW w:w="3118" w:type="dxa"/>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土木结构</w:t>
            </w:r>
          </w:p>
        </w:tc>
        <w:tc>
          <w:tcPr>
            <w:tcW w:w="3638" w:type="dxa"/>
          </w:tcPr>
          <w:p>
            <w:pPr>
              <w:spacing w:line="56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300</w:t>
            </w:r>
            <w:r>
              <w:rPr>
                <w:rFonts w:hint="eastAsia" w:ascii="仿宋_GB2312" w:hAnsi="仿宋_GB2312" w:eastAsia="仿宋_GB2312" w:cs="仿宋_GB2312"/>
                <w:sz w:val="32"/>
                <w:szCs w:val="32"/>
              </w:rPr>
              <w:t>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42" w:type="dxa"/>
          </w:tcPr>
          <w:p>
            <w:pPr>
              <w:spacing w:line="56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6</w:t>
            </w:r>
          </w:p>
        </w:tc>
        <w:tc>
          <w:tcPr>
            <w:tcW w:w="3118" w:type="dxa"/>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简易房</w:t>
            </w:r>
          </w:p>
        </w:tc>
        <w:tc>
          <w:tcPr>
            <w:tcW w:w="3638" w:type="dxa"/>
          </w:tcPr>
          <w:p>
            <w:pPr>
              <w:spacing w:line="56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tc>
      </w:tr>
    </w:tbl>
    <w:p>
      <w:pPr>
        <w:snapToGrid w:val="0"/>
        <w:spacing w:line="560" w:lineRule="exact"/>
        <w:rPr>
          <w:rFonts w:ascii="仿宋_GB2312" w:hAnsi="仿宋" w:eastAsia="仿宋_GB2312"/>
          <w:sz w:val="32"/>
        </w:rPr>
      </w:pPr>
    </w:p>
    <w:p>
      <w:pPr>
        <w:snapToGrid w:val="0"/>
        <w:spacing w:line="560" w:lineRule="exact"/>
        <w:ind w:firstLine="622"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附表三：</w:t>
      </w:r>
    </w:p>
    <w:tbl>
      <w:tblPr>
        <w:tblStyle w:val="7"/>
        <w:tblW w:w="892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240"/>
        <w:gridCol w:w="1080"/>
        <w:gridCol w:w="1620"/>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3240" w:type="dxa"/>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类别</w:t>
            </w:r>
          </w:p>
        </w:tc>
        <w:tc>
          <w:tcPr>
            <w:tcW w:w="1080" w:type="dxa"/>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单位</w:t>
            </w:r>
          </w:p>
        </w:tc>
        <w:tc>
          <w:tcPr>
            <w:tcW w:w="1620" w:type="dxa"/>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补偿标准（元）</w:t>
            </w:r>
          </w:p>
        </w:tc>
        <w:tc>
          <w:tcPr>
            <w:tcW w:w="2085" w:type="dxa"/>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900" w:type="dxa"/>
            <w:vAlign w:val="center"/>
          </w:tcPr>
          <w:p>
            <w:pPr>
              <w:spacing w:line="56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1</w:t>
            </w:r>
          </w:p>
        </w:tc>
        <w:tc>
          <w:tcPr>
            <w:tcW w:w="3240" w:type="dxa"/>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平板太阳能（含水箱）</w:t>
            </w:r>
          </w:p>
        </w:tc>
        <w:tc>
          <w:tcPr>
            <w:tcW w:w="1080" w:type="dxa"/>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1620" w:type="dxa"/>
            <w:vAlign w:val="center"/>
          </w:tcPr>
          <w:p>
            <w:pPr>
              <w:spacing w:line="56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300</w:t>
            </w:r>
          </w:p>
        </w:tc>
        <w:tc>
          <w:tcPr>
            <w:tcW w:w="2085" w:type="dxa"/>
            <w:vAlign w:val="center"/>
          </w:tcPr>
          <w:p>
            <w:pPr>
              <w:spacing w:line="560" w:lineRule="exact"/>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center"/>
          </w:tcPr>
          <w:p>
            <w:pPr>
              <w:spacing w:line="56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2</w:t>
            </w:r>
          </w:p>
        </w:tc>
        <w:tc>
          <w:tcPr>
            <w:tcW w:w="3240" w:type="dxa"/>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真空管太阳能（含水箱）</w:t>
            </w:r>
          </w:p>
        </w:tc>
        <w:tc>
          <w:tcPr>
            <w:tcW w:w="1080" w:type="dxa"/>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管</w:t>
            </w:r>
          </w:p>
        </w:tc>
        <w:tc>
          <w:tcPr>
            <w:tcW w:w="1620" w:type="dxa"/>
            <w:vAlign w:val="center"/>
          </w:tcPr>
          <w:p>
            <w:pPr>
              <w:spacing w:line="56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80</w:t>
            </w:r>
          </w:p>
        </w:tc>
        <w:tc>
          <w:tcPr>
            <w:tcW w:w="2085" w:type="dxa"/>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限</w:t>
            </w:r>
            <w:r>
              <w:rPr>
                <w:rFonts w:ascii="仿宋_GB2312" w:hAnsi="仿宋_GB2312" w:eastAsia="仿宋_GB2312" w:cs="仿宋_GB2312"/>
                <w:sz w:val="32"/>
                <w:szCs w:val="32"/>
              </w:rPr>
              <w:t>60</w:t>
            </w:r>
            <w:r>
              <w:rPr>
                <w:rFonts w:hint="eastAsia" w:ascii="仿宋_GB2312" w:hAnsi="仿宋_GB2312" w:eastAsia="仿宋_GB2312" w:cs="仿宋_GB2312"/>
                <w:sz w:val="32"/>
                <w:szCs w:val="32"/>
              </w:rPr>
              <w:t>管以下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900" w:type="dxa"/>
            <w:vAlign w:val="center"/>
          </w:tcPr>
          <w:p>
            <w:pPr>
              <w:spacing w:line="56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3</w:t>
            </w:r>
          </w:p>
        </w:tc>
        <w:tc>
          <w:tcPr>
            <w:tcW w:w="3240" w:type="dxa"/>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电话</w:t>
            </w:r>
          </w:p>
        </w:tc>
        <w:tc>
          <w:tcPr>
            <w:tcW w:w="1080" w:type="dxa"/>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部</w:t>
            </w:r>
          </w:p>
        </w:tc>
        <w:tc>
          <w:tcPr>
            <w:tcW w:w="1620" w:type="dxa"/>
            <w:vAlign w:val="center"/>
          </w:tcPr>
          <w:p>
            <w:pPr>
              <w:spacing w:line="56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308</w:t>
            </w:r>
          </w:p>
        </w:tc>
        <w:tc>
          <w:tcPr>
            <w:tcW w:w="2085" w:type="dxa"/>
            <w:vAlign w:val="center"/>
          </w:tcPr>
          <w:p>
            <w:pPr>
              <w:spacing w:line="560" w:lineRule="exact"/>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center"/>
          </w:tcPr>
          <w:p>
            <w:pPr>
              <w:spacing w:line="56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4</w:t>
            </w:r>
          </w:p>
        </w:tc>
        <w:tc>
          <w:tcPr>
            <w:tcW w:w="3240" w:type="dxa"/>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水表</w:t>
            </w:r>
          </w:p>
        </w:tc>
        <w:tc>
          <w:tcPr>
            <w:tcW w:w="1080" w:type="dxa"/>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个</w:t>
            </w:r>
          </w:p>
        </w:tc>
        <w:tc>
          <w:tcPr>
            <w:tcW w:w="1620" w:type="dxa"/>
            <w:vAlign w:val="center"/>
          </w:tcPr>
          <w:p>
            <w:pPr>
              <w:spacing w:line="56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50</w:t>
            </w:r>
          </w:p>
        </w:tc>
        <w:tc>
          <w:tcPr>
            <w:tcW w:w="2085" w:type="dxa"/>
            <w:vAlign w:val="center"/>
          </w:tcPr>
          <w:p>
            <w:pPr>
              <w:spacing w:line="560" w:lineRule="exact"/>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center"/>
          </w:tcPr>
          <w:p>
            <w:pPr>
              <w:spacing w:line="56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5</w:t>
            </w:r>
          </w:p>
        </w:tc>
        <w:tc>
          <w:tcPr>
            <w:tcW w:w="3240" w:type="dxa"/>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电表</w:t>
            </w:r>
          </w:p>
        </w:tc>
        <w:tc>
          <w:tcPr>
            <w:tcW w:w="1080" w:type="dxa"/>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个</w:t>
            </w:r>
          </w:p>
        </w:tc>
        <w:tc>
          <w:tcPr>
            <w:tcW w:w="1620" w:type="dxa"/>
            <w:vAlign w:val="center"/>
          </w:tcPr>
          <w:p>
            <w:pPr>
              <w:spacing w:line="56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50</w:t>
            </w:r>
          </w:p>
        </w:tc>
        <w:tc>
          <w:tcPr>
            <w:tcW w:w="2085" w:type="dxa"/>
            <w:vAlign w:val="center"/>
          </w:tcPr>
          <w:p>
            <w:pPr>
              <w:spacing w:line="560" w:lineRule="exact"/>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center"/>
          </w:tcPr>
          <w:p>
            <w:pPr>
              <w:spacing w:line="56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6</w:t>
            </w:r>
          </w:p>
        </w:tc>
        <w:tc>
          <w:tcPr>
            <w:tcW w:w="3240" w:type="dxa"/>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铁大门</w:t>
            </w:r>
          </w:p>
        </w:tc>
        <w:tc>
          <w:tcPr>
            <w:tcW w:w="1080" w:type="dxa"/>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道</w:t>
            </w:r>
          </w:p>
        </w:tc>
        <w:tc>
          <w:tcPr>
            <w:tcW w:w="1620" w:type="dxa"/>
            <w:vAlign w:val="center"/>
          </w:tcPr>
          <w:p>
            <w:pPr>
              <w:spacing w:line="56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1200</w:t>
            </w:r>
          </w:p>
        </w:tc>
        <w:tc>
          <w:tcPr>
            <w:tcW w:w="2085" w:type="dxa"/>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特指院坝大门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center"/>
          </w:tcPr>
          <w:p>
            <w:pPr>
              <w:spacing w:line="56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7</w:t>
            </w:r>
          </w:p>
        </w:tc>
        <w:tc>
          <w:tcPr>
            <w:tcW w:w="3240" w:type="dxa"/>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水泥地坪</w:t>
            </w:r>
          </w:p>
        </w:tc>
        <w:tc>
          <w:tcPr>
            <w:tcW w:w="1080" w:type="dxa"/>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1620" w:type="dxa"/>
            <w:vAlign w:val="center"/>
          </w:tcPr>
          <w:p>
            <w:pPr>
              <w:spacing w:line="56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45</w:t>
            </w:r>
          </w:p>
        </w:tc>
        <w:tc>
          <w:tcPr>
            <w:tcW w:w="2085" w:type="dxa"/>
            <w:vAlign w:val="center"/>
          </w:tcPr>
          <w:p>
            <w:pPr>
              <w:spacing w:line="560" w:lineRule="exact"/>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center"/>
          </w:tcPr>
          <w:p>
            <w:pPr>
              <w:spacing w:line="56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8</w:t>
            </w:r>
          </w:p>
        </w:tc>
        <w:tc>
          <w:tcPr>
            <w:tcW w:w="3240" w:type="dxa"/>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有线电视迁改</w:t>
            </w:r>
          </w:p>
        </w:tc>
        <w:tc>
          <w:tcPr>
            <w:tcW w:w="1080" w:type="dxa"/>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户</w:t>
            </w:r>
          </w:p>
        </w:tc>
        <w:tc>
          <w:tcPr>
            <w:tcW w:w="1620" w:type="dxa"/>
            <w:vAlign w:val="center"/>
          </w:tcPr>
          <w:p>
            <w:pPr>
              <w:spacing w:line="56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250</w:t>
            </w:r>
          </w:p>
        </w:tc>
        <w:tc>
          <w:tcPr>
            <w:tcW w:w="2085" w:type="dxa"/>
            <w:vAlign w:val="center"/>
          </w:tcPr>
          <w:p>
            <w:pPr>
              <w:spacing w:line="560" w:lineRule="exact"/>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900" w:type="dxa"/>
            <w:vAlign w:val="center"/>
          </w:tcPr>
          <w:p>
            <w:pPr>
              <w:spacing w:line="56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9</w:t>
            </w:r>
          </w:p>
        </w:tc>
        <w:tc>
          <w:tcPr>
            <w:tcW w:w="3240" w:type="dxa"/>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简易铁棚</w:t>
            </w:r>
          </w:p>
        </w:tc>
        <w:tc>
          <w:tcPr>
            <w:tcW w:w="1080" w:type="dxa"/>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1620" w:type="dxa"/>
            <w:vAlign w:val="center"/>
          </w:tcPr>
          <w:p>
            <w:pPr>
              <w:spacing w:line="56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150</w:t>
            </w:r>
          </w:p>
        </w:tc>
        <w:tc>
          <w:tcPr>
            <w:tcW w:w="2085" w:type="dxa"/>
            <w:vAlign w:val="center"/>
          </w:tcPr>
          <w:p>
            <w:pPr>
              <w:spacing w:line="560" w:lineRule="exact"/>
              <w:jc w:val="center"/>
              <w:rPr>
                <w:rFonts w:ascii="仿宋_GB2312" w:hAnsi="仿宋_GB2312" w:eastAsia="仿宋_GB2312" w:cs="仿宋_GB2312"/>
                <w:color w:val="C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center"/>
          </w:tcPr>
          <w:p>
            <w:pPr>
              <w:spacing w:line="56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10</w:t>
            </w:r>
          </w:p>
        </w:tc>
        <w:tc>
          <w:tcPr>
            <w:tcW w:w="3240" w:type="dxa"/>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卷帘门</w:t>
            </w:r>
          </w:p>
        </w:tc>
        <w:tc>
          <w:tcPr>
            <w:tcW w:w="1080" w:type="dxa"/>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1620" w:type="dxa"/>
            <w:vAlign w:val="center"/>
          </w:tcPr>
          <w:p>
            <w:pPr>
              <w:spacing w:line="56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300</w:t>
            </w:r>
          </w:p>
        </w:tc>
        <w:tc>
          <w:tcPr>
            <w:tcW w:w="2085" w:type="dxa"/>
            <w:vAlign w:val="center"/>
          </w:tcPr>
          <w:p>
            <w:pPr>
              <w:spacing w:line="560" w:lineRule="exact"/>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center"/>
          </w:tcPr>
          <w:p>
            <w:pPr>
              <w:spacing w:line="56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11</w:t>
            </w:r>
          </w:p>
        </w:tc>
        <w:tc>
          <w:tcPr>
            <w:tcW w:w="3240" w:type="dxa"/>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水箱（桶）</w:t>
            </w:r>
          </w:p>
        </w:tc>
        <w:tc>
          <w:tcPr>
            <w:tcW w:w="1080" w:type="dxa"/>
            <w:vAlign w:val="center"/>
          </w:tcPr>
          <w:p>
            <w:pPr>
              <w:spacing w:line="56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m</w:t>
            </w:r>
            <w:r>
              <w:rPr>
                <w:rFonts w:ascii="仿宋_GB2312" w:hAnsi="仿宋_GB2312" w:eastAsia="仿宋_GB2312" w:cs="仿宋_GB2312"/>
                <w:sz w:val="32"/>
                <w:szCs w:val="32"/>
                <w:vertAlign w:val="superscript"/>
              </w:rPr>
              <w:t>3</w:t>
            </w:r>
          </w:p>
        </w:tc>
        <w:tc>
          <w:tcPr>
            <w:tcW w:w="1620" w:type="dxa"/>
            <w:vAlign w:val="center"/>
          </w:tcPr>
          <w:p>
            <w:pPr>
              <w:spacing w:line="56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500</w:t>
            </w:r>
          </w:p>
        </w:tc>
        <w:tc>
          <w:tcPr>
            <w:tcW w:w="2085" w:type="dxa"/>
            <w:vAlign w:val="center"/>
          </w:tcPr>
          <w:p>
            <w:pPr>
              <w:spacing w:line="560" w:lineRule="exact"/>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center"/>
          </w:tcPr>
          <w:p>
            <w:pPr>
              <w:spacing w:line="56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12</w:t>
            </w:r>
          </w:p>
        </w:tc>
        <w:tc>
          <w:tcPr>
            <w:tcW w:w="3240" w:type="dxa"/>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防盗门</w:t>
            </w:r>
          </w:p>
        </w:tc>
        <w:tc>
          <w:tcPr>
            <w:tcW w:w="1080" w:type="dxa"/>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道</w:t>
            </w:r>
          </w:p>
        </w:tc>
        <w:tc>
          <w:tcPr>
            <w:tcW w:w="1620" w:type="dxa"/>
            <w:vAlign w:val="center"/>
          </w:tcPr>
          <w:p>
            <w:pPr>
              <w:spacing w:line="56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800</w:t>
            </w:r>
          </w:p>
        </w:tc>
        <w:tc>
          <w:tcPr>
            <w:tcW w:w="2085" w:type="dxa"/>
            <w:vAlign w:val="center"/>
          </w:tcPr>
          <w:p>
            <w:pPr>
              <w:spacing w:line="560" w:lineRule="exact"/>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center"/>
          </w:tcPr>
          <w:p>
            <w:pPr>
              <w:spacing w:line="56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13</w:t>
            </w:r>
          </w:p>
        </w:tc>
        <w:tc>
          <w:tcPr>
            <w:tcW w:w="3240" w:type="dxa"/>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电子门禁</w:t>
            </w:r>
          </w:p>
        </w:tc>
        <w:tc>
          <w:tcPr>
            <w:tcW w:w="1080" w:type="dxa"/>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把</w:t>
            </w:r>
          </w:p>
        </w:tc>
        <w:tc>
          <w:tcPr>
            <w:tcW w:w="1620" w:type="dxa"/>
            <w:vAlign w:val="center"/>
          </w:tcPr>
          <w:p>
            <w:pPr>
              <w:spacing w:line="56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1200</w:t>
            </w:r>
          </w:p>
        </w:tc>
        <w:tc>
          <w:tcPr>
            <w:tcW w:w="2085" w:type="dxa"/>
            <w:vAlign w:val="center"/>
          </w:tcPr>
          <w:p>
            <w:pPr>
              <w:spacing w:line="560" w:lineRule="exact"/>
              <w:jc w:val="center"/>
              <w:rPr>
                <w:rFonts w:ascii="仿宋_GB2312" w:hAnsi="仿宋_GB2312" w:eastAsia="仿宋_GB2312" w:cs="仿宋_GB2312"/>
                <w:sz w:val="32"/>
                <w:szCs w:val="32"/>
              </w:rPr>
            </w:pPr>
          </w:p>
        </w:tc>
      </w:tr>
      <w:bookmarkEnd w:id="0"/>
    </w:tbl>
    <w:p>
      <w:pPr>
        <w:adjustRightInd w:val="0"/>
        <w:snapToGrid w:val="0"/>
        <w:spacing w:line="560" w:lineRule="exact"/>
        <w:jc w:val="left"/>
        <w:rPr>
          <w:rFonts w:ascii="方正仿宋_GBK" w:hAnsi="华文中宋" w:eastAsia="方正仿宋_GBK"/>
          <w:sz w:val="32"/>
          <w:szCs w:val="84"/>
        </w:rPr>
      </w:pPr>
    </w:p>
    <w:sectPr>
      <w:footerReference r:id="rId3" w:type="default"/>
      <w:footerReference r:id="rId4" w:type="even"/>
      <w:pgSz w:w="11906" w:h="16838"/>
      <w:pgMar w:top="2098" w:right="1503" w:bottom="2098" w:left="1503" w:header="851" w:footer="1474" w:gutter="0"/>
      <w:cols w:space="720" w:num="1"/>
      <w:docGrid w:type="linesAndChars" w:linePitch="577"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right="210" w:rightChars="100"/>
      <w:rPr>
        <w:rStyle w:val="9"/>
        <w:sz w:val="28"/>
        <w:szCs w:val="28"/>
      </w:rPr>
    </w:pPr>
    <w:r>
      <w:rPr>
        <w:rStyle w:val="9"/>
        <w:sz w:val="28"/>
        <w:szCs w:val="28"/>
      </w:rPr>
      <w:t xml:space="preserve">— </w:t>
    </w: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rPr>
      <w:t>5</w:t>
    </w:r>
    <w:r>
      <w:rPr>
        <w:rStyle w:val="9"/>
        <w:sz w:val="28"/>
        <w:szCs w:val="28"/>
      </w:rPr>
      <w:fldChar w:fldCharType="end"/>
    </w:r>
    <w:r>
      <w:rPr>
        <w:rStyle w:val="9"/>
        <w:sz w:val="28"/>
        <w:szCs w:val="28"/>
      </w:rPr>
      <w:t xml:space="preserve"> —</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210" w:leftChars="100"/>
      <w:rPr>
        <w:rStyle w:val="9"/>
        <w:rFonts w:ascii="宋体"/>
        <w:sz w:val="28"/>
        <w:szCs w:val="28"/>
      </w:rPr>
    </w:pPr>
    <w:r>
      <w:rPr>
        <w:rStyle w:val="9"/>
        <w:rFonts w:ascii="宋体" w:hAnsi="宋体"/>
        <w:sz w:val="28"/>
        <w:szCs w:val="28"/>
      </w:rPr>
      <w:t xml:space="preserve">—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6</w:t>
    </w:r>
    <w:r>
      <w:rPr>
        <w:rStyle w:val="9"/>
        <w:rFonts w:ascii="宋体" w:hAnsi="宋体"/>
        <w:sz w:val="28"/>
        <w:szCs w:val="28"/>
      </w:rPr>
      <w:fldChar w:fldCharType="end"/>
    </w:r>
    <w:r>
      <w:rPr>
        <w:rStyle w:val="9"/>
        <w:rFonts w:ascii="宋体" w:hAnsi="宋体"/>
        <w:sz w:val="28"/>
        <w:szCs w:val="28"/>
      </w:rPr>
      <w:t xml:space="preserve"> —</w:t>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A6A977"/>
    <w:multiLevelType w:val="singleLevel"/>
    <w:tmpl w:val="F7A6A977"/>
    <w:lvl w:ilvl="0" w:tentative="0">
      <w:start w:val="7"/>
      <w:numFmt w:val="chineseCounting"/>
      <w:suff w:val="space"/>
      <w:lvlText w:val="第%1条"/>
      <w:lvlJc w:val="left"/>
      <w:rPr>
        <w:rFonts w:hint="eastAsia" w:cs="Times New Roman"/>
      </w:rPr>
    </w:lvl>
  </w:abstractNum>
  <w:abstractNum w:abstractNumId="1">
    <w:nsid w:val="29F254D7"/>
    <w:multiLevelType w:val="multilevel"/>
    <w:tmpl w:val="29F254D7"/>
    <w:lvl w:ilvl="0" w:tentative="0">
      <w:start w:val="1"/>
      <w:numFmt w:val="japaneseCounting"/>
      <w:lvlText w:val="第%1条"/>
      <w:lvlJc w:val="left"/>
      <w:pPr>
        <w:ind w:left="1702" w:hanging="1080"/>
      </w:pPr>
      <w:rPr>
        <w:rFonts w:hint="default" w:ascii="黑体" w:hAnsi="黑体" w:eastAsia="黑体" w:cs="仿宋_GB2312"/>
        <w:color w:val="auto"/>
      </w:rPr>
    </w:lvl>
    <w:lvl w:ilvl="1" w:tentative="0">
      <w:start w:val="1"/>
      <w:numFmt w:val="lowerLetter"/>
      <w:lvlText w:val="%2)"/>
      <w:lvlJc w:val="left"/>
      <w:pPr>
        <w:ind w:left="1462" w:hanging="420"/>
      </w:pPr>
    </w:lvl>
    <w:lvl w:ilvl="2" w:tentative="0">
      <w:start w:val="1"/>
      <w:numFmt w:val="lowerRoman"/>
      <w:lvlText w:val="%3."/>
      <w:lvlJc w:val="right"/>
      <w:pPr>
        <w:ind w:left="1882" w:hanging="420"/>
      </w:pPr>
    </w:lvl>
    <w:lvl w:ilvl="3" w:tentative="0">
      <w:start w:val="1"/>
      <w:numFmt w:val="decimal"/>
      <w:lvlText w:val="%4."/>
      <w:lvlJc w:val="left"/>
      <w:pPr>
        <w:ind w:left="2302" w:hanging="420"/>
      </w:pPr>
    </w:lvl>
    <w:lvl w:ilvl="4" w:tentative="0">
      <w:start w:val="1"/>
      <w:numFmt w:val="lowerLetter"/>
      <w:lvlText w:val="%5)"/>
      <w:lvlJc w:val="left"/>
      <w:pPr>
        <w:ind w:left="2722" w:hanging="420"/>
      </w:pPr>
    </w:lvl>
    <w:lvl w:ilvl="5" w:tentative="0">
      <w:start w:val="1"/>
      <w:numFmt w:val="lowerRoman"/>
      <w:lvlText w:val="%6."/>
      <w:lvlJc w:val="right"/>
      <w:pPr>
        <w:ind w:left="3142" w:hanging="420"/>
      </w:pPr>
    </w:lvl>
    <w:lvl w:ilvl="6" w:tentative="0">
      <w:start w:val="1"/>
      <w:numFmt w:val="decimal"/>
      <w:lvlText w:val="%7."/>
      <w:lvlJc w:val="left"/>
      <w:pPr>
        <w:ind w:left="3562" w:hanging="420"/>
      </w:pPr>
    </w:lvl>
    <w:lvl w:ilvl="7" w:tentative="0">
      <w:start w:val="1"/>
      <w:numFmt w:val="lowerLetter"/>
      <w:lvlText w:val="%8)"/>
      <w:lvlJc w:val="left"/>
      <w:pPr>
        <w:ind w:left="3982" w:hanging="420"/>
      </w:pPr>
    </w:lvl>
    <w:lvl w:ilvl="8" w:tentative="0">
      <w:start w:val="1"/>
      <w:numFmt w:val="lowerRoman"/>
      <w:lvlText w:val="%9."/>
      <w:lvlJc w:val="right"/>
      <w:pPr>
        <w:ind w:left="440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201"/>
  <w:drawingGridVerticalSpacing w:val="57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671EBE"/>
    <w:rsid w:val="00022864"/>
    <w:rsid w:val="00035995"/>
    <w:rsid w:val="000814FA"/>
    <w:rsid w:val="000851C1"/>
    <w:rsid w:val="0009733E"/>
    <w:rsid w:val="000A6383"/>
    <w:rsid w:val="000B4297"/>
    <w:rsid w:val="000B686E"/>
    <w:rsid w:val="000C2ED5"/>
    <w:rsid w:val="000D53FF"/>
    <w:rsid w:val="000D6493"/>
    <w:rsid w:val="000D6946"/>
    <w:rsid w:val="000F2E10"/>
    <w:rsid w:val="000F7A79"/>
    <w:rsid w:val="000F7C0F"/>
    <w:rsid w:val="00102973"/>
    <w:rsid w:val="00104CF1"/>
    <w:rsid w:val="001315BD"/>
    <w:rsid w:val="001316FC"/>
    <w:rsid w:val="001568A5"/>
    <w:rsid w:val="0017567C"/>
    <w:rsid w:val="00176CFF"/>
    <w:rsid w:val="00184B30"/>
    <w:rsid w:val="0018638F"/>
    <w:rsid w:val="00187E60"/>
    <w:rsid w:val="001A7B29"/>
    <w:rsid w:val="001C5A8B"/>
    <w:rsid w:val="001E203B"/>
    <w:rsid w:val="001E33B2"/>
    <w:rsid w:val="001E4762"/>
    <w:rsid w:val="001E51EB"/>
    <w:rsid w:val="00222F2F"/>
    <w:rsid w:val="0022544F"/>
    <w:rsid w:val="00234755"/>
    <w:rsid w:val="0024587F"/>
    <w:rsid w:val="002464B0"/>
    <w:rsid w:val="00251689"/>
    <w:rsid w:val="00252372"/>
    <w:rsid w:val="00280D1D"/>
    <w:rsid w:val="00287DC2"/>
    <w:rsid w:val="002B2265"/>
    <w:rsid w:val="002C4D57"/>
    <w:rsid w:val="002F0E82"/>
    <w:rsid w:val="00330FBC"/>
    <w:rsid w:val="003342F4"/>
    <w:rsid w:val="00335828"/>
    <w:rsid w:val="00350AA1"/>
    <w:rsid w:val="003601FA"/>
    <w:rsid w:val="00365E5A"/>
    <w:rsid w:val="003922C0"/>
    <w:rsid w:val="003A770F"/>
    <w:rsid w:val="003D5743"/>
    <w:rsid w:val="003E5FE7"/>
    <w:rsid w:val="003E6E31"/>
    <w:rsid w:val="00404A04"/>
    <w:rsid w:val="004124A5"/>
    <w:rsid w:val="00433D28"/>
    <w:rsid w:val="00436CEB"/>
    <w:rsid w:val="004B111B"/>
    <w:rsid w:val="004B42BE"/>
    <w:rsid w:val="004D5BD7"/>
    <w:rsid w:val="004E1985"/>
    <w:rsid w:val="004E2D1D"/>
    <w:rsid w:val="004E4CB2"/>
    <w:rsid w:val="004F5BC9"/>
    <w:rsid w:val="005005C2"/>
    <w:rsid w:val="00501B51"/>
    <w:rsid w:val="00522DAD"/>
    <w:rsid w:val="00540D61"/>
    <w:rsid w:val="00543FFB"/>
    <w:rsid w:val="005525C1"/>
    <w:rsid w:val="00567281"/>
    <w:rsid w:val="0057123D"/>
    <w:rsid w:val="005B1916"/>
    <w:rsid w:val="005B3050"/>
    <w:rsid w:val="005C2AE8"/>
    <w:rsid w:val="005C7BF5"/>
    <w:rsid w:val="00601CB6"/>
    <w:rsid w:val="00602021"/>
    <w:rsid w:val="00602FD5"/>
    <w:rsid w:val="0060506A"/>
    <w:rsid w:val="00607AD7"/>
    <w:rsid w:val="00630E10"/>
    <w:rsid w:val="00635714"/>
    <w:rsid w:val="0064585E"/>
    <w:rsid w:val="006462FC"/>
    <w:rsid w:val="00653F17"/>
    <w:rsid w:val="00670349"/>
    <w:rsid w:val="00670B9C"/>
    <w:rsid w:val="00671EBE"/>
    <w:rsid w:val="00672FD8"/>
    <w:rsid w:val="00674A9C"/>
    <w:rsid w:val="00676081"/>
    <w:rsid w:val="00681DAD"/>
    <w:rsid w:val="006907F2"/>
    <w:rsid w:val="00695F85"/>
    <w:rsid w:val="006D1DB2"/>
    <w:rsid w:val="007040D0"/>
    <w:rsid w:val="00715E50"/>
    <w:rsid w:val="00721B8C"/>
    <w:rsid w:val="0076579A"/>
    <w:rsid w:val="007771F6"/>
    <w:rsid w:val="00780968"/>
    <w:rsid w:val="007B049C"/>
    <w:rsid w:val="007B144E"/>
    <w:rsid w:val="007D16D3"/>
    <w:rsid w:val="007E1713"/>
    <w:rsid w:val="007E4DC1"/>
    <w:rsid w:val="007F1E10"/>
    <w:rsid w:val="00807CE6"/>
    <w:rsid w:val="00825998"/>
    <w:rsid w:val="0083756D"/>
    <w:rsid w:val="00845B70"/>
    <w:rsid w:val="00864088"/>
    <w:rsid w:val="00876842"/>
    <w:rsid w:val="008A4D85"/>
    <w:rsid w:val="008C3166"/>
    <w:rsid w:val="008C64ED"/>
    <w:rsid w:val="00906CCE"/>
    <w:rsid w:val="00935983"/>
    <w:rsid w:val="00946840"/>
    <w:rsid w:val="00964261"/>
    <w:rsid w:val="0096453A"/>
    <w:rsid w:val="00974F3A"/>
    <w:rsid w:val="009858FA"/>
    <w:rsid w:val="009A51D9"/>
    <w:rsid w:val="009B097C"/>
    <w:rsid w:val="009B5EF9"/>
    <w:rsid w:val="009C3DA8"/>
    <w:rsid w:val="009E1CC3"/>
    <w:rsid w:val="009F0A0A"/>
    <w:rsid w:val="009F3AB1"/>
    <w:rsid w:val="009F5520"/>
    <w:rsid w:val="00A11CCE"/>
    <w:rsid w:val="00A13628"/>
    <w:rsid w:val="00A15ED3"/>
    <w:rsid w:val="00A4347F"/>
    <w:rsid w:val="00A4580A"/>
    <w:rsid w:val="00A509A2"/>
    <w:rsid w:val="00A649E3"/>
    <w:rsid w:val="00A86D55"/>
    <w:rsid w:val="00AA464F"/>
    <w:rsid w:val="00AA5B67"/>
    <w:rsid w:val="00AB2412"/>
    <w:rsid w:val="00AC05E3"/>
    <w:rsid w:val="00AC594F"/>
    <w:rsid w:val="00AD0C0A"/>
    <w:rsid w:val="00AD2674"/>
    <w:rsid w:val="00AE2070"/>
    <w:rsid w:val="00AF6847"/>
    <w:rsid w:val="00B046A3"/>
    <w:rsid w:val="00B31A27"/>
    <w:rsid w:val="00B37B9A"/>
    <w:rsid w:val="00BB11C6"/>
    <w:rsid w:val="00BB2912"/>
    <w:rsid w:val="00BB35E8"/>
    <w:rsid w:val="00BC2835"/>
    <w:rsid w:val="00BC3060"/>
    <w:rsid w:val="00BC7834"/>
    <w:rsid w:val="00BE7B1B"/>
    <w:rsid w:val="00BE7E6F"/>
    <w:rsid w:val="00C338D4"/>
    <w:rsid w:val="00C41136"/>
    <w:rsid w:val="00C44CF4"/>
    <w:rsid w:val="00C55330"/>
    <w:rsid w:val="00C677A0"/>
    <w:rsid w:val="00C84701"/>
    <w:rsid w:val="00C937D9"/>
    <w:rsid w:val="00C9504A"/>
    <w:rsid w:val="00CA16BF"/>
    <w:rsid w:val="00CA2174"/>
    <w:rsid w:val="00CD548E"/>
    <w:rsid w:val="00CE609A"/>
    <w:rsid w:val="00CF3936"/>
    <w:rsid w:val="00D04AFD"/>
    <w:rsid w:val="00D05EE7"/>
    <w:rsid w:val="00D318AD"/>
    <w:rsid w:val="00D47F28"/>
    <w:rsid w:val="00D52042"/>
    <w:rsid w:val="00D57397"/>
    <w:rsid w:val="00D65239"/>
    <w:rsid w:val="00D65284"/>
    <w:rsid w:val="00D7089F"/>
    <w:rsid w:val="00D853D0"/>
    <w:rsid w:val="00DA0D12"/>
    <w:rsid w:val="00DA603C"/>
    <w:rsid w:val="00DB5AB2"/>
    <w:rsid w:val="00DB625F"/>
    <w:rsid w:val="00DB6B2F"/>
    <w:rsid w:val="00DF34BD"/>
    <w:rsid w:val="00E120EA"/>
    <w:rsid w:val="00E15D43"/>
    <w:rsid w:val="00E22E98"/>
    <w:rsid w:val="00E335F6"/>
    <w:rsid w:val="00E33D4D"/>
    <w:rsid w:val="00E46BA7"/>
    <w:rsid w:val="00E5436A"/>
    <w:rsid w:val="00E734D2"/>
    <w:rsid w:val="00E83C2F"/>
    <w:rsid w:val="00E904B1"/>
    <w:rsid w:val="00ED4081"/>
    <w:rsid w:val="00ED66B2"/>
    <w:rsid w:val="00EE198F"/>
    <w:rsid w:val="00F02B1C"/>
    <w:rsid w:val="00F05010"/>
    <w:rsid w:val="00F158BF"/>
    <w:rsid w:val="00F16C4F"/>
    <w:rsid w:val="00F203D1"/>
    <w:rsid w:val="00F26BA2"/>
    <w:rsid w:val="00F347FB"/>
    <w:rsid w:val="00F445C0"/>
    <w:rsid w:val="00F44B73"/>
    <w:rsid w:val="00F542D3"/>
    <w:rsid w:val="00F663BC"/>
    <w:rsid w:val="00F6798B"/>
    <w:rsid w:val="00F73555"/>
    <w:rsid w:val="00F9139F"/>
    <w:rsid w:val="00FA2DB1"/>
    <w:rsid w:val="00FA3A44"/>
    <w:rsid w:val="00FA4180"/>
    <w:rsid w:val="00FB0FB8"/>
    <w:rsid w:val="00FB22F1"/>
    <w:rsid w:val="023318B3"/>
    <w:rsid w:val="031873C5"/>
    <w:rsid w:val="032937EF"/>
    <w:rsid w:val="03B007D7"/>
    <w:rsid w:val="0549412E"/>
    <w:rsid w:val="06FB2A13"/>
    <w:rsid w:val="07E339C0"/>
    <w:rsid w:val="0A2C7CBF"/>
    <w:rsid w:val="0AE067BD"/>
    <w:rsid w:val="0C3A21DB"/>
    <w:rsid w:val="0D8B4FD3"/>
    <w:rsid w:val="0E4B0ADC"/>
    <w:rsid w:val="0FD15350"/>
    <w:rsid w:val="10944903"/>
    <w:rsid w:val="115940A7"/>
    <w:rsid w:val="118F438B"/>
    <w:rsid w:val="126A6029"/>
    <w:rsid w:val="129E0BD3"/>
    <w:rsid w:val="13997011"/>
    <w:rsid w:val="14CF0417"/>
    <w:rsid w:val="151976E7"/>
    <w:rsid w:val="161C0E9E"/>
    <w:rsid w:val="1A6B0260"/>
    <w:rsid w:val="1A87639F"/>
    <w:rsid w:val="1AE56C4B"/>
    <w:rsid w:val="1B0A6113"/>
    <w:rsid w:val="1B533C93"/>
    <w:rsid w:val="1ED93879"/>
    <w:rsid w:val="1FBE4330"/>
    <w:rsid w:val="1FC53FCA"/>
    <w:rsid w:val="1FEB1AA2"/>
    <w:rsid w:val="1FF615B4"/>
    <w:rsid w:val="206768FA"/>
    <w:rsid w:val="2148336D"/>
    <w:rsid w:val="21FD1716"/>
    <w:rsid w:val="22FD2989"/>
    <w:rsid w:val="23510FAA"/>
    <w:rsid w:val="23E261A0"/>
    <w:rsid w:val="24E0697D"/>
    <w:rsid w:val="29AD64B1"/>
    <w:rsid w:val="2AED47CB"/>
    <w:rsid w:val="2BF124A8"/>
    <w:rsid w:val="2CB20535"/>
    <w:rsid w:val="2CDA0D43"/>
    <w:rsid w:val="2DFB55AA"/>
    <w:rsid w:val="2ED14A6F"/>
    <w:rsid w:val="2ED44499"/>
    <w:rsid w:val="2F2720CC"/>
    <w:rsid w:val="311A20BE"/>
    <w:rsid w:val="313D15C8"/>
    <w:rsid w:val="33357461"/>
    <w:rsid w:val="353A595B"/>
    <w:rsid w:val="35680937"/>
    <w:rsid w:val="37544E44"/>
    <w:rsid w:val="388C78E0"/>
    <w:rsid w:val="38A47879"/>
    <w:rsid w:val="392D772B"/>
    <w:rsid w:val="39592ECA"/>
    <w:rsid w:val="395B58CE"/>
    <w:rsid w:val="3A4755EE"/>
    <w:rsid w:val="3A5B53F9"/>
    <w:rsid w:val="3B385674"/>
    <w:rsid w:val="3B50303D"/>
    <w:rsid w:val="3C9D53B6"/>
    <w:rsid w:val="3D6D71E2"/>
    <w:rsid w:val="3D781D5A"/>
    <w:rsid w:val="3DD774B4"/>
    <w:rsid w:val="4374300B"/>
    <w:rsid w:val="439C47EB"/>
    <w:rsid w:val="43F773F5"/>
    <w:rsid w:val="44FA3908"/>
    <w:rsid w:val="450E5498"/>
    <w:rsid w:val="45B74A60"/>
    <w:rsid w:val="46D00763"/>
    <w:rsid w:val="46DA175C"/>
    <w:rsid w:val="483338D2"/>
    <w:rsid w:val="4851767F"/>
    <w:rsid w:val="49161B40"/>
    <w:rsid w:val="49A71C51"/>
    <w:rsid w:val="49A72064"/>
    <w:rsid w:val="49D9060C"/>
    <w:rsid w:val="49FD5595"/>
    <w:rsid w:val="4B563A9E"/>
    <w:rsid w:val="4BF7408B"/>
    <w:rsid w:val="4C9B07E2"/>
    <w:rsid w:val="4E86573C"/>
    <w:rsid w:val="4ED87F66"/>
    <w:rsid w:val="4EE07F0D"/>
    <w:rsid w:val="4F081795"/>
    <w:rsid w:val="4F2204BE"/>
    <w:rsid w:val="506C761D"/>
    <w:rsid w:val="509003DA"/>
    <w:rsid w:val="51414C20"/>
    <w:rsid w:val="530059E8"/>
    <w:rsid w:val="536554BA"/>
    <w:rsid w:val="544E6243"/>
    <w:rsid w:val="55EC6FB5"/>
    <w:rsid w:val="570810B6"/>
    <w:rsid w:val="57790DF0"/>
    <w:rsid w:val="587422D4"/>
    <w:rsid w:val="5A24342A"/>
    <w:rsid w:val="5C0E612F"/>
    <w:rsid w:val="5C4D7443"/>
    <w:rsid w:val="5C7C1598"/>
    <w:rsid w:val="5D7210E8"/>
    <w:rsid w:val="60267B2E"/>
    <w:rsid w:val="6163648F"/>
    <w:rsid w:val="61F73FC3"/>
    <w:rsid w:val="62711E47"/>
    <w:rsid w:val="630B1171"/>
    <w:rsid w:val="63207667"/>
    <w:rsid w:val="64305EDF"/>
    <w:rsid w:val="647360BE"/>
    <w:rsid w:val="64F655D5"/>
    <w:rsid w:val="653545A9"/>
    <w:rsid w:val="655508EF"/>
    <w:rsid w:val="65567985"/>
    <w:rsid w:val="67C8259E"/>
    <w:rsid w:val="6846169F"/>
    <w:rsid w:val="68F72624"/>
    <w:rsid w:val="6C3C55D7"/>
    <w:rsid w:val="6C510FF0"/>
    <w:rsid w:val="6DD21F56"/>
    <w:rsid w:val="6EFC5392"/>
    <w:rsid w:val="6F2315B5"/>
    <w:rsid w:val="71124A8F"/>
    <w:rsid w:val="719602E1"/>
    <w:rsid w:val="71A3435E"/>
    <w:rsid w:val="73C21953"/>
    <w:rsid w:val="73C42A23"/>
    <w:rsid w:val="73F11520"/>
    <w:rsid w:val="747D4E27"/>
    <w:rsid w:val="74963F64"/>
    <w:rsid w:val="753B38F7"/>
    <w:rsid w:val="754D36C8"/>
    <w:rsid w:val="76890DEE"/>
    <w:rsid w:val="789A5D68"/>
    <w:rsid w:val="7A181FBF"/>
    <w:rsid w:val="7B67391E"/>
    <w:rsid w:val="7CCC19C2"/>
    <w:rsid w:val="7D8C2D86"/>
    <w:rsid w:val="7FC869B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3">
    <w:name w:val="annotation text"/>
    <w:basedOn w:val="1"/>
    <w:link w:val="20"/>
    <w:qFormat/>
    <w:uiPriority w:val="99"/>
    <w:pPr>
      <w:jc w:val="left"/>
    </w:pPr>
    <w:rPr>
      <w:rFonts w:ascii="Calibri" w:hAnsi="Calibri"/>
      <w:szCs w:val="22"/>
    </w:rPr>
  </w:style>
  <w:style w:type="paragraph" w:styleId="4">
    <w:name w:val="Body Text"/>
    <w:basedOn w:val="1"/>
    <w:qFormat/>
    <w:uiPriority w:val="0"/>
    <w:pPr>
      <w:spacing w:after="120"/>
    </w:pPr>
  </w:style>
  <w:style w:type="paragraph" w:styleId="5">
    <w:name w:val="footer"/>
    <w:basedOn w:val="1"/>
    <w:link w:val="19"/>
    <w:qFormat/>
    <w:uiPriority w:val="99"/>
    <w:pPr>
      <w:tabs>
        <w:tab w:val="center" w:pos="4153"/>
        <w:tab w:val="right" w:pos="8306"/>
      </w:tabs>
      <w:snapToGrid w:val="0"/>
      <w:jc w:val="left"/>
    </w:pPr>
    <w:rPr>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99"/>
    <w:rPr>
      <w:rFonts w:cs="Times New Roman"/>
    </w:rPr>
  </w:style>
  <w:style w:type="character" w:customStyle="1" w:styleId="10">
    <w:name w:val="公文标题"/>
    <w:basedOn w:val="8"/>
    <w:qFormat/>
    <w:uiPriority w:val="99"/>
    <w:rPr>
      <w:rFonts w:ascii="方正小标宋_GBK" w:hAnsi="华文中宋" w:eastAsia="方正小标宋_GBK" w:cs="Times New Roman"/>
      <w:color w:val="000000"/>
      <w:sz w:val="84"/>
      <w:szCs w:val="84"/>
    </w:rPr>
  </w:style>
  <w:style w:type="character" w:customStyle="1" w:styleId="11">
    <w:name w:val="公文正文"/>
    <w:basedOn w:val="8"/>
    <w:qFormat/>
    <w:uiPriority w:val="99"/>
    <w:rPr>
      <w:rFonts w:ascii="仿宋_GB2312" w:hAnsi="华文中宋" w:eastAsia="仿宋_GB2312" w:cs="Times New Roman"/>
      <w:color w:val="000000"/>
      <w:sz w:val="84"/>
      <w:szCs w:val="84"/>
    </w:rPr>
  </w:style>
  <w:style w:type="character" w:customStyle="1" w:styleId="12">
    <w:name w:val="公文文号"/>
    <w:basedOn w:val="8"/>
    <w:qFormat/>
    <w:uiPriority w:val="99"/>
    <w:rPr>
      <w:rFonts w:eastAsia="仿宋_GB2312" w:cs="Times New Roman"/>
      <w:sz w:val="32"/>
    </w:rPr>
  </w:style>
  <w:style w:type="character" w:customStyle="1" w:styleId="13">
    <w:name w:val="公文抄送"/>
    <w:basedOn w:val="8"/>
    <w:qFormat/>
    <w:uiPriority w:val="99"/>
    <w:rPr>
      <w:rFonts w:eastAsia="仿宋_GB2312" w:cs="Times New Roman"/>
      <w:sz w:val="28"/>
    </w:rPr>
  </w:style>
  <w:style w:type="character" w:customStyle="1" w:styleId="14">
    <w:name w:val="公文发出日期"/>
    <w:basedOn w:val="8"/>
    <w:qFormat/>
    <w:uiPriority w:val="99"/>
    <w:rPr>
      <w:rFonts w:eastAsia="仿宋_GB2312" w:cs="Times New Roman"/>
      <w:sz w:val="28"/>
      <w:szCs w:val="28"/>
    </w:rPr>
  </w:style>
  <w:style w:type="character" w:customStyle="1" w:styleId="15">
    <w:name w:val="公文签发日期"/>
    <w:basedOn w:val="8"/>
    <w:qFormat/>
    <w:uiPriority w:val="99"/>
    <w:rPr>
      <w:rFonts w:eastAsia="仿宋_GB2312" w:cs="Times New Roman"/>
      <w:color w:val="000000"/>
      <w:sz w:val="84"/>
      <w:szCs w:val="84"/>
    </w:rPr>
  </w:style>
  <w:style w:type="character" w:customStyle="1" w:styleId="16">
    <w:name w:val="Comment Text Char"/>
    <w:basedOn w:val="8"/>
    <w:qFormat/>
    <w:locked/>
    <w:uiPriority w:val="99"/>
    <w:rPr>
      <w:rFonts w:ascii="Calibri" w:hAnsi="Calibri" w:eastAsia="宋体" w:cs="Times New Roman"/>
      <w:kern w:val="2"/>
      <w:sz w:val="22"/>
      <w:szCs w:val="22"/>
      <w:lang w:val="en-US" w:eastAsia="zh-CN" w:bidi="ar-SA"/>
    </w:rPr>
  </w:style>
  <w:style w:type="character" w:customStyle="1" w:styleId="17">
    <w:name w:val="公文主送"/>
    <w:basedOn w:val="8"/>
    <w:qFormat/>
    <w:uiPriority w:val="99"/>
    <w:rPr>
      <w:rFonts w:eastAsia="仿宋_GB2312" w:cs="Times New Roman"/>
      <w:color w:val="000000"/>
      <w:sz w:val="84"/>
      <w:szCs w:val="84"/>
    </w:rPr>
  </w:style>
  <w:style w:type="character" w:customStyle="1" w:styleId="18">
    <w:name w:val="页眉 Char"/>
    <w:basedOn w:val="8"/>
    <w:link w:val="6"/>
    <w:semiHidden/>
    <w:qFormat/>
    <w:locked/>
    <w:uiPriority w:val="99"/>
    <w:rPr>
      <w:rFonts w:cs="Times New Roman"/>
      <w:sz w:val="18"/>
      <w:szCs w:val="18"/>
    </w:rPr>
  </w:style>
  <w:style w:type="character" w:customStyle="1" w:styleId="19">
    <w:name w:val="页脚 Char"/>
    <w:basedOn w:val="8"/>
    <w:link w:val="5"/>
    <w:semiHidden/>
    <w:qFormat/>
    <w:locked/>
    <w:uiPriority w:val="99"/>
    <w:rPr>
      <w:rFonts w:cs="Times New Roman"/>
      <w:sz w:val="18"/>
      <w:szCs w:val="18"/>
    </w:rPr>
  </w:style>
  <w:style w:type="character" w:customStyle="1" w:styleId="20">
    <w:name w:val="批注文字 Char"/>
    <w:basedOn w:val="8"/>
    <w:link w:val="3"/>
    <w:semiHidden/>
    <w:qFormat/>
    <w:locked/>
    <w:uiPriority w:val="99"/>
    <w:rPr>
      <w:rFonts w:cs="Times New Roman"/>
      <w:sz w:val="20"/>
      <w:szCs w:val="20"/>
    </w:rPr>
  </w:style>
  <w:style w:type="paragraph" w:styleId="2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13</Pages>
  <Words>902</Words>
  <Characters>5145</Characters>
  <Lines>42</Lines>
  <Paragraphs>12</Paragraphs>
  <TotalTime>0</TotalTime>
  <ScaleCrop>false</ScaleCrop>
  <LinksUpToDate>false</LinksUpToDate>
  <CharactersWithSpaces>6035</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2020-11-24T09:23:00Z</dcterms:created>
  <dc:creator>何国权</dc:creator>
  <cp:lastModifiedBy>dell3980-1</cp:lastModifiedBy>
  <cp:lastPrinted>2012-08-02T07:59:00Z</cp:lastPrinted>
  <dcterms:modified xsi:type="dcterms:W3CDTF">2020-12-21T07:19:06Z</dcterms:modified>
  <dc:title>昆明市人民政府办公厅文件</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