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eastAsia="方正小标宋_GBK"/>
          <w:color w:val="FF0000"/>
          <w:sz w:val="60"/>
          <w:szCs w:val="60"/>
        </w:rPr>
      </w:pPr>
    </w:p>
    <w:p>
      <w:pPr>
        <w:ind w:left="0" w:leftChars="0" w:right="-512" w:rightChars="-244" w:firstLine="0" w:firstLineChars="0"/>
        <w:rPr>
          <w:rFonts w:eastAsia="方正小标宋_GBK"/>
          <w:color w:val="FF0000"/>
          <w:sz w:val="96"/>
          <w:szCs w:val="96"/>
        </w:rPr>
      </w:pPr>
      <w:r>
        <w:rPr>
          <w:rFonts w:hint="eastAsia" w:ascii="方正小标宋简体" w:hAnsi="华文中宋" w:eastAsia="方正小标宋简体"/>
          <w:color w:val="FF0000"/>
          <w:spacing w:val="0"/>
          <w:w w:val="63"/>
          <w:sz w:val="96"/>
          <w:szCs w:val="96"/>
        </w:rPr>
        <w:t>昆明市官渡区</w:t>
      </w:r>
      <w:r>
        <w:rPr>
          <w:rFonts w:hint="eastAsia" w:ascii="方正小标宋简体" w:hAnsi="华文中宋" w:eastAsia="方正小标宋简体"/>
          <w:color w:val="FF0000"/>
          <w:spacing w:val="0"/>
          <w:w w:val="63"/>
          <w:sz w:val="96"/>
          <w:szCs w:val="96"/>
          <w:lang w:eastAsia="zh-CN"/>
        </w:rPr>
        <w:t>商务和投资促进局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pict>
          <v:line id="直接连接符 1" o:spid="_x0000_s1028" o:spt="20" style="position:absolute;left:0pt;flip:y;margin-left:-14.85pt;margin-top:1.95pt;height:3pt;width:451.2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A类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主动</w:t>
      </w:r>
      <w:r>
        <w:rPr>
          <w:rFonts w:hint="eastAsia" w:eastAsia="仿宋_GB2312" w:cs="仿宋_GB2312"/>
          <w:color w:val="000000"/>
          <w:sz w:val="32"/>
          <w:szCs w:val="32"/>
        </w:rPr>
        <w:t>公开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eastAsia="仿宋_GB2312" w:cs="仿宋_GB2312"/>
          <w:color w:val="000000"/>
          <w:sz w:val="32"/>
          <w:szCs w:val="32"/>
        </w:rPr>
        <w:t>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商投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color w:val="000000"/>
          <w:sz w:val="32"/>
          <w:szCs w:val="32"/>
        </w:rPr>
        <w:t>号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lang w:eastAsia="zh-CN"/>
        </w:rPr>
      </w:pPr>
      <w:r>
        <w:rPr>
          <w:rStyle w:val="12"/>
          <w:rFonts w:hint="eastAsia" w:ascii="方正小标宋_GBK" w:hAnsi="方正小标宋_GBK" w:eastAsia="方正小标宋_GBK" w:cs="方正小标宋_GBK"/>
          <w:lang w:eastAsia="zh-CN"/>
        </w:rPr>
        <w:t>关于官渡区第十六届人大四次会议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Style w:val="12"/>
          <w:rFonts w:hint="eastAsia" w:ascii="方正小标宋_GBK" w:hAnsi="方正小标宋_GBK" w:eastAsia="方正小标宋_GBK" w:cs="方正小标宋_GBK"/>
          <w:lang w:eastAsia="zh-CN"/>
        </w:rPr>
        <w:t>第</w:t>
      </w:r>
      <w:r>
        <w:rPr>
          <w:rStyle w:val="12"/>
          <w:rFonts w:hint="eastAsia" w:ascii="方正小标宋_GBK" w:hAnsi="方正小标宋_GBK" w:eastAsia="方正小标宋_GBK" w:cs="方正小标宋_GBK"/>
          <w:lang w:val="en-US" w:eastAsia="zh-CN"/>
        </w:rPr>
        <w:t>164061号建议答复的函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叶云翔代表：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您在昆明市官渡区第十六届人民代表大会第四次会议提出的第164061号《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推动我区会展产业新经济形态发展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全力打造昆明国际会展之都和“云之南”会议之都的建议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》收悉，现答复如下：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官渡区借助中国（云南）自由贸易试验区设立契机，依托会展产业集聚的先天资源优势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转化为发展优势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，助推会展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业创新驱动发展。全区会展业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呈现出展览活动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稳步提高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、会议活动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结构优化升级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、节庆活动市场持续繁荣、会展企业活力持续增强、会展经济效益稳步提升、政策保障体系不断健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。官渡区正着力构建优质营商环境，以逐步完善的政策体系为指引，有效提升我区引展办会、产业集聚、企业落地的魅力，促进会展业专业化、国际化、市场化运作。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您在“区第十六届人大四次会议164061号建议”中提出的意见，基本涵盖官渡区商务和投资促进局当前会展经济工作的核心部分，我局将结合工作职能采纳相关建议，并确保工作落到实处，具体情况如下：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——进一步完善区政府有关部门配合的大型展会联合执法机制，优化办展办会环境。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为促进我区会展市场繁荣，保障会展活动顺利举办，优化办展办会环境，展会服务保障机制基本采取以下三种方式，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1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由区级领导牵头，组建专门的展会筹备工作领导小组，下设领导小组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综合协调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办公室（设在官渡区商务和投资促进局）和多个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工作组（分别由牵头部门和配合部门组成，负责专项筹备工作的推进落实），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综合协调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办公室负责协同其它工作组多部门联动，统筹开展筹备工作相关事宜，重保障、稳落实有效完成筹备任务，如“南博会”、“商洽会”等；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1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10"/>
          <w:sz w:val="32"/>
          <w:szCs w:val="32"/>
          <w:lang w:val="en-US" w:eastAsia="zh-CN"/>
        </w:rPr>
        <w:t>对于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人流量大的展会活动，根据组展企业需求组织召开筹备工作会，落实政府协调事项，如“新春购物博览会、车博会”等；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1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以展会区级报备为基础，针对办展企业提出的问题和困难，协调区级部门解决，如“石博会、安防展”等。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——进一步完善我区会展相关扶持奖励政策，设立我区会展业发展专项资金。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促进会展业发展，充分发挥中国（云南）自由贸易试验区产业引导和激励市场的作用，有效构建会展产业体系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2020年7月8日，官渡区出台了云南省首个县区级会展专项政策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中国（云南）自由贸易试验区昆明片区官渡区域促进会展业高质量发展扶持办法(试行)》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明确由区级财政预算安排，设立会展业专项发展资金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，从展览项目、会议项目、会展行业企业、会展产业载体建设四个维度对行业进行扶持，扶持力度大、涉及层面广，实现了会展行业扶持的深度覆盖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2020年9月3日，官渡区商务和投资促进局联合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昆明市商务局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邀请昆明会展产业促进会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昆明市重点会展企业代表莅临官渡区，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召开《中国（云南）自由贸易试验区官渡区域促进会展业高质量发展扶持办法》政策宣讲会暨官渡区会展企业交流会，对扶持办法进行宣讲解读，并安排拨付2019年度会展企业扶持资金相关事项。官渡区政府2019年兑现会展业扶持资金181.83万元，2020年拟兑现460.43万元，较2019年度增加278.58万元，增幅达153.2%。2020年出台专项会展扶持政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会展政策扶持体系逐步完善，行业扶持已初见成效。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——统筹谋划会展产业园区的基础配套设施建设，推动区域城市功能完善升级。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为加快推进区域性国际会展中心区和会展资源聚集区建设，助力官渡区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推进昆明城市新中心建设取得新突破，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官渡区政府借助成立自贸区、创建全国文明城市，片区开发等契机，加快对会展片区交通、路网改造进程，推动城市功能布局完善；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昆明滇池国际会展中心片区继王府井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滇池小镇项目后，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8月28日，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南博智慧家居广场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盛大启幕，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俊发凯悦酒店也将于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2020年底封顶，2021年投入使用，将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有效聚力提升片区商业热度和魅力，助推片区交通、食宿、娱乐等基础设施完善，有助于片区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以会展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为核心，集会议展览、文化体验、休闲娱乐、商贸商业于一体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多业态共荣发展</w:t>
      </w:r>
      <w:r>
        <w:rPr>
          <w:rFonts w:hint="default" w:ascii="Times New Roman" w:hAnsi="Times New Roman" w:eastAsia="仿宋_GB2312" w:cs="Times New Roman"/>
          <w:iCs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官渡区商务和投资促进局依托《中国（云南）自由贸易试验区官渡区域促进会展业高质量发展扶持办法》，大力支持会展产业载体建设，对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打造会展特色楼宇（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产业园区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给以补助，</w:t>
      </w:r>
      <w:r>
        <w:rPr>
          <w:rFonts w:hint="default" w:ascii="Times New Roman" w:hAnsi="Times New Roman" w:eastAsia="仿宋_GB2312" w:cs="Times New Roman"/>
          <w:iCs/>
          <w:color w:val="000000"/>
          <w:kern w:val="0"/>
          <w:sz w:val="32"/>
          <w:szCs w:val="32"/>
          <w:lang w:eastAsia="zh-CN"/>
        </w:rPr>
        <w:t>助力区内会展企业集群式发展，改善企业“小、散、弱”的现状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下一步，官渡区商务和投资促进局将继续完善与市级、区级部门联动机制，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重保障抓实效，全力做好会展项目“落地、服务、保障”工作，为项目成功举办当好“服务员”和“店小二”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，提升我区优化办展办会环境；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依据扶持政策认真开展行业扶持培育工作，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拓宽行业扶持覆盖面，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实施及取得实效，真正发挥政策引领作用，促进行业高质量发展；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高度重视昆明滇池国际会展中心片区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协同发展，配合好相应部门做好服务保障工作，促进片区产业载体建设提质增速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（联系人及电话：李昌永0871-67171067，184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7981）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昆明市官渡区商务和投资促进局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2020年9月18日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641" w:tblpY="2024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抄送：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区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人大常委会人事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代表工</w:t>
            </w:r>
            <w:r>
              <w:rPr>
                <w:rFonts w:eastAsia="仿宋_GB2312"/>
                <w:color w:val="000000"/>
                <w:sz w:val="28"/>
                <w:szCs w:val="28"/>
              </w:rPr>
              <w:t>委、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区政府目督办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昆明市官渡区商务和投资促进局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             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eastAsia="仿宋_GB2312"/>
                <w:snapToGrid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spacing w:line="586" w:lineRule="exact"/>
        <w:rPr>
          <w:rFonts w:eastAsia="方正仿宋_GBK"/>
          <w:b/>
          <w:bCs/>
          <w:color w:val="000000"/>
          <w:sz w:val="30"/>
          <w:szCs w:val="30"/>
        </w:rPr>
      </w:pPr>
    </w:p>
    <w:p>
      <w:pPr>
        <w:ind w:firstLine="320" w:firstLineChars="100"/>
        <w:rPr>
          <w:rFonts w:hint="eastAsia" w:eastAsia="黑体" w:cs="黑体"/>
          <w:color w:val="000000"/>
          <w:sz w:val="32"/>
          <w:szCs w:val="32"/>
        </w:rPr>
      </w:pPr>
    </w:p>
    <w:p>
      <w:pPr>
        <w:rPr>
          <w:rFonts w:hint="eastAsia" w:eastAsia="黑体" w:cs="黑体"/>
          <w:color w:val="000000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D6037-3381-4D3D-AA1C-F0F953A353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9896A1-D988-4E4D-A795-670007C9BE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C1DCA8-0DB8-4970-A7B4-AD463C6BCC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38E1CCF-0B18-4E82-B18B-203FE33AD5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FB49959-C840-49F3-A97F-4BEEA2DE51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1B7A081-4B1F-4790-BA64-B0067FCE5BE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71747615-30BC-4A0A-B843-A1D8659F03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3"/>
      <w:ind w:left="210" w:leftChars="100" w:right="210" w:rightChars="1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73620"/>
    <w:rsid w:val="001B090F"/>
    <w:rsid w:val="00240BCB"/>
    <w:rsid w:val="003E229E"/>
    <w:rsid w:val="004333E5"/>
    <w:rsid w:val="004F609C"/>
    <w:rsid w:val="00571FBE"/>
    <w:rsid w:val="005F3846"/>
    <w:rsid w:val="00603538"/>
    <w:rsid w:val="006C5346"/>
    <w:rsid w:val="00732F9F"/>
    <w:rsid w:val="008603B6"/>
    <w:rsid w:val="00905264"/>
    <w:rsid w:val="00917CEC"/>
    <w:rsid w:val="00952BC0"/>
    <w:rsid w:val="00983EB5"/>
    <w:rsid w:val="009956BE"/>
    <w:rsid w:val="00B82252"/>
    <w:rsid w:val="00CC3F54"/>
    <w:rsid w:val="00CC6ECF"/>
    <w:rsid w:val="00DE7D9C"/>
    <w:rsid w:val="00E24ED9"/>
    <w:rsid w:val="00E73F1A"/>
    <w:rsid w:val="00EA598F"/>
    <w:rsid w:val="00ED12CF"/>
    <w:rsid w:val="00EE08C6"/>
    <w:rsid w:val="00F111FE"/>
    <w:rsid w:val="012B7EF8"/>
    <w:rsid w:val="02FB748D"/>
    <w:rsid w:val="0A3D07AD"/>
    <w:rsid w:val="17251ED7"/>
    <w:rsid w:val="189E55E8"/>
    <w:rsid w:val="18CE3335"/>
    <w:rsid w:val="192F4936"/>
    <w:rsid w:val="1A663CB3"/>
    <w:rsid w:val="1D317F24"/>
    <w:rsid w:val="1D5079AF"/>
    <w:rsid w:val="1E04472D"/>
    <w:rsid w:val="1E2D4C07"/>
    <w:rsid w:val="23CB6917"/>
    <w:rsid w:val="24377DF9"/>
    <w:rsid w:val="2681534E"/>
    <w:rsid w:val="29790593"/>
    <w:rsid w:val="36765614"/>
    <w:rsid w:val="3A7E135F"/>
    <w:rsid w:val="3ABC77F5"/>
    <w:rsid w:val="3EF3904F"/>
    <w:rsid w:val="48734F42"/>
    <w:rsid w:val="48D652DD"/>
    <w:rsid w:val="48E22B59"/>
    <w:rsid w:val="49975A5C"/>
    <w:rsid w:val="53A074F7"/>
    <w:rsid w:val="57EC733C"/>
    <w:rsid w:val="57F209AF"/>
    <w:rsid w:val="5B3D5093"/>
    <w:rsid w:val="5BDE05D8"/>
    <w:rsid w:val="5C492382"/>
    <w:rsid w:val="5C8A3025"/>
    <w:rsid w:val="5CF71374"/>
    <w:rsid w:val="5E884A20"/>
    <w:rsid w:val="5E92369B"/>
    <w:rsid w:val="5F86EA58"/>
    <w:rsid w:val="5F9E4EC0"/>
    <w:rsid w:val="61531FC5"/>
    <w:rsid w:val="65107A12"/>
    <w:rsid w:val="66D02156"/>
    <w:rsid w:val="6CBF6784"/>
    <w:rsid w:val="79D86905"/>
    <w:rsid w:val="7C9272F0"/>
    <w:rsid w:val="7E94524C"/>
    <w:rsid w:val="7F6A6672"/>
    <w:rsid w:val="7F6D7852"/>
    <w:rsid w:val="7FD759A9"/>
    <w:rsid w:val="96FF4248"/>
    <w:rsid w:val="9D55294D"/>
    <w:rsid w:val="9DE5F216"/>
    <w:rsid w:val="9DF3AA93"/>
    <w:rsid w:val="BE87D29A"/>
    <w:rsid w:val="BF5B052C"/>
    <w:rsid w:val="BFC7F4E4"/>
    <w:rsid w:val="DB1D3972"/>
    <w:rsid w:val="DDB79959"/>
    <w:rsid w:val="DEFFE498"/>
    <w:rsid w:val="E3F73620"/>
    <w:rsid w:val="E6FFB3D3"/>
    <w:rsid w:val="EBC79ACB"/>
    <w:rsid w:val="EF5B0CDD"/>
    <w:rsid w:val="F7BDC024"/>
    <w:rsid w:val="F7CF0E51"/>
    <w:rsid w:val="FDF420CE"/>
    <w:rsid w:val="FFF7B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Char Char Char Char Char Char Char Char Char Char Char Char"/>
    <w:basedOn w:val="1"/>
    <w:next w:val="2"/>
    <w:link w:val="7"/>
    <w:qFormat/>
    <w:uiPriority w:val="0"/>
    <w:rPr>
      <w:szCs w:val="24"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0">
    <w:name w:val="Char"/>
    <w:basedOn w:val="1"/>
    <w:qFormat/>
    <w:uiPriority w:val="0"/>
    <w:rPr>
      <w:szCs w:val="20"/>
    </w:rPr>
  </w:style>
  <w:style w:type="character" w:customStyle="1" w:styleId="11">
    <w:name w:val="公文文号"/>
    <w:basedOn w:val="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2">
    <w:name w:val="公文标题"/>
    <w:basedOn w:val="7"/>
    <w:qFormat/>
    <w:uiPriority w:val="0"/>
    <w:rPr>
      <w:rFonts w:ascii="方正小标宋_GBK" w:hAnsi="华文中宋" w:eastAsia="方正小标宋_GBK" w:cs="Times New Roman"/>
      <w:color w:val="000000"/>
      <w:sz w:val="44"/>
      <w:szCs w:val="84"/>
    </w:rPr>
  </w:style>
  <w:style w:type="character" w:customStyle="1" w:styleId="13">
    <w:name w:val="公文正文"/>
    <w:basedOn w:val="7"/>
    <w:qFormat/>
    <w:uiPriority w:val="0"/>
    <w:rPr>
      <w:rFonts w:ascii="仿宋_GB2312" w:hAnsi="华文中宋" w:eastAsia="仿宋_GB2312" w:cs="Times New Roman"/>
      <w:color w:val="000000"/>
      <w:sz w:val="32"/>
      <w:szCs w:val="84"/>
    </w:rPr>
  </w:style>
  <w:style w:type="character" w:customStyle="1" w:styleId="14">
    <w:name w:val="公文签发日期"/>
    <w:basedOn w:val="7"/>
    <w:qFormat/>
    <w:uiPriority w:val="0"/>
    <w:rPr>
      <w:rFonts w:ascii="Times New Roman" w:hAnsi="Times New Roman" w:eastAsia="仿宋_GB2312" w:cs="Times New Roman"/>
      <w:color w:val="000000"/>
      <w:sz w:val="32"/>
      <w:szCs w:val="84"/>
    </w:rPr>
  </w:style>
  <w:style w:type="character" w:customStyle="1" w:styleId="15">
    <w:name w:val="公文抄送"/>
    <w:basedOn w:val="7"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16">
    <w:name w:val="公文发出日期"/>
    <w:basedOn w:val="7"/>
    <w:qFormat/>
    <w:uiPriority w:val="0"/>
    <w:rPr>
      <w:rFonts w:ascii="Times New Roman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2020-08-07T03:02:00Z</dcterms:created>
  <dc:creator>区商务和投资促进局（区中小企业局）【收文员】</dc:creator>
  <cp:lastModifiedBy>。。。</cp:lastModifiedBy>
  <cp:lastPrinted>2020-09-18T06:41:00Z</cp:lastPrinted>
  <dcterms:modified xsi:type="dcterms:W3CDTF">2022-02-21T08:59:53Z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1A8052CC986945FCA9990C48664EC6E5</vt:lpwstr>
  </property>
</Properties>
</file>