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87" w:rsidRDefault="00983387" w:rsidP="007A18BD">
      <w:pPr>
        <w:adjustRightInd w:val="0"/>
        <w:snapToGrid w:val="0"/>
        <w:spacing w:line="960" w:lineRule="exact"/>
        <w:jc w:val="center"/>
        <w:rPr>
          <w:rFonts w:ascii="方正小标宋简体" w:eastAsia="方正小标宋简体" w:hAnsi="华文中宋"/>
          <w:snapToGrid w:val="0"/>
          <w:color w:val="FF0000"/>
          <w:w w:val="62"/>
          <w:kern w:val="0"/>
          <w:sz w:val="72"/>
          <w:szCs w:val="72"/>
        </w:rPr>
      </w:pPr>
    </w:p>
    <w:tbl>
      <w:tblPr>
        <w:tblW w:w="15216" w:type="dxa"/>
        <w:tblLayout w:type="fixed"/>
        <w:tblLook w:val="04A0"/>
      </w:tblPr>
      <w:tblGrid>
        <w:gridCol w:w="625"/>
        <w:gridCol w:w="907"/>
        <w:gridCol w:w="2031"/>
        <w:gridCol w:w="3863"/>
        <w:gridCol w:w="2108"/>
        <w:gridCol w:w="682"/>
        <w:gridCol w:w="2340"/>
        <w:gridCol w:w="1350"/>
        <w:gridCol w:w="1310"/>
      </w:tblGrid>
      <w:tr w:rsidR="00A704EB" w:rsidRPr="00BB311A" w:rsidTr="005945A9">
        <w:trPr>
          <w:trHeight w:val="855"/>
          <w:tblHeader/>
        </w:trPr>
        <w:tc>
          <w:tcPr>
            <w:tcW w:w="15216" w:type="dxa"/>
            <w:gridSpan w:val="9"/>
            <w:tcBorders>
              <w:bottom w:val="single" w:sz="4" w:space="0" w:color="auto"/>
            </w:tcBorders>
          </w:tcPr>
          <w:p w:rsidR="00A704EB" w:rsidRDefault="00A704EB" w:rsidP="005945A9">
            <w:pPr>
              <w:widowControl/>
              <w:spacing w:line="500" w:lineRule="exact"/>
              <w:ind w:firstLine="880"/>
              <w:jc w:val="center"/>
              <w:rPr>
                <w:rFonts w:ascii="方正小标宋_GBK" w:eastAsia="方正小标宋_GBK" w:hAnsi="Times New Roman" w:cs="Times New Roman"/>
                <w:b/>
                <w:bCs/>
                <w:kern w:val="0"/>
                <w:szCs w:val="21"/>
              </w:rPr>
            </w:pPr>
            <w:bookmarkStart w:id="0" w:name="_GoBack"/>
            <w:bookmarkEnd w:id="0"/>
            <w:r>
              <w:rPr>
                <w:rFonts w:ascii="方正小标宋_GBK" w:eastAsia="方正小标宋_GBK" w:hAnsi="Times New Roman" w:cs="Times New Roman"/>
                <w:kern w:val="0"/>
                <w:sz w:val="44"/>
                <w:szCs w:val="44"/>
              </w:rPr>
              <w:t>2020年度</w:t>
            </w:r>
            <w:r>
              <w:rPr>
                <w:rFonts w:ascii="方正小标宋_GBK" w:eastAsia="方正小标宋_GBK" w:hAnsi="Times New Roman" w:cs="Times New Roman" w:hint="eastAsia"/>
                <w:kern w:val="0"/>
                <w:sz w:val="44"/>
                <w:szCs w:val="44"/>
              </w:rPr>
              <w:t>官渡区</w:t>
            </w:r>
            <w:r>
              <w:rPr>
                <w:rFonts w:ascii="方正小标宋_GBK" w:eastAsia="方正小标宋_GBK" w:hAnsi="Times New Roman" w:cs="Times New Roman"/>
                <w:kern w:val="0"/>
                <w:sz w:val="44"/>
                <w:szCs w:val="44"/>
              </w:rPr>
              <w:t>市场监管领域相关</w:t>
            </w:r>
            <w:r>
              <w:rPr>
                <w:rFonts w:ascii="方正小标宋_GBK" w:eastAsia="方正小标宋_GBK" w:hAnsi="Times New Roman" w:cs="Times New Roman" w:hint="eastAsia"/>
                <w:kern w:val="0"/>
                <w:sz w:val="44"/>
                <w:szCs w:val="44"/>
              </w:rPr>
              <w:t>部门双随机抽查工作计划</w:t>
            </w:r>
          </w:p>
        </w:tc>
      </w:tr>
      <w:tr w:rsidR="00A704EB" w:rsidTr="005945A9">
        <w:trPr>
          <w:trHeight w:val="855"/>
          <w:tblHeader/>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A704EB" w:rsidP="005945A9">
            <w:pPr>
              <w:widowControl/>
              <w:spacing w:line="240" w:lineRule="exact"/>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序号</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部门</w:t>
            </w:r>
          </w:p>
        </w:tc>
        <w:tc>
          <w:tcPr>
            <w:tcW w:w="2031"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计划任务名称</w:t>
            </w:r>
          </w:p>
        </w:tc>
        <w:tc>
          <w:tcPr>
            <w:tcW w:w="3863"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抽查事项</w:t>
            </w:r>
          </w:p>
        </w:tc>
        <w:tc>
          <w:tcPr>
            <w:tcW w:w="2108"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检查对象</w:t>
            </w:r>
          </w:p>
        </w:tc>
        <w:tc>
          <w:tcPr>
            <w:tcW w:w="682"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抽查比例</w:t>
            </w:r>
          </w:p>
        </w:tc>
        <w:tc>
          <w:tcPr>
            <w:tcW w:w="2340"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任务时间</w:t>
            </w:r>
          </w:p>
        </w:tc>
        <w:tc>
          <w:tcPr>
            <w:tcW w:w="1350"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检查主体</w:t>
            </w:r>
          </w:p>
        </w:tc>
        <w:tc>
          <w:tcPr>
            <w:tcW w:w="1310"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备注</w:t>
            </w:r>
          </w:p>
        </w:tc>
      </w:tr>
      <w:tr w:rsidR="00A704EB" w:rsidTr="005945A9">
        <w:trPr>
          <w:trHeight w:val="1477"/>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r>
              <w:rPr>
                <w:rFonts w:asciiTheme="minorEastAsia" w:hAnsiTheme="minorEastAsia" w:cstheme="minorEastAsia" w:hint="eastAsia"/>
                <w:sz w:val="20"/>
                <w:szCs w:val="20"/>
              </w:rPr>
              <w:t>（13项）</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C53C1E">
              <w:rPr>
                <w:rFonts w:asciiTheme="minorEastAsia" w:hAnsiTheme="minorEastAsia" w:cstheme="minorEastAsia" w:hint="eastAsia"/>
                <w:sz w:val="20"/>
                <w:szCs w:val="20"/>
              </w:rPr>
              <w:t>劳务派遣</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1.劳务派遣单位与被派遣劳动者订立的劳动合同是否载明劳动合同必备条款；</w:t>
            </w:r>
          </w:p>
          <w:p w:rsidR="00A704EB"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2. 劳务派遣单位是否存在没有与劳动者签订二年以上固定期限劳动合同的情形</w:t>
            </w:r>
            <w:r>
              <w:rPr>
                <w:rFonts w:asciiTheme="minorEastAsia" w:hAnsiTheme="minorEastAsia" w:cstheme="minorEastAsia" w:hint="eastAsia"/>
                <w:sz w:val="20"/>
                <w:szCs w:val="20"/>
              </w:rPr>
              <w:t>；</w:t>
            </w:r>
            <w:r w:rsidRPr="00B80F0E">
              <w:rPr>
                <w:rFonts w:asciiTheme="minorEastAsia" w:hAnsiTheme="minorEastAsia" w:cstheme="minorEastAsia" w:hint="eastAsia"/>
                <w:sz w:val="20"/>
                <w:szCs w:val="20"/>
              </w:rPr>
              <w:t>3. 被派遣劳动者在无工作期间，劳务派遣单位是否存在未按照所在地人民政府最低工资标准向其按月支付工资报酬的情形</w:t>
            </w:r>
            <w:r>
              <w:rPr>
                <w:rFonts w:asciiTheme="minorEastAsia" w:hAnsiTheme="minorEastAsia" w:cstheme="minorEastAsia" w:hint="eastAsia"/>
                <w:sz w:val="20"/>
                <w:szCs w:val="20"/>
              </w:rPr>
              <w:t>；</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4.劳务派遣单位派遣劳动者，是否存在未与用工单位签订劳务派遣协议，或者协议内容未约定派遣岗位和人员数量、派遣期限、劳动报酬和社保费用的数额与支付方式以及违反协议责任的情形；</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5.劳务派遣单位是否存在未将劳务派遣协议的内容告知被派遣劳动者的情形；</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6.劳务派遣单位是否存在克扣用工单位按照劳务派遣协议支付给被派遣劳动者的劳动报酬的情形；</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7.劳务派遣单位是否存在向被派遣者收取费用的情形；</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8.用工单位是否存在向被派遣劳动者收取费用的情形；</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9.用工单位是否存在设立劳务派遣单位向本单位或所属单位派遣劳动者的情形；</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10.用工单位是否存在未根据工作岗位的实际需要与劳务派遣单位确定派遣期限，或者将连续用工期限分割订立数个短期劳务派遣协议的情形；</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11.用工单位是否存在未依法履行第62条</w:t>
            </w:r>
            <w:r w:rsidRPr="00B80F0E">
              <w:rPr>
                <w:rFonts w:asciiTheme="minorEastAsia" w:eastAsiaTheme="minorEastAsia" w:hAnsiTheme="minorEastAsia" w:cstheme="minorEastAsia" w:hint="eastAsia"/>
                <w:sz w:val="20"/>
                <w:szCs w:val="20"/>
              </w:rPr>
              <w:lastRenderedPageBreak/>
              <w:t>第1款的情形；</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12.用工单位是否有将被派遣劳动者再派遣到其他用人单位的情形；</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13.单位或个人是否存在未经许可，擅自经营劳务派遣业务的情形；</w:t>
            </w:r>
          </w:p>
          <w:p w:rsidR="00A704EB"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14.劳务派遣单位在申请《劳务派遣经营许可证》时是否存在《劳务派遣行政许可实施办法》第33条第1、2、3项的行为；</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15.用工单位是否存在在临时性、辅助性或者替代性岗位以外的岗位上使用被派遣劳动者的情形；</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16.用工单位决定使用被派遣劳动者是否履行了《劳务派遣暂行规定》第3条第3款的法定程序；</w:t>
            </w:r>
          </w:p>
          <w:p w:rsidR="00A704EB" w:rsidRPr="00B80F0E" w:rsidRDefault="00A704EB" w:rsidP="005945A9">
            <w:pPr>
              <w:pStyle w:val="a5"/>
              <w:spacing w:after="0" w:line="240" w:lineRule="exact"/>
              <w:ind w:firstLineChars="0" w:firstLine="0"/>
              <w:rPr>
                <w:rFonts w:asciiTheme="minorEastAsia" w:eastAsiaTheme="minorEastAsia" w:hAnsiTheme="minorEastAsia" w:cstheme="minorEastAsia"/>
                <w:sz w:val="20"/>
                <w:szCs w:val="20"/>
              </w:rPr>
            </w:pPr>
            <w:r w:rsidRPr="00B80F0E">
              <w:rPr>
                <w:rFonts w:asciiTheme="minorEastAsia" w:eastAsiaTheme="minorEastAsia" w:hAnsiTheme="minorEastAsia" w:cstheme="minorEastAsia" w:hint="eastAsia"/>
                <w:sz w:val="20"/>
                <w:szCs w:val="20"/>
              </w:rPr>
              <w:t>17.用工单位是否存在违法退回被派遣劳动者的情形。</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C53C1E">
              <w:rPr>
                <w:rFonts w:asciiTheme="minorEastAsia" w:hAnsiTheme="minorEastAsia" w:cstheme="minorEastAsia" w:hint="eastAsia"/>
                <w:sz w:val="20"/>
                <w:szCs w:val="20"/>
              </w:rPr>
              <w:lastRenderedPageBreak/>
              <w:t>企业、社会团体、民办非企业、基金会、律师事务所、会计师事务所等组织</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sz w:val="20"/>
                <w:szCs w:val="20"/>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2020年4—6月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1511"/>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r>
              <w:rPr>
                <w:rFonts w:asciiTheme="minorEastAsia" w:hAnsiTheme="minorEastAsia" w:cstheme="minorEastAsia" w:hint="eastAsia"/>
                <w:sz w:val="20"/>
                <w:szCs w:val="20"/>
              </w:rPr>
              <w:t>（13项）</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人力资源服务</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B80F0E"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1.</w:t>
            </w:r>
            <w:r w:rsidRPr="00B80F0E">
              <w:rPr>
                <w:rFonts w:asciiTheme="minorEastAsia" w:hAnsiTheme="minorEastAsia" w:cstheme="minorEastAsia" w:hint="eastAsia"/>
                <w:sz w:val="20"/>
                <w:szCs w:val="20"/>
              </w:rPr>
              <w:t>单位或个人是否存在未经许可和登记擅自从事职业中介活动的情形</w:t>
            </w:r>
            <w:r>
              <w:rPr>
                <w:rFonts w:asciiTheme="minorEastAsia" w:hAnsiTheme="minorEastAsia" w:cstheme="minorEastAsia" w:hint="eastAsia"/>
                <w:sz w:val="20"/>
                <w:szCs w:val="20"/>
              </w:rPr>
              <w:t>；</w:t>
            </w:r>
          </w:p>
          <w:p w:rsidR="00A704EB" w:rsidRPr="00B80F0E"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2.</w:t>
            </w:r>
            <w:r w:rsidRPr="00B80F0E">
              <w:rPr>
                <w:rFonts w:asciiTheme="minorEastAsia" w:hAnsiTheme="minorEastAsia" w:cstheme="minorEastAsia" w:hint="eastAsia"/>
                <w:sz w:val="20"/>
                <w:szCs w:val="20"/>
              </w:rPr>
              <w:t>职业中介机构是否存在提供虚假就业信息，为无合法证照的用人单位提供职业中介服务，伪造、涂改、转让职业中介许可证行为</w:t>
            </w:r>
            <w:r>
              <w:rPr>
                <w:rFonts w:asciiTheme="minorEastAsia" w:hAnsiTheme="minorEastAsia" w:cstheme="minorEastAsia" w:hint="eastAsia"/>
                <w:sz w:val="20"/>
                <w:szCs w:val="20"/>
              </w:rPr>
              <w:t>；</w:t>
            </w:r>
          </w:p>
          <w:p w:rsidR="00A704EB" w:rsidRPr="00B80F0E"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3.</w:t>
            </w:r>
            <w:r w:rsidRPr="00B80F0E">
              <w:rPr>
                <w:rFonts w:asciiTheme="minorEastAsia" w:hAnsiTheme="minorEastAsia" w:cstheme="minorEastAsia" w:hint="eastAsia"/>
                <w:sz w:val="20"/>
                <w:szCs w:val="20"/>
              </w:rPr>
              <w:t>职业介绍机构没有出卖、出租、转借或复印张贴职业介绍许可证，经责令改正逾期不改正的行为</w:t>
            </w:r>
            <w:r>
              <w:rPr>
                <w:rFonts w:asciiTheme="minorEastAsia" w:hAnsiTheme="minorEastAsia" w:cstheme="minorEastAsia" w:hint="eastAsia"/>
                <w:sz w:val="20"/>
                <w:szCs w:val="20"/>
              </w:rPr>
              <w:t>；</w:t>
            </w:r>
          </w:p>
          <w:p w:rsidR="00A704EB" w:rsidRPr="00B80F0E"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4.</w:t>
            </w:r>
            <w:r w:rsidRPr="00B80F0E">
              <w:rPr>
                <w:rFonts w:asciiTheme="minorEastAsia" w:hAnsiTheme="minorEastAsia" w:cstheme="minorEastAsia" w:hint="eastAsia"/>
                <w:sz w:val="20"/>
                <w:szCs w:val="20"/>
              </w:rPr>
              <w:t>职业中介机构是否存在扣押劳动者居民身份证等证件的行为</w:t>
            </w:r>
            <w:r>
              <w:rPr>
                <w:rFonts w:asciiTheme="minorEastAsia" w:hAnsiTheme="minorEastAsia" w:cstheme="minorEastAsia" w:hint="eastAsia"/>
                <w:sz w:val="20"/>
                <w:szCs w:val="20"/>
              </w:rPr>
              <w:t>；</w:t>
            </w:r>
          </w:p>
          <w:p w:rsidR="00A704EB" w:rsidRPr="00B80F0E"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5.</w:t>
            </w:r>
            <w:r w:rsidRPr="00B80F0E">
              <w:rPr>
                <w:rFonts w:asciiTheme="minorEastAsia" w:hAnsiTheme="minorEastAsia" w:cstheme="minorEastAsia" w:hint="eastAsia"/>
                <w:sz w:val="20"/>
                <w:szCs w:val="20"/>
              </w:rPr>
              <w:t>职业中介机构是否存在向劳动者收取押金的行为</w:t>
            </w:r>
            <w:r>
              <w:rPr>
                <w:rFonts w:asciiTheme="minorEastAsia" w:hAnsiTheme="minorEastAsia" w:cstheme="minorEastAsia" w:hint="eastAsia"/>
                <w:sz w:val="20"/>
                <w:szCs w:val="20"/>
              </w:rPr>
              <w:t>；</w:t>
            </w:r>
          </w:p>
          <w:p w:rsidR="00A704EB" w:rsidRPr="00B80F0E"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6.</w:t>
            </w:r>
            <w:r w:rsidRPr="00B80F0E">
              <w:rPr>
                <w:rFonts w:asciiTheme="minorEastAsia" w:hAnsiTheme="minorEastAsia" w:cstheme="minorEastAsia" w:hint="eastAsia"/>
                <w:sz w:val="20"/>
                <w:szCs w:val="20"/>
              </w:rPr>
              <w:t>职业中介机构是否存在未明示职业中介许可证、监督电话的情形</w:t>
            </w:r>
            <w:r>
              <w:rPr>
                <w:rFonts w:asciiTheme="minorEastAsia" w:hAnsiTheme="minorEastAsia" w:cstheme="minorEastAsia" w:hint="eastAsia"/>
                <w:sz w:val="20"/>
                <w:szCs w:val="20"/>
              </w:rPr>
              <w:t>；</w:t>
            </w:r>
          </w:p>
          <w:p w:rsidR="00A704EB" w:rsidRPr="00B80F0E"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7.</w:t>
            </w:r>
            <w:r w:rsidRPr="00B80F0E">
              <w:rPr>
                <w:rFonts w:asciiTheme="minorEastAsia" w:hAnsiTheme="minorEastAsia" w:cstheme="minorEastAsia" w:hint="eastAsia"/>
                <w:sz w:val="20"/>
                <w:szCs w:val="20"/>
              </w:rPr>
              <w:t>职业中介机构是否存在未建立服务台</w:t>
            </w:r>
            <w:r w:rsidRPr="00B80F0E">
              <w:rPr>
                <w:rFonts w:asciiTheme="minorEastAsia" w:hAnsiTheme="minorEastAsia" w:cstheme="minorEastAsia" w:hint="eastAsia"/>
                <w:sz w:val="20"/>
                <w:szCs w:val="20"/>
              </w:rPr>
              <w:lastRenderedPageBreak/>
              <w:t>帐，或虽建立服务台帐但未记录服务对象、服务过程、服务结果和收费情况的情形</w:t>
            </w:r>
            <w:r>
              <w:rPr>
                <w:rFonts w:asciiTheme="minorEastAsia" w:hAnsiTheme="minorEastAsia" w:cstheme="minorEastAsia" w:hint="eastAsia"/>
                <w:sz w:val="20"/>
                <w:szCs w:val="20"/>
              </w:rPr>
              <w:t>；</w:t>
            </w:r>
          </w:p>
          <w:p w:rsidR="00A704EB" w:rsidRPr="00B80F0E"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8.</w:t>
            </w:r>
            <w:r w:rsidRPr="00B80F0E">
              <w:rPr>
                <w:rFonts w:asciiTheme="minorEastAsia" w:hAnsiTheme="minorEastAsia" w:cstheme="minorEastAsia" w:hint="eastAsia"/>
                <w:sz w:val="20"/>
                <w:szCs w:val="20"/>
              </w:rPr>
              <w:t>职业中介机构在职业中介服务不成功后是否存在未向劳动者退还所收取的中介服务费等行为</w:t>
            </w:r>
            <w:r>
              <w:rPr>
                <w:rFonts w:asciiTheme="minorEastAsia" w:hAnsiTheme="minorEastAsia" w:cstheme="minorEastAsia" w:hint="eastAsia"/>
                <w:sz w:val="20"/>
                <w:szCs w:val="20"/>
              </w:rPr>
              <w:t>；</w:t>
            </w:r>
          </w:p>
          <w:p w:rsidR="00A704EB" w:rsidRPr="00B80F0E"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9.</w:t>
            </w:r>
            <w:r w:rsidRPr="00B80F0E">
              <w:rPr>
                <w:rFonts w:asciiTheme="minorEastAsia" w:hAnsiTheme="minorEastAsia" w:cstheme="minorEastAsia" w:hint="eastAsia"/>
                <w:sz w:val="20"/>
                <w:szCs w:val="20"/>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r>
              <w:rPr>
                <w:rFonts w:asciiTheme="minorEastAsia" w:hAnsiTheme="minorEastAsia" w:cstheme="minorEastAsia" w:hint="eastAsia"/>
                <w:sz w:val="20"/>
                <w:szCs w:val="20"/>
              </w:rPr>
              <w:t>；</w:t>
            </w:r>
          </w:p>
          <w:p w:rsidR="00A704EB" w:rsidRPr="00B80F0E"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10.</w:t>
            </w:r>
            <w:r w:rsidRPr="00B80F0E">
              <w:rPr>
                <w:rFonts w:asciiTheme="minorEastAsia" w:hAnsiTheme="minorEastAsia" w:cstheme="minorEastAsia" w:hint="eastAsia"/>
                <w:sz w:val="20"/>
                <w:szCs w:val="20"/>
              </w:rPr>
              <w:t>职业介绍机构是否使用欺诈、诱惑、胁迫等手段进行职业介绍活动；职业介绍机构是否经劳动行政部门批准组织劳动力供求洽谈会、组织劳动者跨县（市、区）流动就业和开展职业培训</w:t>
            </w:r>
            <w:r>
              <w:rPr>
                <w:rFonts w:asciiTheme="minorEastAsia" w:hAnsiTheme="minorEastAsia" w:cstheme="minorEastAsia" w:hint="eastAsia"/>
                <w:sz w:val="20"/>
                <w:szCs w:val="20"/>
              </w:rPr>
              <w:t>；</w:t>
            </w:r>
          </w:p>
          <w:p w:rsidR="00A704EB" w:rsidRPr="00B80F0E"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11.</w:t>
            </w:r>
            <w:r w:rsidRPr="00B80F0E">
              <w:rPr>
                <w:rFonts w:asciiTheme="minorEastAsia" w:hAnsiTheme="minorEastAsia" w:cstheme="minorEastAsia" w:hint="eastAsia"/>
                <w:sz w:val="20"/>
                <w:szCs w:val="20"/>
              </w:rPr>
              <w:t>职业介绍专职工作人员是否存在未取得职业介绍培训合格证而上岗的情况</w:t>
            </w:r>
            <w:r>
              <w:rPr>
                <w:rFonts w:asciiTheme="minorEastAsia" w:hAnsiTheme="minorEastAsia" w:cstheme="minorEastAsia" w:hint="eastAsia"/>
                <w:sz w:val="20"/>
                <w:szCs w:val="20"/>
              </w:rPr>
              <w:t>；</w:t>
            </w:r>
          </w:p>
          <w:p w:rsidR="00A704EB" w:rsidRPr="00B80F0E"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省外职业介绍机构是否有在我省未经批准</w:t>
            </w:r>
            <w:r>
              <w:rPr>
                <w:rFonts w:asciiTheme="minorEastAsia" w:hAnsiTheme="minorEastAsia" w:cstheme="minorEastAsia" w:hint="eastAsia"/>
                <w:sz w:val="20"/>
                <w:szCs w:val="20"/>
              </w:rPr>
              <w:t>12.</w:t>
            </w:r>
            <w:r w:rsidRPr="00B80F0E">
              <w:rPr>
                <w:rFonts w:asciiTheme="minorEastAsia" w:hAnsiTheme="minorEastAsia" w:cstheme="minorEastAsia" w:hint="eastAsia"/>
                <w:sz w:val="20"/>
                <w:szCs w:val="20"/>
              </w:rPr>
              <w:t>从事职业介绍活动的情况</w:t>
            </w:r>
            <w:r>
              <w:rPr>
                <w:rFonts w:asciiTheme="minorEastAsia" w:hAnsiTheme="minorEastAsia" w:cstheme="minorEastAsia" w:hint="eastAsia"/>
                <w:sz w:val="20"/>
                <w:szCs w:val="20"/>
              </w:rPr>
              <w:t>；</w:t>
            </w:r>
          </w:p>
          <w:p w:rsidR="00A704EB" w:rsidRDefault="00A704EB" w:rsidP="005945A9">
            <w:pPr>
              <w:widowControl/>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13.</w:t>
            </w:r>
            <w:r w:rsidRPr="00B80F0E">
              <w:rPr>
                <w:rFonts w:asciiTheme="minorEastAsia" w:hAnsiTheme="minorEastAsia" w:cstheme="minorEastAsia" w:hint="eastAsia"/>
                <w:sz w:val="20"/>
                <w:szCs w:val="20"/>
              </w:rPr>
              <w:t>职业介绍机构是否违反国家有关职业介绍规定（国家法律、法规、规章强制性规定）</w:t>
            </w:r>
            <w:r>
              <w:rPr>
                <w:rFonts w:asciiTheme="minorEastAsia" w:hAnsiTheme="minorEastAsia" w:cstheme="minorEastAsia" w:hint="eastAsia"/>
                <w:sz w:val="20"/>
                <w:szCs w:val="20"/>
              </w:rPr>
              <w:t>。</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lastRenderedPageBreak/>
              <w:t>企业、社会团体、民办非企业、基金会、律师事务所、会计师事务所等组织</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sz w:val="20"/>
                <w:szCs w:val="20"/>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2020年4—6月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940"/>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3</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w:t>
            </w:r>
            <w:r w:rsidRPr="00B80F0E">
              <w:rPr>
                <w:rFonts w:asciiTheme="minorEastAsia" w:hAnsiTheme="minorEastAsia" w:cstheme="minorEastAsia" w:hint="eastAsia"/>
                <w:sz w:val="20"/>
                <w:szCs w:val="20"/>
              </w:rPr>
              <w:lastRenderedPageBreak/>
              <w:t>局</w:t>
            </w:r>
            <w:r>
              <w:rPr>
                <w:rFonts w:asciiTheme="minorEastAsia" w:hAnsiTheme="minorEastAsia" w:cstheme="minorEastAsia" w:hint="eastAsia"/>
                <w:sz w:val="20"/>
                <w:szCs w:val="20"/>
              </w:rPr>
              <w:t>（13项）</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lastRenderedPageBreak/>
              <w:t>职业技能培训教育</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民办学校是否有民办教育促进法第62条的情形</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企业、社会团体、民办非企业、基金会、律师事务所、会计师事务所等组织</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646897">
              <w:rPr>
                <w:rFonts w:asciiTheme="minorEastAsia" w:hAnsiTheme="minorEastAsia" w:cstheme="minorEastAsia"/>
                <w:sz w:val="20"/>
                <w:szCs w:val="20"/>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2020年4—6月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2011"/>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4</w:t>
            </w: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劳动合同和招用工管理</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1.对用人单位招用人员提供虚假招聘信息，发布虚假招聘广告的检查；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2.对用人单位以招用人员为名牟取不正当利益或进行其他违法活动的检查；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3.对用人单位招用人员在国家法律、行政法规和国务院卫生行政部门规定禁止乙肝病原携带者从事的工作岗位之外，将乙肝病毒血清学指标作为体检标准的检查；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4.对用人单位不按规定报告空缺岗位，或者招用人员后，不到劳动保障等行政管理部门进行录用登记的检查；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5.对用人单位不能向招用人员提供工作岗位的检查；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6.对用人单位未及时为劳动者办理就业登记手续的检查；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7.对用人单位以担保或其他名义向劳动者收取财物的检查；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8.对劳动者依法解除或终止劳动合同，用人单位扣押劳动者档案或其他物品的检查；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9.对用人单位违反劳动合同法有关建立职工名册规定的检查；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10.对用人单位招用人员未按规定订立劳动合同或者订立法定条款不完备劳动合同的检查；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11.对用人单位未依法订立劳动合同的检查；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12.对不按规定签订集体合同的检查；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13.对用人单位不执行集体合同约定的劳动标准或其他事项的检查；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14.对用人单位不当变更或解除职工一方代表的劳动合同的的检查；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lastRenderedPageBreak/>
              <w:t>15.对职工方或者上级工会提出协商要求后，企业拒绝开展工资集体协商或者拖延答复的检查；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16.对企业不向协商代表提供开展工资集体协商所必需的工作条件和工作时间的检查；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17.对企业不履行工资专项集体合同的检查；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18.对无正当理由拒绝进行工资集体协商等平等协商签订集体合同的检查；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19.对以胁迫、利诱、欺骗手段阻碍职工加入工会的检查；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20.对无正当理由解除企业工会筹建发起人劳动关系或者调整其工作岗位、降低工资待遇的检查；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21.对非法撤销、合并工会组织的检查；</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22.对妨碍企业工会组织职工通过职工代表大会和其他形式行使民主权利的检查；</w:t>
            </w:r>
          </w:p>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23.对阻挠工会依法行使监督权的检查。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lastRenderedPageBreak/>
              <w:t>用人单位</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646897">
              <w:rPr>
                <w:rFonts w:asciiTheme="minorEastAsia" w:hAnsiTheme="minorEastAsia" w:cstheme="minorEastAsia"/>
                <w:sz w:val="20"/>
                <w:szCs w:val="20"/>
              </w:rPr>
              <w:t>0.5%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646897">
              <w:rPr>
                <w:rFonts w:asciiTheme="minorEastAsia" w:hAnsiTheme="minorEastAsia" w:cstheme="minorEastAsia" w:hint="eastAsia"/>
                <w:sz w:val="20"/>
                <w:szCs w:val="20"/>
              </w:rPr>
              <w:t>全年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944"/>
        </w:trPr>
        <w:tc>
          <w:tcPr>
            <w:tcW w:w="625" w:type="dxa"/>
            <w:vMerge w:val="restart"/>
            <w:tcBorders>
              <w:top w:val="single" w:sz="4" w:space="0" w:color="auto"/>
              <w:left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5</w:t>
            </w: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劳动合同和招用工管理</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对企业法定代表人、主要负责人拒绝与上级工会就建立企业工会进行协商的检查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个人</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646897">
              <w:rPr>
                <w:rFonts w:asciiTheme="minorEastAsia" w:hAnsiTheme="minorEastAsia" w:cstheme="minorEastAsia"/>
                <w:sz w:val="20"/>
                <w:szCs w:val="20"/>
              </w:rPr>
              <w:t>0.5%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646897">
              <w:rPr>
                <w:rFonts w:asciiTheme="minorEastAsia" w:hAnsiTheme="minorEastAsia" w:cstheme="minorEastAsia" w:hint="eastAsia"/>
                <w:sz w:val="20"/>
                <w:szCs w:val="20"/>
              </w:rPr>
              <w:t>全年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1902"/>
        </w:trPr>
        <w:tc>
          <w:tcPr>
            <w:tcW w:w="625" w:type="dxa"/>
            <w:vMerge/>
            <w:tcBorders>
              <w:left w:val="single" w:sz="4" w:space="0" w:color="auto"/>
              <w:bottom w:val="single" w:sz="4" w:space="0" w:color="auto"/>
              <w:right w:val="single" w:sz="4" w:space="0" w:color="auto"/>
            </w:tcBorders>
            <w:vAlign w:val="center"/>
          </w:tcPr>
          <w:p w:rsidR="00A704EB" w:rsidRDefault="00A704EB" w:rsidP="005945A9">
            <w:pPr>
              <w:widowControl/>
              <w:spacing w:line="240" w:lineRule="exact"/>
              <w:jc w:val="center"/>
              <w:rPr>
                <w:rFonts w:asciiTheme="minorEastAsia" w:hAnsiTheme="minorEastAsia" w:cstheme="minorEastAsia"/>
                <w:sz w:val="20"/>
                <w:szCs w:val="20"/>
              </w:rPr>
            </w:pP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r>
              <w:rPr>
                <w:rFonts w:asciiTheme="minorEastAsia" w:hAnsiTheme="minorEastAsia" w:cstheme="minorEastAsia" w:hint="eastAsia"/>
                <w:sz w:val="20"/>
                <w:szCs w:val="20"/>
              </w:rPr>
              <w:t>（13项）</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劳动合同和招用工管理</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1.用人单位提供的劳动合同文本是否载明《中华人民共和国劳动合同法》规定的劳动合同必备条款；</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2.用人单位是否将劳动合同文本交付劳动者；</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3.用人单位是否违反《中华人民共和国劳动合同法》规定约定试用期；</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4.用人单位是否违反《中华人民共和国劳动合同法》规定，扣押劳动者居民身份证</w:t>
            </w:r>
            <w:r w:rsidRPr="00646897">
              <w:rPr>
                <w:rFonts w:asciiTheme="minorEastAsia" w:hAnsiTheme="minorEastAsia" w:cstheme="minorEastAsia" w:hint="eastAsia"/>
                <w:sz w:val="20"/>
                <w:szCs w:val="20"/>
              </w:rPr>
              <w:lastRenderedPageBreak/>
              <w:t>等证件；</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5.用人单位是否按照《中华人民共和国劳动法》的规定的条件解除劳动合同或者故意拖延不订立劳动合同；</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6.用人单位是否违反《中华人民共和国劳动合同法》有关建立职工名册规定；</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7.用人单位是否执行集体合同约定的劳动标准或其他事项；</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8.用人单位是否提供与工资集体协商有关信息资料或者提供虚假信息资料；</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9.企业单位是否按照国家规定提取职工教育经费或者挪用职工教育经费；</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10.用人单位在招用人员过程中是否提供虚假招聘信息，、发布虚假招聘广告、招用无合法身份证件的人员或者以招用人员为名牟取不正当利益或进行其他违法活动；</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11.用人单位是否阻挠职工依法参加和组织工会或者阻挠上级工会帮助、指导职工筹建工会；</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12.用人单位是否对履行职责的工会工作人员无正当理由调动工作岗位，进行打击报复；</w:t>
            </w:r>
          </w:p>
          <w:p w:rsidR="00A704EB" w:rsidRPr="00646897"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13.职工是否因参加工会活动而被解除劳动合同或工会工作人员因履行工会法规定的职责而被解除劳动合同；</w:t>
            </w:r>
          </w:p>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14.用人单位是否妥善保存录用人员的录用登记材料或者伪造录用登记材料。</w:t>
            </w:r>
          </w:p>
          <w:p w:rsidR="00A704EB" w:rsidRPr="00D850C0" w:rsidRDefault="00A704EB" w:rsidP="005945A9">
            <w:pPr>
              <w:pStyle w:val="a5"/>
              <w:ind w:firstLine="560"/>
              <w:rPr>
                <w:rFonts w:eastAsiaTheme="minorEastAsia"/>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lastRenderedPageBreak/>
              <w:t>企业、社会团体、民办非企业、基金会、律师事务所、会计师事务所等组织</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646897">
              <w:rPr>
                <w:rFonts w:asciiTheme="minorEastAsia" w:hAnsiTheme="minorEastAsia" w:cstheme="minorEastAsia"/>
                <w:sz w:val="20"/>
                <w:szCs w:val="20"/>
              </w:rPr>
              <w:t>0.1%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646897">
              <w:rPr>
                <w:rFonts w:asciiTheme="minorEastAsia" w:hAnsiTheme="minorEastAsia" w:cstheme="minorEastAsia" w:hint="eastAsia"/>
                <w:sz w:val="20"/>
                <w:szCs w:val="20"/>
              </w:rPr>
              <w:t>2020年11-12月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683"/>
        </w:trPr>
        <w:tc>
          <w:tcPr>
            <w:tcW w:w="625" w:type="dxa"/>
            <w:vMerge w:val="restart"/>
            <w:tcBorders>
              <w:top w:val="single" w:sz="4" w:space="0" w:color="auto"/>
              <w:left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6</w:t>
            </w: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c>
          <w:tcPr>
            <w:tcW w:w="2031"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646897">
              <w:rPr>
                <w:rFonts w:asciiTheme="minorEastAsia" w:hAnsiTheme="minorEastAsia" w:cstheme="minorEastAsia" w:hint="eastAsia"/>
                <w:sz w:val="20"/>
                <w:szCs w:val="20"/>
              </w:rPr>
              <w:t>规章制度</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对用人单位直接涉及劳动者切身利益的规章制度违反法律、法规规定的检查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用人单位</w:t>
            </w:r>
          </w:p>
        </w:tc>
        <w:tc>
          <w:tcPr>
            <w:tcW w:w="682"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sz w:val="20"/>
                <w:szCs w:val="20"/>
              </w:rPr>
              <w:t>0.1%</w:t>
            </w:r>
          </w:p>
        </w:tc>
        <w:tc>
          <w:tcPr>
            <w:tcW w:w="2340"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hint="eastAsia"/>
                <w:sz w:val="20"/>
                <w:szCs w:val="20"/>
              </w:rPr>
              <w:t>2020年7-9月</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435"/>
        </w:trPr>
        <w:tc>
          <w:tcPr>
            <w:tcW w:w="625" w:type="dxa"/>
            <w:vMerge/>
            <w:tcBorders>
              <w:left w:val="single" w:sz="4" w:space="0" w:color="auto"/>
              <w:bottom w:val="single" w:sz="4" w:space="0" w:color="auto"/>
              <w:right w:val="single" w:sz="4" w:space="0" w:color="auto"/>
            </w:tcBorders>
            <w:vAlign w:val="center"/>
          </w:tcPr>
          <w:p w:rsidR="00A704EB" w:rsidRPr="003C14FA" w:rsidRDefault="00A704EB" w:rsidP="005945A9">
            <w:pPr>
              <w:widowControl/>
              <w:spacing w:line="240" w:lineRule="exact"/>
              <w:jc w:val="center"/>
              <w:rPr>
                <w:rFonts w:asciiTheme="minorEastAsia" w:hAnsiTheme="minorEastAsia" w:cstheme="minorEastAsia"/>
                <w:sz w:val="20"/>
                <w:szCs w:val="20"/>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c>
          <w:tcPr>
            <w:tcW w:w="2031" w:type="dxa"/>
            <w:vMerge/>
            <w:tcBorders>
              <w:left w:val="single" w:sz="4" w:space="0" w:color="auto"/>
              <w:bottom w:val="single" w:sz="4" w:space="0" w:color="auto"/>
              <w:right w:val="single" w:sz="4" w:space="0" w:color="auto"/>
            </w:tcBorders>
            <w:shd w:val="clear" w:color="auto" w:fill="auto"/>
            <w:vAlign w:val="center"/>
          </w:tcPr>
          <w:p w:rsidR="00A704EB" w:rsidRPr="00646897" w:rsidRDefault="00A704EB" w:rsidP="005945A9">
            <w:pPr>
              <w:widowControl/>
              <w:spacing w:line="240" w:lineRule="exact"/>
              <w:rPr>
                <w:rFonts w:asciiTheme="minorEastAsia" w:hAnsiTheme="minorEastAsia" w:cstheme="minorEastAsia"/>
                <w:sz w:val="20"/>
                <w:szCs w:val="20"/>
              </w:rPr>
            </w:pP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用人单位制定的内部管理劳动规章制度是否违反法律、法规</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企业、社会团体、民办非企业、基金会、律师事务所、会计师事务所等组织</w:t>
            </w:r>
          </w:p>
        </w:tc>
        <w:tc>
          <w:tcPr>
            <w:tcW w:w="682" w:type="dxa"/>
            <w:vMerge/>
            <w:tcBorders>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p>
        </w:tc>
        <w:tc>
          <w:tcPr>
            <w:tcW w:w="2340" w:type="dxa"/>
            <w:vMerge/>
            <w:tcBorders>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p>
        </w:tc>
        <w:tc>
          <w:tcPr>
            <w:tcW w:w="1350" w:type="dxa"/>
            <w:vMerge/>
            <w:tcBorders>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p>
        </w:tc>
        <w:tc>
          <w:tcPr>
            <w:tcW w:w="1310" w:type="dxa"/>
            <w:vMerge/>
            <w:tcBorders>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720"/>
        </w:trPr>
        <w:tc>
          <w:tcPr>
            <w:tcW w:w="625" w:type="dxa"/>
            <w:vMerge w:val="restart"/>
            <w:tcBorders>
              <w:top w:val="single" w:sz="4" w:space="0" w:color="auto"/>
              <w:left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7</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r>
              <w:rPr>
                <w:rFonts w:asciiTheme="minorEastAsia" w:hAnsiTheme="minorEastAsia" w:cstheme="minorEastAsia" w:hint="eastAsia"/>
                <w:sz w:val="20"/>
                <w:szCs w:val="20"/>
              </w:rPr>
              <w:t>（13项）</w:t>
            </w:r>
          </w:p>
        </w:tc>
        <w:tc>
          <w:tcPr>
            <w:tcW w:w="2031"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工时休假</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1.对违反法律、法规规定或者未经劳动者同意，安排劳动者延长工作时间的的检查；</w:t>
            </w:r>
          </w:p>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2.对用人单位不能依法保证劳动者休息休假（包括少数民族节假日）或未报经劳动保障部门批准实行其他工作制度和休息办法的检查；</w:t>
            </w:r>
          </w:p>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3.对用人单位实行不定时工作制和综合计算工作制情况的检查。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用人单位</w:t>
            </w:r>
          </w:p>
        </w:tc>
        <w:tc>
          <w:tcPr>
            <w:tcW w:w="682"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sz w:val="20"/>
                <w:szCs w:val="20"/>
              </w:rPr>
              <w:t>0.1%</w:t>
            </w:r>
          </w:p>
        </w:tc>
        <w:tc>
          <w:tcPr>
            <w:tcW w:w="2340"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hint="eastAsia"/>
                <w:sz w:val="20"/>
                <w:szCs w:val="20"/>
              </w:rPr>
              <w:t>2020年7-9月</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720"/>
        </w:trPr>
        <w:tc>
          <w:tcPr>
            <w:tcW w:w="625" w:type="dxa"/>
            <w:vMerge/>
            <w:tcBorders>
              <w:left w:val="single" w:sz="4" w:space="0" w:color="auto"/>
              <w:bottom w:val="single" w:sz="4" w:space="0" w:color="auto"/>
              <w:right w:val="single" w:sz="4" w:space="0" w:color="auto"/>
            </w:tcBorders>
            <w:vAlign w:val="center"/>
          </w:tcPr>
          <w:p w:rsidR="00A704EB" w:rsidRPr="003C14FA" w:rsidRDefault="00A704EB" w:rsidP="005945A9">
            <w:pPr>
              <w:widowControl/>
              <w:spacing w:line="240" w:lineRule="exact"/>
              <w:jc w:val="center"/>
              <w:rPr>
                <w:rFonts w:asciiTheme="minorEastAsia" w:hAnsiTheme="minorEastAsia" w:cstheme="minorEastAsia"/>
                <w:sz w:val="20"/>
                <w:szCs w:val="20"/>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c>
          <w:tcPr>
            <w:tcW w:w="2031" w:type="dxa"/>
            <w:vMerge/>
            <w:tcBorders>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用人单位是否依法安排职工休年休假或对不休假职工支付年休假工资报酬、赔偿金</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企业、社会团体、民办非企业、基金会、律师事务所、会计师事务所等组织</w:t>
            </w:r>
          </w:p>
        </w:tc>
        <w:tc>
          <w:tcPr>
            <w:tcW w:w="682" w:type="dxa"/>
            <w:vMerge/>
            <w:tcBorders>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p>
        </w:tc>
        <w:tc>
          <w:tcPr>
            <w:tcW w:w="2340" w:type="dxa"/>
            <w:vMerge/>
            <w:tcBorders>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p>
        </w:tc>
        <w:tc>
          <w:tcPr>
            <w:tcW w:w="1350" w:type="dxa"/>
            <w:vMerge/>
            <w:tcBorders>
              <w:left w:val="single" w:sz="4" w:space="0" w:color="auto"/>
              <w:bottom w:val="single" w:sz="4" w:space="0" w:color="auto"/>
              <w:right w:val="single" w:sz="4" w:space="0" w:color="auto"/>
            </w:tcBorders>
            <w:shd w:val="clear" w:color="auto" w:fill="auto"/>
            <w:vAlign w:val="center"/>
          </w:tcPr>
          <w:p w:rsidR="00A704EB" w:rsidRPr="00B80F0E" w:rsidRDefault="00A704EB" w:rsidP="005945A9">
            <w:pPr>
              <w:widowControl/>
              <w:spacing w:line="240" w:lineRule="exact"/>
              <w:jc w:val="center"/>
              <w:rPr>
                <w:rFonts w:asciiTheme="minorEastAsia" w:hAnsiTheme="minorEastAsia" w:cstheme="minorEastAsia"/>
                <w:sz w:val="20"/>
                <w:szCs w:val="20"/>
              </w:rPr>
            </w:pPr>
          </w:p>
        </w:tc>
        <w:tc>
          <w:tcPr>
            <w:tcW w:w="1310" w:type="dxa"/>
            <w:vMerge/>
            <w:tcBorders>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463"/>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8</w:t>
            </w: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女职工特殊劳动保护</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0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1.对用人单位安排女职工从事矿山井下劳动、国家规定的第四级体力劳动强度的劳动或其他禁忌从事劳动的检查；</w:t>
            </w:r>
          </w:p>
          <w:p w:rsidR="00A704EB" w:rsidRPr="0049467B" w:rsidRDefault="00A704EB" w:rsidP="005945A9">
            <w:pPr>
              <w:widowControl/>
              <w:spacing w:line="20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2.对用人单位安排女职工在经期从事高处、低温、冷水作业或国家规定的第三级体力劳动强度劳动的检查；</w:t>
            </w:r>
          </w:p>
          <w:p w:rsidR="00A704EB" w:rsidRPr="0049467B" w:rsidRDefault="00A704EB" w:rsidP="005945A9">
            <w:pPr>
              <w:widowControl/>
              <w:spacing w:line="20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3.对用人单位安排女职工在孕期从事国家规定的第三级体力劳动强度的劳动或孕期禁忌从事劳动的检查；</w:t>
            </w:r>
          </w:p>
          <w:p w:rsidR="00A704EB" w:rsidRPr="0049467B" w:rsidRDefault="00A704EB" w:rsidP="005945A9">
            <w:pPr>
              <w:widowControl/>
              <w:spacing w:line="20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4.对用人单位安排怀孕7个月以上的女职工夜班劳动或延长其工作时间的检查；</w:t>
            </w:r>
          </w:p>
          <w:p w:rsidR="00A704EB" w:rsidRPr="0049467B" w:rsidRDefault="00A704EB" w:rsidP="005945A9">
            <w:pPr>
              <w:widowControl/>
              <w:spacing w:line="20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5.对用人单位给女职工生育享受产假少于90天的检查；</w:t>
            </w:r>
          </w:p>
          <w:p w:rsidR="00A704EB" w:rsidRPr="0049467B" w:rsidRDefault="00A704EB" w:rsidP="005945A9">
            <w:pPr>
              <w:widowControl/>
              <w:spacing w:line="20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6.对用人单位安排女职工在哺乳未满１周岁婴儿期间从事国家规定的第三级体力劳动强度或哺乳期禁忌从事的其他劳动，以</w:t>
            </w:r>
            <w:r w:rsidRPr="0049467B">
              <w:rPr>
                <w:rFonts w:asciiTheme="minorEastAsia" w:hAnsiTheme="minorEastAsia" w:cstheme="minorEastAsia" w:hint="eastAsia"/>
                <w:sz w:val="20"/>
                <w:szCs w:val="20"/>
              </w:rPr>
              <w:lastRenderedPageBreak/>
              <w:t>及延长其工作时间或安排夜班劳动的检查；</w:t>
            </w:r>
          </w:p>
          <w:p w:rsidR="00A704EB" w:rsidRDefault="00A704EB" w:rsidP="005945A9">
            <w:pPr>
              <w:widowControl/>
              <w:spacing w:line="20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7.对用人单位违反女职工劳动保护特别规定的检查。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lastRenderedPageBreak/>
              <w:t>用人单位</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sz w:val="20"/>
                <w:szCs w:val="20"/>
              </w:rPr>
              <w:t>0.1%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hint="eastAsia"/>
                <w:sz w:val="20"/>
                <w:szCs w:val="20"/>
              </w:rPr>
              <w:t>2020年5月-8月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915"/>
        </w:trPr>
        <w:tc>
          <w:tcPr>
            <w:tcW w:w="625" w:type="dxa"/>
            <w:vMerge w:val="restart"/>
            <w:tcBorders>
              <w:top w:val="single" w:sz="4" w:space="0" w:color="auto"/>
              <w:left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9</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r>
              <w:rPr>
                <w:rFonts w:asciiTheme="minorEastAsia" w:hAnsiTheme="minorEastAsia" w:cstheme="minorEastAsia" w:hint="eastAsia"/>
                <w:sz w:val="20"/>
                <w:szCs w:val="20"/>
              </w:rPr>
              <w:t>（13项）</w:t>
            </w:r>
          </w:p>
        </w:tc>
        <w:tc>
          <w:tcPr>
            <w:tcW w:w="2031"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禁止使用童工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1.对用人单位使用童工的检查；</w:t>
            </w:r>
          </w:p>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2.对单位、个人或者职业中介机构为不满16周岁的未成年人介绍就业的检查；</w:t>
            </w:r>
          </w:p>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3.对用人单位未按照禁止使用童工规定保存录用登记材料，或者伪造录用登记材料的检查；</w:t>
            </w:r>
          </w:p>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4.对无营业执照、被依法吊销营业执照的单位以及未依法登记、备案的单位使用童工或者介绍童工就业的检查。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用人单位</w:t>
            </w:r>
          </w:p>
        </w:tc>
        <w:tc>
          <w:tcPr>
            <w:tcW w:w="682"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sz w:val="20"/>
                <w:szCs w:val="20"/>
              </w:rPr>
              <w:t>0.1%</w:t>
            </w:r>
          </w:p>
        </w:tc>
        <w:tc>
          <w:tcPr>
            <w:tcW w:w="2340"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hint="eastAsia"/>
                <w:sz w:val="20"/>
                <w:szCs w:val="20"/>
              </w:rPr>
              <w:t>2020年5月-8月</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vMerge w:val="restart"/>
            <w:tcBorders>
              <w:top w:val="single" w:sz="4" w:space="0" w:color="auto"/>
              <w:left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816"/>
        </w:trPr>
        <w:tc>
          <w:tcPr>
            <w:tcW w:w="625" w:type="dxa"/>
            <w:vMerge/>
            <w:tcBorders>
              <w:left w:val="single" w:sz="4" w:space="0" w:color="auto"/>
              <w:bottom w:val="single" w:sz="4" w:space="0" w:color="auto"/>
              <w:right w:val="single" w:sz="4" w:space="0" w:color="auto"/>
            </w:tcBorders>
            <w:vAlign w:val="center"/>
          </w:tcPr>
          <w:p w:rsidR="00A704EB" w:rsidRPr="003C14FA" w:rsidRDefault="00A704EB" w:rsidP="005945A9">
            <w:pPr>
              <w:widowControl/>
              <w:spacing w:line="240" w:lineRule="exact"/>
              <w:jc w:val="center"/>
              <w:rPr>
                <w:rFonts w:asciiTheme="minorEastAsia" w:hAnsiTheme="minorEastAsia" w:cstheme="minorEastAsia"/>
                <w:sz w:val="20"/>
                <w:szCs w:val="20"/>
              </w:rPr>
            </w:pP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c>
          <w:tcPr>
            <w:tcW w:w="2031" w:type="dxa"/>
            <w:vMerge/>
            <w:tcBorders>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1.用人单位是否在使用有毒物品作业场所使用童工；</w:t>
            </w:r>
          </w:p>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2.用人单位是否存在使用童工经劳动保障部门责令限期改正后逾期不将童工送交其父母或者其他监护人的情形；</w:t>
            </w:r>
          </w:p>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3.无营业执照、被依法吊销营业执照的单位以及未依法登记、备案的单位是否使用童工。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企业、社会团体、民办非企业、基金会、律师事务所、会计师事务所等组织</w:t>
            </w:r>
          </w:p>
        </w:tc>
        <w:tc>
          <w:tcPr>
            <w:tcW w:w="682" w:type="dxa"/>
            <w:vMerge/>
            <w:tcBorders>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p>
        </w:tc>
        <w:tc>
          <w:tcPr>
            <w:tcW w:w="2340" w:type="dxa"/>
            <w:vMerge/>
            <w:tcBorders>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p>
        </w:tc>
        <w:tc>
          <w:tcPr>
            <w:tcW w:w="1350" w:type="dxa"/>
            <w:vMerge/>
            <w:tcBorders>
              <w:left w:val="single" w:sz="4" w:space="0" w:color="auto"/>
              <w:bottom w:val="single" w:sz="4" w:space="0" w:color="auto"/>
              <w:right w:val="single" w:sz="4" w:space="0" w:color="auto"/>
            </w:tcBorders>
            <w:shd w:val="clear" w:color="auto" w:fill="auto"/>
            <w:vAlign w:val="center"/>
          </w:tcPr>
          <w:p w:rsidR="00A704EB" w:rsidRPr="00B80F0E" w:rsidRDefault="00A704EB" w:rsidP="005945A9">
            <w:pPr>
              <w:widowControl/>
              <w:spacing w:line="240" w:lineRule="exact"/>
              <w:jc w:val="center"/>
              <w:rPr>
                <w:rFonts w:asciiTheme="minorEastAsia" w:hAnsiTheme="minorEastAsia" w:cstheme="minorEastAsia"/>
                <w:sz w:val="20"/>
                <w:szCs w:val="20"/>
              </w:rPr>
            </w:pPr>
          </w:p>
        </w:tc>
        <w:tc>
          <w:tcPr>
            <w:tcW w:w="1310" w:type="dxa"/>
            <w:vMerge/>
            <w:tcBorders>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1586"/>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10</w:t>
            </w: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未成年工特殊劳动保护</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1.对用人单位安排未成年工从事矿山井下、有毒有害、国家规定的第四级体力劳动强度的劳动或其他禁忌从事劳动的检查；</w:t>
            </w:r>
          </w:p>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2.对用人单位未对未成年工定期进行健康检查的检查。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用人单位</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sz w:val="20"/>
                <w:szCs w:val="20"/>
              </w:rPr>
              <w:t>0.1%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hint="eastAsia"/>
                <w:sz w:val="20"/>
                <w:szCs w:val="20"/>
              </w:rPr>
              <w:t>2020年5月-8月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876"/>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11</w:t>
            </w:r>
          </w:p>
        </w:tc>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劳动保障</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对用人单位遵守劳动保障法律、法规情况进行监督检查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用人单位</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sz w:val="20"/>
                <w:szCs w:val="20"/>
              </w:rPr>
              <w:t>0.1%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hint="eastAsia"/>
                <w:sz w:val="20"/>
                <w:szCs w:val="20"/>
              </w:rPr>
              <w:t>2020年5月-8月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3682"/>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12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r>
              <w:rPr>
                <w:rFonts w:asciiTheme="minorEastAsia" w:hAnsiTheme="minorEastAsia" w:cstheme="minorEastAsia" w:hint="eastAsia"/>
                <w:sz w:val="20"/>
                <w:szCs w:val="20"/>
              </w:rPr>
              <w:t>（13项）</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工资支付和最低工资</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1.用人单位是否有下列行为之一：未按照劳动合同的约定或者国家规定及时足额支付劳动报酬；低于当地最低工资标准支付劳动者工资；安排加班不支付加班费；</w:t>
            </w:r>
          </w:p>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2.用人单位是否依照《中华人民共和国劳动合同法》的规定向劳动者每月支付两倍的工资或者赔偿金；</w:t>
            </w:r>
          </w:p>
          <w:p w:rsidR="00A704EB" w:rsidRPr="0049467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3.非建设领域用人单位是否拖欠或者克扣农民工工资；</w:t>
            </w:r>
          </w:p>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4.建设单位或者非建设领域用人单位是否在规定期限内交存、补足农民工工资保证金。</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49467B">
              <w:rPr>
                <w:rFonts w:asciiTheme="minorEastAsia" w:hAnsiTheme="minorEastAsia" w:cstheme="minorEastAsia" w:hint="eastAsia"/>
                <w:sz w:val="20"/>
                <w:szCs w:val="20"/>
              </w:rPr>
              <w:t>企业、社会团体、民办非企业、基金会、律师事务所、会计师事务所等组织</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sz w:val="20"/>
                <w:szCs w:val="20"/>
              </w:rPr>
              <w:t>0.2%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49467B">
              <w:rPr>
                <w:rFonts w:asciiTheme="minorEastAsia" w:hAnsiTheme="minorEastAsia" w:cstheme="minorEastAsia" w:hint="eastAsia"/>
                <w:sz w:val="20"/>
                <w:szCs w:val="20"/>
              </w:rPr>
              <w:t>2020年10月-12月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3037"/>
        </w:trPr>
        <w:tc>
          <w:tcPr>
            <w:tcW w:w="625" w:type="dxa"/>
            <w:vMerge w:val="restart"/>
            <w:tcBorders>
              <w:top w:val="single" w:sz="4" w:space="0" w:color="auto"/>
              <w:left w:val="single" w:sz="4" w:space="0" w:color="auto"/>
              <w:right w:val="single" w:sz="4" w:space="0" w:color="auto"/>
            </w:tcBorders>
            <w:vAlign w:val="center"/>
          </w:tcPr>
          <w:p w:rsidR="00A704EB" w:rsidRDefault="0003639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13</w:t>
            </w:r>
          </w:p>
          <w:p w:rsidR="00A704EB" w:rsidRDefault="00A704EB" w:rsidP="005945A9">
            <w:pPr>
              <w:spacing w:line="240" w:lineRule="exact"/>
              <w:ind w:firstLine="400"/>
              <w:jc w:val="center"/>
              <w:rPr>
                <w:rFonts w:asciiTheme="minorEastAsia" w:hAnsiTheme="minorEastAsia" w:cstheme="minorEastAsia"/>
                <w:sz w:val="20"/>
                <w:szCs w:val="20"/>
              </w:rPr>
            </w:pPr>
          </w:p>
        </w:tc>
        <w:tc>
          <w:tcPr>
            <w:tcW w:w="907" w:type="dxa"/>
            <w:vMerge w:val="restart"/>
            <w:tcBorders>
              <w:top w:val="single" w:sz="4" w:space="0" w:color="auto"/>
              <w:left w:val="single" w:sz="4" w:space="0" w:color="auto"/>
              <w:right w:val="single" w:sz="4" w:space="0" w:color="auto"/>
            </w:tcBorders>
            <w:shd w:val="clear" w:color="auto" w:fill="auto"/>
            <w:vAlign w:val="center"/>
          </w:tcPr>
          <w:p w:rsidR="00A704EB" w:rsidRPr="00B80F0E" w:rsidRDefault="00A704EB" w:rsidP="005945A9">
            <w:pPr>
              <w:widowControl/>
              <w:spacing w:line="240" w:lineRule="exact"/>
              <w:rPr>
                <w:rFonts w:asciiTheme="minorEastAsia" w:hAnsiTheme="minorEastAsia" w:cstheme="minorEastAsia"/>
                <w:sz w:val="20"/>
                <w:szCs w:val="20"/>
              </w:rPr>
            </w:pPr>
            <w:r w:rsidRPr="00B80F0E">
              <w:rPr>
                <w:rFonts w:asciiTheme="minorEastAsia" w:hAnsiTheme="minorEastAsia" w:cstheme="minorEastAsia" w:hint="eastAsia"/>
                <w:sz w:val="20"/>
                <w:szCs w:val="20"/>
              </w:rPr>
              <w:t>官渡区人力资源和社会保障局</w:t>
            </w:r>
            <w:r>
              <w:rPr>
                <w:rFonts w:asciiTheme="minorEastAsia" w:hAnsiTheme="minorEastAsia" w:cstheme="minorEastAsia" w:hint="eastAsia"/>
                <w:sz w:val="20"/>
                <w:szCs w:val="20"/>
              </w:rPr>
              <w:t>（13项）</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r w:rsidRPr="007C186B">
              <w:rPr>
                <w:rFonts w:ascii="宋体" w:eastAsia="宋体" w:hAnsi="宋体" w:cs="宋体" w:hint="eastAsia"/>
                <w:color w:val="000000"/>
                <w:sz w:val="22"/>
              </w:rPr>
              <w:t>社会保险</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r w:rsidRPr="007C186B">
              <w:rPr>
                <w:rFonts w:ascii="宋体" w:eastAsia="宋体" w:hAnsi="宋体" w:cs="宋体" w:hint="eastAsia"/>
                <w:color w:val="000000"/>
                <w:sz w:val="22"/>
              </w:rPr>
              <w:t>单位或个人是否存在以欺诈、伪造证明材料或者其他手段骗取社会保险待遇</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r w:rsidRPr="00BD45AB">
              <w:rPr>
                <w:rFonts w:ascii="宋体" w:eastAsia="宋体" w:hAnsi="宋体" w:cs="宋体" w:hint="eastAsia"/>
                <w:color w:val="000000"/>
                <w:sz w:val="22"/>
              </w:rPr>
              <w:t>企业、社会团体、民办非企业、基金会、律师事务所、会计师事务所等组织</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jc w:val="center"/>
              <w:rPr>
                <w:rFonts w:asciiTheme="minorEastAsia" w:hAnsiTheme="minorEastAsia" w:cstheme="minorEastAsia"/>
                <w:sz w:val="20"/>
                <w:szCs w:val="20"/>
              </w:rPr>
            </w:pPr>
            <w:r w:rsidRPr="005E3342">
              <w:rPr>
                <w:rFonts w:ascii="宋体" w:eastAsia="宋体" w:hAnsi="宋体" w:cs="宋体" w:hint="eastAsia"/>
                <w:color w:val="000000" w:themeColor="text1"/>
                <w:kern w:val="0"/>
                <w:sz w:val="22"/>
              </w:rPr>
              <w:t>企业5%</w:t>
            </w:r>
            <w:r w:rsidRPr="005E3342">
              <w:rPr>
                <w:rFonts w:ascii="宋体" w:eastAsia="宋体" w:hAnsi="宋体" w:cs="宋体" w:hint="eastAsia"/>
                <w:color w:val="000000" w:themeColor="text1"/>
                <w:kern w:val="0"/>
                <w:sz w:val="22"/>
              </w:rPr>
              <w:br/>
              <w:t>个体2%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jc w:val="center"/>
              <w:rPr>
                <w:rFonts w:asciiTheme="minorEastAsia" w:hAnsiTheme="minorEastAsia" w:cstheme="minorEastAsia"/>
                <w:sz w:val="20"/>
                <w:szCs w:val="20"/>
              </w:rPr>
            </w:pPr>
            <w:r>
              <w:rPr>
                <w:rFonts w:ascii="宋体" w:eastAsia="宋体" w:hAnsi="宋体" w:cs="宋体" w:hint="eastAsia"/>
                <w:color w:val="000000"/>
                <w:sz w:val="22"/>
              </w:rPr>
              <w:t>2020年7-10月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B80F0E" w:rsidRDefault="00A704EB" w:rsidP="005945A9">
            <w:pPr>
              <w:spacing w:line="240" w:lineRule="exact"/>
              <w:rPr>
                <w:rFonts w:asciiTheme="minorEastAsia" w:hAnsiTheme="minorEastAsia" w:cstheme="minorEastAsia"/>
                <w:sz w:val="20"/>
                <w:szCs w:val="20"/>
              </w:rPr>
            </w:pPr>
            <w:r w:rsidRPr="000D1C8F">
              <w:rPr>
                <w:rFonts w:asciiTheme="minorEastAsia" w:hAnsiTheme="minorEastAsia" w:cstheme="minorEastAsia" w:hint="eastAsia"/>
                <w:sz w:val="20"/>
                <w:szCs w:val="20"/>
              </w:rPr>
              <w:t>区人力资源社会保障局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3682"/>
        </w:trPr>
        <w:tc>
          <w:tcPr>
            <w:tcW w:w="625" w:type="dxa"/>
            <w:vMerge/>
            <w:tcBorders>
              <w:left w:val="single" w:sz="4" w:space="0" w:color="auto"/>
              <w:bottom w:val="single" w:sz="4" w:space="0" w:color="auto"/>
              <w:right w:val="single" w:sz="4" w:space="0" w:color="auto"/>
            </w:tcBorders>
            <w:vAlign w:val="center"/>
          </w:tcPr>
          <w:p w:rsidR="00A704EB" w:rsidRDefault="00A704EB" w:rsidP="005945A9">
            <w:pPr>
              <w:widowControl/>
              <w:spacing w:line="240" w:lineRule="exact"/>
              <w:jc w:val="center"/>
              <w:rPr>
                <w:rFonts w:asciiTheme="minorEastAsia" w:hAnsiTheme="minorEastAsia" w:cstheme="minorEastAsia"/>
                <w:sz w:val="20"/>
                <w:szCs w:val="20"/>
              </w:rPr>
            </w:pPr>
          </w:p>
        </w:tc>
        <w:tc>
          <w:tcPr>
            <w:tcW w:w="907" w:type="dxa"/>
            <w:vMerge/>
            <w:tcBorders>
              <w:left w:val="single" w:sz="4" w:space="0" w:color="auto"/>
              <w:bottom w:val="single" w:sz="4" w:space="0" w:color="auto"/>
              <w:right w:val="single" w:sz="4" w:space="0" w:color="auto"/>
            </w:tcBorders>
            <w:shd w:val="clear" w:color="auto" w:fill="auto"/>
            <w:vAlign w:val="center"/>
          </w:tcPr>
          <w:p w:rsidR="00A704EB" w:rsidRPr="00B80F0E"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r w:rsidRPr="007C186B">
              <w:rPr>
                <w:rFonts w:ascii="宋体" w:eastAsia="宋体" w:hAnsi="宋体" w:cs="宋体" w:hint="eastAsia"/>
                <w:color w:val="000000"/>
                <w:sz w:val="22"/>
              </w:rPr>
              <w:t>社会保险</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r w:rsidRPr="007C186B">
              <w:rPr>
                <w:rFonts w:ascii="宋体" w:eastAsia="宋体" w:hAnsi="宋体" w:cs="宋体" w:hint="eastAsia"/>
                <w:color w:val="000000"/>
                <w:sz w:val="22"/>
              </w:rPr>
              <w:t>单位或个人是否存在骗取社会保险基金支出的行为</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rPr>
                <w:rFonts w:asciiTheme="minorEastAsia" w:hAnsiTheme="minorEastAsia" w:cstheme="minorEastAsia"/>
                <w:sz w:val="20"/>
                <w:szCs w:val="20"/>
              </w:rPr>
            </w:pPr>
            <w:r w:rsidRPr="00BD45AB">
              <w:rPr>
                <w:rFonts w:ascii="宋体" w:eastAsia="宋体" w:hAnsi="宋体" w:cs="宋体" w:hint="eastAsia"/>
                <w:color w:val="000000"/>
                <w:sz w:val="22"/>
              </w:rPr>
              <w:t>企业、社会团体、民办非企业、基金会、律师事务所、会计师事务所等组织</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jc w:val="center"/>
              <w:rPr>
                <w:rFonts w:asciiTheme="minorEastAsia" w:hAnsiTheme="minorEastAsia" w:cstheme="minorEastAsia"/>
                <w:sz w:val="20"/>
                <w:szCs w:val="20"/>
              </w:rPr>
            </w:pPr>
            <w:r w:rsidRPr="005E3342">
              <w:rPr>
                <w:rFonts w:ascii="宋体" w:eastAsia="宋体" w:hAnsi="宋体" w:cs="宋体" w:hint="eastAsia"/>
                <w:color w:val="000000" w:themeColor="text1"/>
                <w:kern w:val="0"/>
                <w:sz w:val="22"/>
              </w:rPr>
              <w:t>企业5%</w:t>
            </w:r>
            <w:r w:rsidRPr="005E3342">
              <w:rPr>
                <w:rFonts w:ascii="宋体" w:eastAsia="宋体" w:hAnsi="宋体" w:cs="宋体" w:hint="eastAsia"/>
                <w:color w:val="000000" w:themeColor="text1"/>
                <w:kern w:val="0"/>
                <w:sz w:val="22"/>
              </w:rPr>
              <w:br/>
              <w:t>个体2%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49467B" w:rsidRDefault="00A704EB" w:rsidP="005945A9">
            <w:pPr>
              <w:widowControl/>
              <w:spacing w:line="240" w:lineRule="exact"/>
              <w:jc w:val="center"/>
              <w:rPr>
                <w:rFonts w:asciiTheme="minorEastAsia" w:hAnsiTheme="minorEastAsia" w:cstheme="minorEastAsia"/>
                <w:sz w:val="20"/>
                <w:szCs w:val="20"/>
              </w:rPr>
            </w:pPr>
            <w:r>
              <w:rPr>
                <w:rFonts w:ascii="宋体" w:eastAsia="宋体" w:hAnsi="宋体" w:cs="宋体" w:hint="eastAsia"/>
                <w:color w:val="000000"/>
                <w:sz w:val="22"/>
              </w:rPr>
              <w:t>2020年7-10月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B80F0E" w:rsidRDefault="00A704EB" w:rsidP="005945A9">
            <w:pPr>
              <w:spacing w:line="240" w:lineRule="exact"/>
              <w:rPr>
                <w:rFonts w:asciiTheme="minorEastAsia" w:hAnsiTheme="minorEastAsia" w:cstheme="minorEastAsia"/>
                <w:sz w:val="20"/>
                <w:szCs w:val="20"/>
              </w:rPr>
            </w:pPr>
            <w:r w:rsidRPr="000D1C8F">
              <w:rPr>
                <w:rFonts w:asciiTheme="minorEastAsia" w:hAnsiTheme="minorEastAsia" w:cstheme="minorEastAsia" w:hint="eastAsia"/>
                <w:sz w:val="20"/>
                <w:szCs w:val="20"/>
              </w:rPr>
              <w:t>区人力资源社会保障局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spacing w:line="240" w:lineRule="exact"/>
              <w:rPr>
                <w:rFonts w:asciiTheme="minorEastAsia" w:hAnsiTheme="minorEastAsia" w:cstheme="minorEastAsia"/>
                <w:sz w:val="20"/>
                <w:szCs w:val="20"/>
              </w:rPr>
            </w:pPr>
          </w:p>
        </w:tc>
      </w:tr>
    </w:tbl>
    <w:p w:rsidR="00641B2F" w:rsidRPr="00A704EB" w:rsidRDefault="00641B2F"/>
    <w:sectPr w:rsidR="00641B2F" w:rsidRPr="00A704EB" w:rsidSect="005945A9">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020" w:bottom="1134" w:left="1417" w:header="851" w:footer="992" w:gutter="0"/>
      <w:pgNumType w:start="1"/>
      <w:cols w:space="0"/>
      <w:docGrid w:type="lines" w:linePitch="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0A6" w:rsidRDefault="000A50A6" w:rsidP="002B788E">
      <w:r>
        <w:separator/>
      </w:r>
    </w:p>
  </w:endnote>
  <w:endnote w:type="continuationSeparator" w:id="1">
    <w:p w:rsidR="000A50A6" w:rsidRDefault="000A50A6" w:rsidP="002B7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1F59E4" w:rsidP="005945A9">
    <w:pPr>
      <w:pStyle w:val="a4"/>
      <w:ind w:firstLine="360"/>
    </w:pPr>
    <w:r>
      <w:pict>
        <v:shapetype id="_x0000_t202" coordsize="21600,21600" o:spt="202" path="m,l,21600r21600,l21600,xe">
          <v:stroke joinstyle="miter"/>
          <v:path gradientshapeok="t" o:connecttype="rect"/>
        </v:shapetype>
        <v:shape id="_x0000_s5122"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5122;mso-fit-shape-to-text:t" inset="0,0,0,0">
            <w:txbxContent>
              <w:p w:rsidR="005945A9" w:rsidRDefault="005945A9" w:rsidP="005945A9">
                <w:pPr>
                  <w:pStyle w:val="a4"/>
                  <w:ind w:firstLine="360"/>
                </w:pPr>
                <w:r>
                  <w:rPr>
                    <w:rFonts w:hint="eastAsia"/>
                  </w:rPr>
                  <w:t>第</w:t>
                </w:r>
                <w:r>
                  <w:rPr>
                    <w:rFonts w:hint="eastAsia"/>
                  </w:rPr>
                  <w:t xml:space="preserve"> </w:t>
                </w:r>
                <w:fldSimple w:instr=" PAGE  \* MERGEFORMAT ">
                  <w:r w:rsidR="0003639F">
                    <w:rPr>
                      <w:noProof/>
                    </w:rPr>
                    <w:t>10</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3639F">
                    <w:rPr>
                      <w:noProof/>
                    </w:rPr>
                    <w:t>10</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0A6" w:rsidRDefault="000A50A6" w:rsidP="002B788E">
      <w:r>
        <w:separator/>
      </w:r>
    </w:p>
  </w:footnote>
  <w:footnote w:type="continuationSeparator" w:id="1">
    <w:p w:rsidR="000A50A6" w:rsidRDefault="000A50A6" w:rsidP="002B7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3"/>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03C92E"/>
    <w:multiLevelType w:val="singleLevel"/>
    <w:tmpl w:val="8103C92E"/>
    <w:lvl w:ilvl="0">
      <w:start w:val="1"/>
      <w:numFmt w:val="decimal"/>
      <w:suff w:val="nothing"/>
      <w:lvlText w:val="%1、"/>
      <w:lvlJc w:val="left"/>
    </w:lvl>
  </w:abstractNum>
  <w:abstractNum w:abstractNumId="1">
    <w:nsid w:val="34ED1B56"/>
    <w:multiLevelType w:val="hybridMultilevel"/>
    <w:tmpl w:val="6F465372"/>
    <w:lvl w:ilvl="0" w:tplc="A0A0C7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o:shapelayout v:ext="edit">
      <o:idmap v:ext="edit" data="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1B2F"/>
    <w:rsid w:val="0003639F"/>
    <w:rsid w:val="000A50A6"/>
    <w:rsid w:val="000C27C1"/>
    <w:rsid w:val="000C7B92"/>
    <w:rsid w:val="001F59E4"/>
    <w:rsid w:val="00240CE6"/>
    <w:rsid w:val="002B788E"/>
    <w:rsid w:val="0039716E"/>
    <w:rsid w:val="003B2A01"/>
    <w:rsid w:val="00452A64"/>
    <w:rsid w:val="00513F97"/>
    <w:rsid w:val="00521DB7"/>
    <w:rsid w:val="00536CFA"/>
    <w:rsid w:val="005945A9"/>
    <w:rsid w:val="00626578"/>
    <w:rsid w:val="00641B2F"/>
    <w:rsid w:val="006A4A8D"/>
    <w:rsid w:val="00771559"/>
    <w:rsid w:val="007817D9"/>
    <w:rsid w:val="007A18BD"/>
    <w:rsid w:val="007B62D6"/>
    <w:rsid w:val="007B6971"/>
    <w:rsid w:val="007E2C12"/>
    <w:rsid w:val="007F448A"/>
    <w:rsid w:val="00895EDF"/>
    <w:rsid w:val="008E2BC9"/>
    <w:rsid w:val="008F0D12"/>
    <w:rsid w:val="00983387"/>
    <w:rsid w:val="009A0A87"/>
    <w:rsid w:val="009C4F8C"/>
    <w:rsid w:val="00A704EB"/>
    <w:rsid w:val="00A74B60"/>
    <w:rsid w:val="00AA603E"/>
    <w:rsid w:val="00AB2B85"/>
    <w:rsid w:val="00B64B1C"/>
    <w:rsid w:val="00B66A36"/>
    <w:rsid w:val="00BC10A8"/>
    <w:rsid w:val="00BC31C7"/>
    <w:rsid w:val="00C34B96"/>
    <w:rsid w:val="00C4067D"/>
    <w:rsid w:val="00CB528A"/>
    <w:rsid w:val="00D92B57"/>
    <w:rsid w:val="00E3043A"/>
    <w:rsid w:val="00F31FBB"/>
    <w:rsid w:val="00F76C30"/>
    <w:rsid w:val="00F87CAC"/>
    <w:rsid w:val="00FA6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2F"/>
    <w:pPr>
      <w:widowControl w:val="0"/>
      <w:jc w:val="both"/>
    </w:pPr>
  </w:style>
  <w:style w:type="paragraph" w:styleId="1">
    <w:name w:val="heading 1"/>
    <w:basedOn w:val="a"/>
    <w:next w:val="a"/>
    <w:link w:val="1Char"/>
    <w:qFormat/>
    <w:rsid w:val="00F31FBB"/>
    <w:pPr>
      <w:keepNext/>
      <w:keepLines/>
      <w:spacing w:line="600" w:lineRule="exact"/>
      <w:ind w:firstLineChars="200" w:firstLine="640"/>
      <w:jc w:val="left"/>
      <w:outlineLvl w:val="0"/>
    </w:pPr>
    <w:rPr>
      <w:rFonts w:eastAsia="方正黑体_GBK"/>
      <w:kern w:val="44"/>
      <w:sz w:val="32"/>
      <w:szCs w:val="24"/>
    </w:rPr>
  </w:style>
  <w:style w:type="paragraph" w:styleId="2">
    <w:name w:val="heading 2"/>
    <w:basedOn w:val="a"/>
    <w:next w:val="a"/>
    <w:link w:val="2Char"/>
    <w:unhideWhenUsed/>
    <w:qFormat/>
    <w:rsid w:val="00F31FBB"/>
    <w:pPr>
      <w:keepNext/>
      <w:keepLines/>
      <w:spacing w:line="600" w:lineRule="exact"/>
      <w:ind w:firstLineChars="200" w:firstLine="640"/>
      <w:jc w:val="left"/>
      <w:outlineLvl w:val="1"/>
    </w:pPr>
    <w:rPr>
      <w:rFonts w:ascii="Arial" w:eastAsia="楷体_GB2312" w:hAnsi="Arial"/>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7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788E"/>
    <w:rPr>
      <w:sz w:val="18"/>
      <w:szCs w:val="18"/>
    </w:rPr>
  </w:style>
  <w:style w:type="paragraph" w:styleId="a4">
    <w:name w:val="footer"/>
    <w:basedOn w:val="a"/>
    <w:link w:val="Char0"/>
    <w:unhideWhenUsed/>
    <w:qFormat/>
    <w:rsid w:val="002B78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788E"/>
    <w:rPr>
      <w:sz w:val="18"/>
      <w:szCs w:val="18"/>
    </w:rPr>
  </w:style>
  <w:style w:type="character" w:customStyle="1" w:styleId="1Char">
    <w:name w:val="标题 1 Char"/>
    <w:basedOn w:val="a0"/>
    <w:link w:val="1"/>
    <w:rsid w:val="00F31FBB"/>
    <w:rPr>
      <w:rFonts w:eastAsia="方正黑体_GBK"/>
      <w:kern w:val="44"/>
      <w:sz w:val="32"/>
      <w:szCs w:val="24"/>
    </w:rPr>
  </w:style>
  <w:style w:type="character" w:customStyle="1" w:styleId="2Char">
    <w:name w:val="标题 2 Char"/>
    <w:basedOn w:val="a0"/>
    <w:link w:val="2"/>
    <w:rsid w:val="00F31FBB"/>
    <w:rPr>
      <w:rFonts w:ascii="Arial" w:eastAsia="楷体_GB2312" w:hAnsi="Arial"/>
      <w:sz w:val="32"/>
      <w:szCs w:val="24"/>
    </w:rPr>
  </w:style>
  <w:style w:type="paragraph" w:styleId="a5">
    <w:name w:val="Body Text"/>
    <w:basedOn w:val="a"/>
    <w:link w:val="Char1"/>
    <w:qFormat/>
    <w:rsid w:val="00F31FBB"/>
    <w:pPr>
      <w:adjustRightInd w:val="0"/>
      <w:snapToGrid w:val="0"/>
      <w:spacing w:after="120" w:line="600" w:lineRule="exact"/>
      <w:ind w:firstLineChars="200" w:firstLine="640"/>
      <w:jc w:val="left"/>
    </w:pPr>
    <w:rPr>
      <w:rFonts w:ascii="Times New Roman" w:eastAsia="Times New Roman" w:hAnsi="Times New Roman"/>
      <w:sz w:val="28"/>
      <w:szCs w:val="24"/>
    </w:rPr>
  </w:style>
  <w:style w:type="character" w:customStyle="1" w:styleId="Char1">
    <w:name w:val="正文文本 Char"/>
    <w:basedOn w:val="a0"/>
    <w:link w:val="a5"/>
    <w:rsid w:val="00F31FBB"/>
    <w:rPr>
      <w:rFonts w:ascii="Times New Roman" w:eastAsia="Times New Roman" w:hAnsi="Times New Roman"/>
      <w:sz w:val="28"/>
      <w:szCs w:val="24"/>
    </w:rPr>
  </w:style>
  <w:style w:type="table" w:styleId="a6">
    <w:name w:val="Table Grid"/>
    <w:basedOn w:val="a1"/>
    <w:qFormat/>
    <w:rsid w:val="00F31FB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F31FBB"/>
  </w:style>
  <w:style w:type="character" w:styleId="a8">
    <w:name w:val="FollowedHyperlink"/>
    <w:basedOn w:val="a0"/>
    <w:qFormat/>
    <w:rsid w:val="00F31FBB"/>
    <w:rPr>
      <w:color w:val="0466CB"/>
      <w:u w:val="none"/>
    </w:rPr>
  </w:style>
  <w:style w:type="character" w:styleId="a9">
    <w:name w:val="Hyperlink"/>
    <w:basedOn w:val="a0"/>
    <w:qFormat/>
    <w:rsid w:val="00F31FBB"/>
    <w:rPr>
      <w:color w:val="0466CB"/>
      <w:u w:val="none"/>
    </w:rPr>
  </w:style>
  <w:style w:type="character" w:customStyle="1" w:styleId="rmtext36">
    <w:name w:val="rmtext36"/>
    <w:basedOn w:val="a0"/>
    <w:qFormat/>
    <w:rsid w:val="00F31FBB"/>
    <w:rPr>
      <w:vanish/>
    </w:rPr>
  </w:style>
  <w:style w:type="character" w:customStyle="1" w:styleId="rfdselecttext">
    <w:name w:val="rfdselecttext"/>
    <w:basedOn w:val="a0"/>
    <w:qFormat/>
    <w:rsid w:val="00F31FBB"/>
  </w:style>
  <w:style w:type="character" w:customStyle="1" w:styleId="rmleftimage12">
    <w:name w:val="rmleftimage12"/>
    <w:basedOn w:val="a0"/>
    <w:qFormat/>
    <w:rsid w:val="00F31FBB"/>
  </w:style>
  <w:style w:type="character" w:customStyle="1" w:styleId="rmbottomshadowleft10">
    <w:name w:val="rmbottomshadowleft10"/>
    <w:basedOn w:val="a0"/>
    <w:qFormat/>
    <w:rsid w:val="00F31FBB"/>
  </w:style>
  <w:style w:type="character" w:customStyle="1" w:styleId="rmbottomshadowleft11">
    <w:name w:val="rmbottomshadowleft11"/>
    <w:basedOn w:val="a0"/>
    <w:qFormat/>
    <w:rsid w:val="00F31FBB"/>
  </w:style>
  <w:style w:type="paragraph" w:styleId="aa">
    <w:name w:val="List Paragraph"/>
    <w:basedOn w:val="a"/>
    <w:uiPriority w:val="99"/>
    <w:unhideWhenUsed/>
    <w:rsid w:val="00F31FBB"/>
    <w:pPr>
      <w:spacing w:line="600" w:lineRule="exact"/>
      <w:ind w:firstLineChars="200" w:firstLine="420"/>
      <w:jc w:val="left"/>
    </w:pPr>
    <w:rPr>
      <w:rFonts w:eastAsia="仿宋_GB2312"/>
      <w:sz w:val="32"/>
      <w:szCs w:val="24"/>
    </w:rPr>
  </w:style>
  <w:style w:type="character" w:customStyle="1" w:styleId="ab">
    <w:name w:val="公文文号"/>
    <w:basedOn w:val="a0"/>
    <w:rsid w:val="007A18BD"/>
    <w:rPr>
      <w:rFonts w:ascii="仿宋_GB2312" w:eastAsia="仿宋_GB2312" w:hint="eastAsia"/>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771</Words>
  <Characters>4398</Characters>
  <Application>Microsoft Office Word</Application>
  <DocSecurity>0</DocSecurity>
  <Lines>36</Lines>
  <Paragraphs>10</Paragraphs>
  <ScaleCrop>false</ScaleCrop>
  <Company>IBM</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cp:lastPrinted>2020-04-30T08:03:00Z</cp:lastPrinted>
  <dcterms:created xsi:type="dcterms:W3CDTF">2020-05-27T01:27:00Z</dcterms:created>
  <dcterms:modified xsi:type="dcterms:W3CDTF">2020-05-29T06:18:00Z</dcterms:modified>
</cp:coreProperties>
</file>