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8" w:type="dxa"/>
        <w:tblInd w:w="64" w:type="dxa"/>
        <w:tblLayout w:type="fixed"/>
        <w:tblCellMar>
          <w:left w:w="0" w:type="dxa"/>
          <w:right w:w="0" w:type="dxa"/>
        </w:tblCellMar>
        <w:tblLook w:val="04A0"/>
      </w:tblPr>
      <w:tblGrid>
        <w:gridCol w:w="518"/>
        <w:gridCol w:w="619"/>
        <w:gridCol w:w="1418"/>
        <w:gridCol w:w="1559"/>
        <w:gridCol w:w="993"/>
        <w:gridCol w:w="993"/>
        <w:gridCol w:w="1134"/>
        <w:gridCol w:w="1134"/>
        <w:gridCol w:w="3825"/>
        <w:gridCol w:w="996"/>
        <w:gridCol w:w="709"/>
      </w:tblGrid>
      <w:tr w:rsidR="00665127" w:rsidTr="003D01B5">
        <w:trPr>
          <w:cantSplit/>
          <w:trHeight w:hRule="exact" w:val="567"/>
          <w:tblHeader/>
        </w:trPr>
        <w:tc>
          <w:tcPr>
            <w:tcW w:w="13898" w:type="dxa"/>
            <w:gridSpan w:val="11"/>
            <w:tcBorders>
              <w:top w:val="nil"/>
              <w:left w:val="nil"/>
              <w:bottom w:val="single" w:sz="4" w:space="0" w:color="000000"/>
              <w:right w:val="nil"/>
            </w:tcBorders>
            <w:shd w:val="clear" w:color="auto" w:fill="auto"/>
            <w:noWrap/>
            <w:tcMar>
              <w:top w:w="15" w:type="dxa"/>
              <w:left w:w="15" w:type="dxa"/>
              <w:right w:w="15" w:type="dxa"/>
            </w:tcMar>
            <w:vAlign w:val="center"/>
          </w:tcPr>
          <w:p w:rsidR="00665127" w:rsidRDefault="00665127" w:rsidP="006F65C5">
            <w:pPr>
              <w:widowControl/>
              <w:spacing w:line="320" w:lineRule="exact"/>
              <w:jc w:val="center"/>
              <w:textAlignment w:val="center"/>
              <w:rPr>
                <w:rFonts w:asciiTheme="minorEastAsia" w:hAnsiTheme="minorEastAsia" w:cstheme="minorEastAsia"/>
                <w:color w:val="000000"/>
                <w:kern w:val="0"/>
                <w:sz w:val="18"/>
                <w:szCs w:val="18"/>
              </w:rPr>
            </w:pPr>
            <w:r>
              <w:rPr>
                <w:rFonts w:ascii="方正小标宋简体" w:eastAsia="方正小标宋简体" w:hAnsi="方正小标宋简体" w:cs="方正小标宋简体" w:hint="eastAsia"/>
                <w:color w:val="000000"/>
                <w:kern w:val="0"/>
                <w:sz w:val="32"/>
                <w:szCs w:val="32"/>
              </w:rPr>
              <w:t>昆明市官渡区市场监管领域随机抽查事项清单</w:t>
            </w:r>
          </w:p>
        </w:tc>
      </w:tr>
      <w:tr w:rsidR="00483B99" w:rsidTr="003D01B5">
        <w:trPr>
          <w:cantSplit/>
          <w:trHeight w:hRule="exact" w:val="454"/>
          <w:tblHeader/>
        </w:trPr>
        <w:tc>
          <w:tcPr>
            <w:tcW w:w="51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序号</w:t>
            </w:r>
          </w:p>
        </w:tc>
        <w:tc>
          <w:tcPr>
            <w:tcW w:w="61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部门</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抽查项目</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事项类别</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检查对象</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检查方式</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检查主体</w:t>
            </w:r>
          </w:p>
        </w:tc>
        <w:tc>
          <w:tcPr>
            <w:tcW w:w="38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检查依据</w:t>
            </w:r>
          </w:p>
        </w:tc>
        <w:tc>
          <w:tcPr>
            <w:tcW w:w="99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适用区域</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备注</w:t>
            </w:r>
          </w:p>
        </w:tc>
      </w:tr>
      <w:tr w:rsidR="00483B99" w:rsidTr="003D01B5">
        <w:trPr>
          <w:cantSplit/>
          <w:trHeight w:hRule="exact" w:val="568"/>
          <w:tblHeader/>
        </w:trPr>
        <w:tc>
          <w:tcPr>
            <w:tcW w:w="518"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61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kern w:val="0"/>
                <w:sz w:val="22"/>
              </w:rPr>
            </w:pPr>
            <w:r>
              <w:rPr>
                <w:rFonts w:ascii="方正黑体_GBK" w:eastAsia="方正黑体_GBK" w:hAnsi="方正黑体_GBK" w:cs="方正黑体_GBK" w:hint="eastAsia"/>
                <w:b/>
                <w:bCs/>
                <w:kern w:val="0"/>
                <w:sz w:val="22"/>
              </w:rPr>
              <w:t>抽查类别</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b/>
                <w:bCs/>
                <w:kern w:val="0"/>
                <w:sz w:val="22"/>
              </w:rPr>
              <w:t>抽查事项</w:t>
            </w: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382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6"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70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Theme="minorEastAsia" w:hAnsiTheme="minorEastAsia" w:cstheme="minorEastAsia"/>
                <w:b/>
                <w:bCs/>
                <w:kern w:val="0"/>
                <w:sz w:val="22"/>
              </w:rPr>
            </w:pP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宋体"/>
                <w:sz w:val="20"/>
                <w:szCs w:val="20"/>
              </w:rPr>
            </w:pPr>
            <w:r w:rsidRPr="00DD1700">
              <w:rPr>
                <w:rFonts w:asciiTheme="minorEastAsia" w:hAnsiTheme="minorEastAsia" w:cs="宋体" w:hint="eastAsia"/>
                <w:kern w:val="0"/>
                <w:sz w:val="20"/>
                <w:szCs w:val="20"/>
              </w:rPr>
              <w:t>昆明市官渡区住房和城乡建设局（14类36项）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宋体"/>
                <w:sz w:val="20"/>
                <w:szCs w:val="20"/>
              </w:rPr>
            </w:pPr>
            <w:r w:rsidRPr="00DD1700">
              <w:rPr>
                <w:rFonts w:asciiTheme="minorEastAsia" w:hAnsiTheme="minorEastAsia" w:cs="宋体" w:hint="eastAsia"/>
                <w:kern w:val="0"/>
                <w:sz w:val="20"/>
                <w:szCs w:val="20"/>
              </w:rPr>
              <w:t>施工许可证批后管理监督检查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宋体"/>
                <w:sz w:val="20"/>
                <w:szCs w:val="20"/>
              </w:rPr>
            </w:pPr>
            <w:r w:rsidRPr="00DD1700">
              <w:rPr>
                <w:rFonts w:asciiTheme="minorEastAsia" w:hAnsiTheme="minorEastAsia" w:cs="宋体" w:hint="eastAsia"/>
                <w:kern w:val="0"/>
                <w:sz w:val="20"/>
                <w:szCs w:val="20"/>
              </w:rPr>
              <w:t>对取得施工许可证后不再符合许可条件、延期开工、中止施工等行为进行监督检查。对存在未取得施工许可证擅自施工、以隐瞒有关情况或者提供虚假材料申请施工许可证以及伪造或者涂改施工许可证等违法违规行为的单位及相关责任人，要严格按照《建筑工程施工许可管理办法》（建设部令第18号）的规定进行惩处。</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宋体"/>
                <w:sz w:val="20"/>
                <w:szCs w:val="20"/>
              </w:rPr>
            </w:pPr>
            <w:r w:rsidRPr="00DD1700">
              <w:rPr>
                <w:rFonts w:asciiTheme="minorEastAsia" w:hAnsiTheme="minorEastAsia" w:cs="宋体"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宋体"/>
                <w:sz w:val="20"/>
                <w:szCs w:val="20"/>
              </w:rPr>
            </w:pPr>
            <w:r w:rsidRPr="00DD1700">
              <w:rPr>
                <w:rFonts w:asciiTheme="minorEastAsia" w:hAnsiTheme="minorEastAsia" w:cs="宋体" w:hint="eastAsia"/>
                <w:kern w:val="0"/>
                <w:sz w:val="20"/>
                <w:szCs w:val="20"/>
              </w:rPr>
              <w:t>全区建筑工程项目建设单位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宋体"/>
                <w:sz w:val="20"/>
                <w:szCs w:val="20"/>
              </w:rPr>
            </w:pPr>
            <w:r w:rsidRPr="00DD1700">
              <w:rPr>
                <w:rFonts w:asciiTheme="minorEastAsia" w:hAnsiTheme="minorEastAsia" w:cs="宋体" w:hint="eastAsia"/>
                <w:kern w:val="0"/>
                <w:sz w:val="20"/>
                <w:szCs w:val="20"/>
              </w:rPr>
              <w:t>现场检查和书面检查相结合方式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宋体"/>
                <w:color w:val="FF0000"/>
                <w:kern w:val="0"/>
                <w:sz w:val="20"/>
                <w:szCs w:val="20"/>
              </w:rPr>
            </w:pPr>
          </w:p>
          <w:p w:rsidR="00FC6760" w:rsidRPr="00DD1700" w:rsidRDefault="00FC6760" w:rsidP="00DD1700">
            <w:pPr>
              <w:widowControl/>
              <w:spacing w:line="240" w:lineRule="exact"/>
              <w:textAlignment w:val="center"/>
              <w:rPr>
                <w:rFonts w:asciiTheme="minorEastAsia" w:hAnsiTheme="minorEastAsia" w:cs="宋体"/>
                <w:sz w:val="20"/>
                <w:szCs w:val="20"/>
              </w:rPr>
            </w:pPr>
            <w:r w:rsidRPr="00DD1700">
              <w:rPr>
                <w:rFonts w:asciiTheme="minorEastAsia" w:hAnsiTheme="minorEastAsia" w:cs="宋体" w:hint="eastAsia"/>
                <w:kern w:val="0"/>
                <w:sz w:val="20"/>
                <w:szCs w:val="20"/>
              </w:rPr>
              <w:t>官渡区住房和城乡建设局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宋体"/>
                <w:sz w:val="20"/>
                <w:szCs w:val="20"/>
              </w:rPr>
            </w:pPr>
            <w:r w:rsidRPr="00DD1700">
              <w:rPr>
                <w:rFonts w:asciiTheme="minorEastAsia" w:hAnsiTheme="minorEastAsia" w:cs="宋体" w:hint="eastAsia"/>
                <w:kern w:val="0"/>
                <w:sz w:val="20"/>
                <w:szCs w:val="20"/>
              </w:rPr>
              <w:t>《住房城乡建设部办公厅关于进一步加强建筑工程施工许可管理工作的通知》（建办市〔2014〕34号）第一款第四条；</w:t>
            </w:r>
            <w:r w:rsidRPr="00DD1700">
              <w:rPr>
                <w:rFonts w:asciiTheme="minorEastAsia" w:hAnsiTheme="minorEastAsia" w:cs="宋体" w:hint="eastAsia"/>
                <w:kern w:val="0"/>
                <w:sz w:val="20"/>
                <w:szCs w:val="20"/>
              </w:rPr>
              <w:br/>
              <w:t>《建筑工程施工许可管理办法》（建设部令第18号）。</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2</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昆明市官渡区住房和城乡建设局（14类36项）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宋体" w:hint="eastAsia"/>
                <w:kern w:val="0"/>
                <w:sz w:val="20"/>
                <w:szCs w:val="20"/>
              </w:rPr>
              <w:t>建筑业企业资质监督检查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宋体" w:hint="eastAsia"/>
                <w:kern w:val="0"/>
                <w:sz w:val="20"/>
                <w:szCs w:val="20"/>
              </w:rPr>
              <w:t>建筑业企业资质证书、注册执业人员的注册执业证书，职称证书、岗位证书和考核或者培训合格证书，有关施工业务的文档，有关质量管理、安全生产管理、档案管理、财务管理等企业内部管理制度的文件。</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全区建筑业施工企业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现场检查和书面检查相结合方式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《建筑业企业资质管理规定》（住房和城乡建设部令第22号令)</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按照我局质安站职能职责，建筑企业资质初审工作全程在云南省建筑市场监管与诚信信息网上审核后上传至资质许可机关，审核过程中不接收任何纸质资料。按照《建筑业企业资质管</w:t>
            </w:r>
            <w:r w:rsidRPr="00DD1700">
              <w:rPr>
                <w:rFonts w:asciiTheme="minorEastAsia" w:hAnsiTheme="minorEastAsia" w:cstheme="minorEastAsia" w:hint="eastAsia"/>
                <w:kern w:val="0"/>
                <w:sz w:val="20"/>
                <w:szCs w:val="20"/>
              </w:rPr>
              <w:lastRenderedPageBreak/>
              <w:t>理规定》第三十二条相关规定：建筑企业资质信用档案管理制度由资质许可机关建立并保存。</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3</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昆明市官渡区住房和城乡建设局（14类36项）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宋体" w:hint="eastAsia"/>
                <w:kern w:val="0"/>
                <w:sz w:val="20"/>
                <w:szCs w:val="20"/>
              </w:rPr>
              <w:t>对工程监理企业的监督检查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宋体" w:hint="eastAsia"/>
                <w:kern w:val="0"/>
                <w:sz w:val="20"/>
                <w:szCs w:val="20"/>
              </w:rPr>
              <w:t>1.资质类型、等级是否符合要求（查：资质证书正副本复印件及企业印章；工程项目类型、等级、监理委托合同和工程承发包合同等）；</w:t>
            </w:r>
            <w:r w:rsidRPr="00DD1700">
              <w:rPr>
                <w:rFonts w:asciiTheme="minorEastAsia" w:hAnsiTheme="minorEastAsia" w:cs="宋体" w:hint="eastAsia"/>
                <w:kern w:val="0"/>
                <w:sz w:val="20"/>
                <w:szCs w:val="20"/>
              </w:rPr>
              <w:br/>
              <w:t>2.资质有效期是否过期（查：资质证书有效期）；</w:t>
            </w:r>
            <w:r w:rsidRPr="00DD1700">
              <w:rPr>
                <w:rFonts w:asciiTheme="minorEastAsia" w:hAnsiTheme="minorEastAsia" w:cs="宋体" w:hint="eastAsia"/>
                <w:kern w:val="0"/>
                <w:sz w:val="20"/>
                <w:szCs w:val="20"/>
              </w:rPr>
              <w:br/>
              <w:t>3.监理机构及个人资格、《监理规</w:t>
            </w:r>
            <w:r w:rsidRPr="00DD1700">
              <w:rPr>
                <w:rFonts w:asciiTheme="minorEastAsia" w:hAnsiTheme="minorEastAsia" w:cs="宋体" w:hint="eastAsia"/>
                <w:kern w:val="0"/>
                <w:sz w:val="20"/>
                <w:szCs w:val="20"/>
              </w:rPr>
              <w:lastRenderedPageBreak/>
              <w:t>划》审批、《监理实施细则》编制、《旁站监理方案》编制及记录、“危险性较大分部分项工程清单”编制、见证取样人备䅁及记录、监理例会等会议纪要、监理日记和月报、监理通知及回复、工程开工（暂停、复工）令、监理报告、巡视检查记录等；《施工组织设计》和《施工专项方案》审查、分包资质核查、工程变更管理、隐蔽和分部分项工程验收、专家论证意见落实等。</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全市工程监理企业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现场检查和书面检查相结合方式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《工程监理企业资质管理规定》（建设部令第158号）</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监管职权未下放到县区级</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Default="009A4497" w:rsidP="00DD1700">
            <w:pPr>
              <w:widowControl/>
              <w:spacing w:line="240" w:lineRule="exact"/>
              <w:jc w:val="center"/>
              <w:textAlignment w:val="center"/>
              <w:rPr>
                <w:rFonts w:asciiTheme="minorEastAsia" w:hAnsiTheme="minorEastAsia" w:cstheme="minorEastAsia" w:hint="eastAsia"/>
                <w:kern w:val="0"/>
                <w:sz w:val="20"/>
                <w:szCs w:val="20"/>
              </w:rPr>
            </w:pPr>
            <w:r>
              <w:rPr>
                <w:rFonts w:asciiTheme="minorEastAsia" w:hAnsiTheme="minorEastAsia" w:cstheme="minorEastAsia" w:hint="eastAsia"/>
                <w:kern w:val="0"/>
                <w:sz w:val="20"/>
                <w:szCs w:val="20"/>
              </w:rPr>
              <w:lastRenderedPageBreak/>
              <w:t>4</w:t>
            </w:r>
          </w:p>
          <w:p w:rsidR="009A4497"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昆明市官渡区住房和城乡建设局（14类36项）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建筑节能相关标准执行情况监督检查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宋体"/>
                <w:kern w:val="0"/>
                <w:sz w:val="20"/>
                <w:szCs w:val="20"/>
              </w:rPr>
            </w:pPr>
            <w:r w:rsidRPr="00DD1700">
              <w:rPr>
                <w:rFonts w:asciiTheme="minorEastAsia" w:hAnsiTheme="minorEastAsia" w:cs="宋体" w:hint="eastAsia"/>
                <w:kern w:val="0"/>
                <w:sz w:val="20"/>
                <w:szCs w:val="20"/>
              </w:rPr>
              <w:t>1.建筑节能强制性标准执行情况</w:t>
            </w:r>
            <w:r w:rsidRPr="00DD1700">
              <w:rPr>
                <w:rFonts w:asciiTheme="minorEastAsia" w:hAnsiTheme="minorEastAsia" w:cs="宋体" w:hint="eastAsia"/>
                <w:kern w:val="0"/>
                <w:sz w:val="20"/>
                <w:szCs w:val="20"/>
              </w:rPr>
              <w:br/>
              <w:t xml:space="preserve">一是县（市）区建设主管部门是否按规定建筑节能履行监督管理职责；二是建设单位、设计单位、施工单位、工程监理单位是否按照民用建筑节能强制性标准进行设计、施工和验收；　三是房地产开发企业销售商品房，是否按规定向购买人明示所售商品房的能效信息；　　                                       </w:t>
            </w:r>
            <w:r w:rsidRPr="00DD1700">
              <w:rPr>
                <w:rFonts w:asciiTheme="minorEastAsia" w:hAnsiTheme="minorEastAsia" w:cs="宋体" w:hint="eastAsia"/>
                <w:kern w:val="0"/>
                <w:sz w:val="20"/>
                <w:szCs w:val="20"/>
              </w:rPr>
              <w:br/>
              <w:t>四是注册执业人员是否执行民用建筑节能强制性标准。</w:t>
            </w:r>
            <w:r w:rsidRPr="00DD1700">
              <w:rPr>
                <w:rFonts w:asciiTheme="minorEastAsia" w:hAnsiTheme="minorEastAsia" w:cs="宋体" w:hint="eastAsia"/>
                <w:kern w:val="0"/>
                <w:sz w:val="20"/>
                <w:szCs w:val="20"/>
              </w:rPr>
              <w:br/>
              <w:t>2.能效测评标识情况</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宋体" w:hint="eastAsia"/>
                <w:kern w:val="0"/>
                <w:sz w:val="20"/>
                <w:szCs w:val="20"/>
              </w:rPr>
              <w:t>规定建筑是否进行能效测评标识并纳入建筑能耗</w:t>
            </w:r>
            <w:r w:rsidRPr="00DD1700">
              <w:rPr>
                <w:rFonts w:asciiTheme="minorEastAsia" w:hAnsiTheme="minorEastAsia" w:cs="宋体" w:hint="eastAsia"/>
                <w:kern w:val="0"/>
                <w:sz w:val="20"/>
                <w:szCs w:val="20"/>
              </w:rPr>
              <w:lastRenderedPageBreak/>
              <w:t>实时监测系统。</w:t>
            </w:r>
            <w:r w:rsidRPr="00DD1700">
              <w:rPr>
                <w:rFonts w:asciiTheme="minorEastAsia" w:hAnsiTheme="minorEastAsia" w:cs="宋体" w:hint="eastAsia"/>
                <w:kern w:val="0"/>
                <w:sz w:val="20"/>
                <w:szCs w:val="20"/>
              </w:rPr>
              <w:br/>
              <w:t>3.太阳能热水系统与建筑一体化应用情况</w:t>
            </w:r>
            <w:r w:rsidRPr="00DD1700">
              <w:rPr>
                <w:rFonts w:asciiTheme="minorEastAsia" w:hAnsiTheme="minorEastAsia" w:cs="宋体" w:hint="eastAsia"/>
                <w:kern w:val="0"/>
                <w:sz w:val="20"/>
                <w:szCs w:val="20"/>
              </w:rPr>
              <w:br/>
              <w:t>有热水需求的建筑是否按规定实施了太阳能热水系统与建筑一体化应用</w:t>
            </w:r>
            <w:r w:rsidRPr="00DD1700">
              <w:rPr>
                <w:rFonts w:asciiTheme="minorEastAsia" w:hAnsiTheme="minorEastAsia" w:cstheme="minorEastAsia" w:hint="eastAsia"/>
                <w:kern w:val="0"/>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民用建筑项目参建各方主体和各县（市）区、开发（度假）园区建设主管部门</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现场检查和书面检查相结合方式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《中华人民共和国节约能源法》 第三十四条第二款；</w:t>
            </w:r>
            <w:r w:rsidRPr="00DD1700">
              <w:rPr>
                <w:rFonts w:asciiTheme="minorEastAsia" w:hAnsiTheme="minorEastAsia" w:cstheme="minorEastAsia" w:hint="eastAsia"/>
                <w:kern w:val="0"/>
                <w:sz w:val="20"/>
                <w:szCs w:val="20"/>
              </w:rPr>
              <w:br/>
              <w:t>《民用建筑节能条例》（国务院令第530号）第五条；</w:t>
            </w:r>
            <w:r w:rsidRPr="00DD1700">
              <w:rPr>
                <w:rFonts w:asciiTheme="minorEastAsia" w:hAnsiTheme="minorEastAsia" w:cstheme="minorEastAsia" w:hint="eastAsia"/>
                <w:kern w:val="0"/>
                <w:sz w:val="20"/>
                <w:szCs w:val="20"/>
              </w:rPr>
              <w:br/>
              <w:t>《民用建筑能效测评标识管理暂行办法》（建科〔2008〕80号）第六条第二款；</w:t>
            </w:r>
            <w:r w:rsidRPr="00DD1700">
              <w:rPr>
                <w:rFonts w:asciiTheme="minorEastAsia" w:hAnsiTheme="minorEastAsia" w:cstheme="minorEastAsia" w:hint="eastAsia"/>
                <w:kern w:val="0"/>
                <w:sz w:val="20"/>
                <w:szCs w:val="20"/>
              </w:rPr>
              <w:br/>
              <w:t>《云南省民用建筑能效测评标识管理实施细则》（云府登1094号、省住建厅公告第45号）第六条第二款；</w:t>
            </w:r>
            <w:r w:rsidRPr="00DD1700">
              <w:rPr>
                <w:rFonts w:asciiTheme="minorEastAsia" w:hAnsiTheme="minorEastAsia" w:cstheme="minorEastAsia" w:hint="eastAsia"/>
                <w:kern w:val="0"/>
                <w:sz w:val="20"/>
                <w:szCs w:val="20"/>
              </w:rPr>
              <w:br/>
              <w:t xml:space="preserve">《昆明市人大常委会关于加强太阳能热水系统推广应用和管理的决议》（昆人发〔2009〕95号）；  </w:t>
            </w:r>
            <w:r w:rsidRPr="00DD1700">
              <w:rPr>
                <w:rFonts w:asciiTheme="minorEastAsia" w:hAnsiTheme="minorEastAsia" w:cstheme="minorEastAsia" w:hint="eastAsia"/>
                <w:kern w:val="0"/>
                <w:sz w:val="20"/>
                <w:szCs w:val="20"/>
              </w:rPr>
              <w:br/>
              <w:t>《昆明市太阳能热水系统与建筑一体化管理规定（试行）》（昆政办（〔2016〕79号） 第四条第一款。</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监管职权未下放到县区级</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5</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昆明市官渡区住房和城乡建设局（14类36项）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物业管理活动监管</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1.核查企业相关信息。                                  2.对物业管理活动中物业服务企业是否及时处理业主合理投诉、是否有违反相关法律法规行为进行监督检查。                  3.核查企业守法经营情况。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全区物业服务企业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现场检查和书面检查相结合方式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1.《物业管理条例》(国务院令第379号公布)；</w:t>
            </w:r>
            <w:r w:rsidRPr="00DD1700">
              <w:rPr>
                <w:rFonts w:asciiTheme="minorEastAsia" w:hAnsiTheme="minorEastAsia" w:cstheme="minorEastAsia" w:hint="eastAsia"/>
                <w:kern w:val="0"/>
                <w:sz w:val="20"/>
                <w:szCs w:val="20"/>
              </w:rPr>
              <w:br/>
              <w:t>2.《昆明市物业管理办法》（昆明市人民政府令第133号）。</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6</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房地产开发经营活动监督检查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1.对房地产开发企业资质管理情况进行检查。重点检查：（1）专业管理人员职称证件和合同签订情况；（2）开发经营项目业绩有关材料；（3）房地产开发项目《住宅质量保证书》《住宅使用说明书》执行情况。                 2.对商品房销售主体合法性进行监督检查。重点检查商品房取得土地使用权证书、建设用地规划许可证、施工许可证、商品房预售许可证明等情况。                        3.对房地产开发企业开发销售经营行为进行监督检查。重点检查其是否存在违法违</w:t>
            </w:r>
            <w:r w:rsidRPr="00DD1700">
              <w:rPr>
                <w:rFonts w:asciiTheme="minorEastAsia" w:hAnsiTheme="minorEastAsia" w:cstheme="minorEastAsia" w:hint="eastAsia"/>
                <w:kern w:val="0"/>
                <w:sz w:val="20"/>
                <w:szCs w:val="20"/>
              </w:rPr>
              <w:lastRenderedPageBreak/>
              <w:t>规现象和不当经营情况。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房地产开发企业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现场检查和书面检查相结合</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城市房地产开发经营管理条例》（国务院令248号）、《房地产开发企业资质管理规定》建设部令第77号、《城市房地产开发经营管理条例》（国务院令第248号）、《云南省城市房地产开发交易管理条例》（2000年省九届人大常委会第十八次会议通过，2004年省十届人大常委会第十三次会议修正）</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监管职权未下放到县区级</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7</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昆明市官渡区住房和城乡建设局（14类36项）</w:t>
            </w:r>
          </w:p>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对房地产经纪机构的监督检查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1.核查企业相关信息。                                  2.检查办公场地、设备及人员、档案的情况。                 3.核查企业守法经营情况。                               4.房地产经纪机构从事业务的房地产经纪人员情况，房地产经纪服务项目、服务内容、收费标准以及相关房地产价格和信息等。</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房地产中介机构</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现场检查或者书面检查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《房地产经纪管理办法》（住房和城乡建设部、国家发展和改革委员会、人力资源和社会保障部令第8号）第五条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F77A85"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kern w:val="0"/>
                <w:sz w:val="20"/>
                <w:szCs w:val="20"/>
              </w:rPr>
              <w:lastRenderedPageBreak/>
              <w:pict>
                <v:line id="直线 2" o:spid="_x0000_s2068" style="position:absolute;left:0;text-align:left;z-index:251682816;mso-position-horizontal-relative:text;mso-position-vertical-relative:text" from="20.1pt,-1.05pt" to="65.85pt,-1pt" filled="t"/>
              </w:pict>
            </w:r>
            <w:r w:rsidR="009A4497">
              <w:rPr>
                <w:rFonts w:asciiTheme="minorEastAsia" w:hAnsiTheme="minorEastAsia" w:cstheme="minorEastAsia" w:hint="eastAsia"/>
                <w:kern w:val="0"/>
                <w:sz w:val="20"/>
                <w:szCs w:val="20"/>
              </w:rPr>
              <w:t>8</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昆明市官渡区住房和城乡建设局（14类36项）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建设工程发承包计价活动监督检查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1.资质核查（含人员核查）；</w:t>
            </w:r>
            <w:r w:rsidRPr="00DD1700">
              <w:rPr>
                <w:rFonts w:asciiTheme="minorEastAsia" w:hAnsiTheme="minorEastAsia" w:cstheme="minorEastAsia" w:hint="eastAsia"/>
                <w:kern w:val="0"/>
                <w:sz w:val="20"/>
                <w:szCs w:val="20"/>
              </w:rPr>
              <w:br/>
              <w:t>2.业务咨询成果文件。</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昆明市行政辖区从事工程造价相关工作的造价咨询企业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随机抽选造价企业上报资料并实地核查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《工程造价咨询企业管理办法》（建设部令第149号）第六条；</w:t>
            </w:r>
            <w:r w:rsidRPr="00DD1700">
              <w:rPr>
                <w:rFonts w:asciiTheme="minorEastAsia" w:hAnsiTheme="minorEastAsia" w:cstheme="minorEastAsia" w:hint="eastAsia"/>
                <w:kern w:val="0"/>
                <w:sz w:val="20"/>
                <w:szCs w:val="20"/>
              </w:rPr>
              <w:br/>
              <w:t>《昆明市建设工程造价管理办法》（昆政办〔2011〕112号文）。</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监管职权未下放到县区级</w:t>
            </w:r>
          </w:p>
        </w:tc>
      </w:tr>
      <w:tr w:rsidR="00FC6760" w:rsidRPr="00DD1700" w:rsidTr="003D01B5">
        <w:tblPrEx>
          <w:tblLook w:val="0000"/>
        </w:tblPrEx>
        <w:trPr>
          <w:trHeight w:val="1221"/>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9</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对新型墙体材料生产企业的监督检查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1.对昆明市范围内违法使用新型墙体材料产品认定证书企业的检查；</w:t>
            </w:r>
            <w:r w:rsidRPr="00DD1700">
              <w:rPr>
                <w:rFonts w:asciiTheme="minorEastAsia" w:hAnsiTheme="minorEastAsia" w:cstheme="minorEastAsia" w:hint="eastAsia"/>
                <w:kern w:val="0"/>
                <w:sz w:val="20"/>
                <w:szCs w:val="20"/>
              </w:rPr>
              <w:br/>
              <w:t>2.对昆明市范围内违法生产和销售未经依法认定的新型墙体材料的企业的检查；</w:t>
            </w:r>
            <w:r w:rsidRPr="00DD1700">
              <w:rPr>
                <w:rFonts w:asciiTheme="minorEastAsia" w:hAnsiTheme="minorEastAsia" w:cstheme="minorEastAsia" w:hint="eastAsia"/>
                <w:kern w:val="0"/>
                <w:sz w:val="20"/>
                <w:szCs w:val="20"/>
              </w:rPr>
              <w:br/>
              <w:t>3.对昆明市范围内新型墙体材料产品质量的检查；</w:t>
            </w:r>
            <w:r w:rsidRPr="00DD1700">
              <w:rPr>
                <w:rFonts w:asciiTheme="minorEastAsia" w:hAnsiTheme="minorEastAsia" w:cstheme="minorEastAsia" w:hint="eastAsia"/>
                <w:kern w:val="0"/>
                <w:sz w:val="20"/>
                <w:szCs w:val="20"/>
              </w:rPr>
              <w:br/>
              <w:t>4.对昆明市范围内违法设施、设备和不合格产品的</w:t>
            </w:r>
            <w:r w:rsidRPr="00DD1700">
              <w:rPr>
                <w:rFonts w:asciiTheme="minorEastAsia" w:hAnsiTheme="minorEastAsia" w:cstheme="minorEastAsia" w:hint="eastAsia"/>
                <w:kern w:val="0"/>
                <w:sz w:val="20"/>
                <w:szCs w:val="20"/>
              </w:rPr>
              <w:lastRenderedPageBreak/>
              <w:t>封存、暂扣。</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昆明市新墙材生产企业库</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《云南省发展新型墙体材料条例》（2010年3月26日云南省第十一届人民代表大会常务委员会第十六次会议通过）第十二条、第十六条、第十九条、第二十四条；</w:t>
            </w:r>
            <w:r w:rsidRPr="00DD1700">
              <w:rPr>
                <w:rFonts w:asciiTheme="minorEastAsia" w:hAnsiTheme="minorEastAsia" w:cstheme="minorEastAsia" w:hint="eastAsia"/>
                <w:kern w:val="0"/>
                <w:sz w:val="20"/>
                <w:szCs w:val="20"/>
              </w:rPr>
              <w:br/>
              <w:t>《昆明市新型墙体材料和建筑节能产品备案管理规定》（昆建发〔2008〕580）第九条、第十一条。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监管职权未下放到县区级</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10</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昆明市官渡区住房和城乡建设局（14类36项）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对新型墙体材料使用单位的监督检查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实地检查是否使用新墙材及使用新墙材是否符合新墙材产品标准和是否符合绿色建材、装配式建筑相关要求等。</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昆明市新墙材使用单位（建设单位）企业库</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《云南省发展新型墙体材料条例》（2010年3月26日云南省第十一届人民代表大会常务委员会第十六次会议通过）第十二条、第二十条、第二十一条、第二十四条；</w:t>
            </w:r>
            <w:r w:rsidRPr="00DD1700">
              <w:rPr>
                <w:rFonts w:asciiTheme="minorEastAsia" w:hAnsiTheme="minorEastAsia" w:cstheme="minorEastAsia" w:hint="eastAsia"/>
                <w:kern w:val="0"/>
                <w:sz w:val="20"/>
                <w:szCs w:val="20"/>
              </w:rPr>
              <w:br/>
              <w:t>《云南省装配式建筑评价标准》（DBJ53/T-96-2018)</w:t>
            </w:r>
            <w:r w:rsidRPr="00DD1700">
              <w:rPr>
                <w:rFonts w:asciiTheme="minorEastAsia" w:hAnsiTheme="minorEastAsia" w:cstheme="minorEastAsia" w:hint="eastAsia"/>
                <w:kern w:val="0"/>
                <w:sz w:val="20"/>
                <w:szCs w:val="20"/>
              </w:rPr>
              <w:br/>
              <w:t>云南省工信委 住建厅 关于印发《云南省绿色建材生产和应用实施方案》的通知(云工信原材[2015]570号)</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监管职权未下放到县区级</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11</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昆明市官渡区住房和城乡建设局（14类36项）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对预拌混凝土、预拌砂浆、企业的监督检查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预拌混凝土（砂浆）企业绿色生产达标、，生产经营等情况和有关法律法规规定的其他情况。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预拌混凝土、预拌砂浆企业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现场检查和书面检查相结合方式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《绿色建筑评价标准》（GB/T50378-2014）；</w:t>
            </w:r>
            <w:r w:rsidRPr="00DD1700">
              <w:rPr>
                <w:rFonts w:asciiTheme="minorEastAsia" w:hAnsiTheme="minorEastAsia" w:cstheme="minorEastAsia" w:hint="eastAsia"/>
                <w:kern w:val="0"/>
                <w:sz w:val="20"/>
                <w:szCs w:val="20"/>
              </w:rPr>
              <w:br/>
              <w:t>《预拌混凝土绿色生产评价标识管理办法（试行）》（建办标函〔2015〕346号）第七条；</w:t>
            </w:r>
            <w:r w:rsidRPr="00DD1700">
              <w:rPr>
                <w:rFonts w:asciiTheme="minorEastAsia" w:hAnsiTheme="minorEastAsia" w:cstheme="minorEastAsia" w:hint="eastAsia"/>
                <w:kern w:val="0"/>
                <w:sz w:val="20"/>
                <w:szCs w:val="20"/>
              </w:rPr>
              <w:br/>
              <w:t>《绿色建材评价标识管理办法实施细则》第七条；</w:t>
            </w:r>
            <w:r w:rsidRPr="00DD1700">
              <w:rPr>
                <w:rFonts w:asciiTheme="minorEastAsia" w:hAnsiTheme="minorEastAsia" w:cstheme="minorEastAsia" w:hint="eastAsia"/>
                <w:kern w:val="0"/>
                <w:sz w:val="20"/>
                <w:szCs w:val="20"/>
              </w:rPr>
              <w:br/>
              <w:t>《关于限期禁止在城市城区现场搅拌混凝土的通知》（商改发〔2003〕341号）第八款；</w:t>
            </w:r>
            <w:r w:rsidRPr="00DD1700">
              <w:rPr>
                <w:rFonts w:asciiTheme="minorEastAsia" w:hAnsiTheme="minorEastAsia" w:cstheme="minorEastAsia" w:hint="eastAsia"/>
                <w:kern w:val="0"/>
                <w:sz w:val="20"/>
                <w:szCs w:val="20"/>
              </w:rPr>
              <w:br/>
              <w:t>《商务部、公安部，建设部、交通部、质检总局、环保总局关于在部分城市限期禁止现场搅拌砂浆工作的通知》（商改发〔2007〕205号）第十款；</w:t>
            </w:r>
            <w:r w:rsidRPr="00DD1700">
              <w:rPr>
                <w:rFonts w:asciiTheme="minorEastAsia" w:hAnsiTheme="minorEastAsia" w:cstheme="minorEastAsia" w:hint="eastAsia"/>
                <w:kern w:val="0"/>
                <w:sz w:val="20"/>
                <w:szCs w:val="20"/>
              </w:rPr>
              <w:br/>
              <w:t>《云南省散装水泥促进条例》（云南省第十二届人民代表大会常务委员会第五次会议审议通过）第五条第二款；</w:t>
            </w:r>
            <w:r w:rsidRPr="00DD1700">
              <w:rPr>
                <w:rFonts w:asciiTheme="minorEastAsia" w:hAnsiTheme="minorEastAsia" w:cstheme="minorEastAsia" w:hint="eastAsia"/>
                <w:kern w:val="0"/>
                <w:sz w:val="20"/>
                <w:szCs w:val="20"/>
              </w:rPr>
              <w:br/>
              <w:t>《关于印发&lt;昆明市预拌混凝土和预拌砂浆企业备案管理规定&gt;的通知》（昆建通〔2015〕27号）第十一条；</w:t>
            </w:r>
            <w:r w:rsidRPr="00DD1700">
              <w:rPr>
                <w:rFonts w:asciiTheme="minorEastAsia" w:hAnsiTheme="minorEastAsia" w:cstheme="minorEastAsia" w:hint="eastAsia"/>
                <w:kern w:val="0"/>
                <w:sz w:val="20"/>
                <w:szCs w:val="20"/>
              </w:rPr>
              <w:br/>
              <w:t>《昆明市人民政府办公厅关于进一步加强昆明市预拌混凝土行业监督管理的通知》(昆政办文〔2014〕30号) 第一条第七款。</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监管职权未下放到县区级</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12</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昆明市官渡区住房和城乡建设局（14类36项）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主城区对预拌混凝土、预拌砂浆使用单位的监督检查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实地检查是否现场搅拌预拌混凝土、预拌砂浆，应当使用散装水泥。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使用预拌混凝土、预拌砂浆、散装水泥的建设施工单位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随机巡查和书面相结合的方式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《关于限期禁止在城市城区现场搅拌混凝土的通知》（商改发〔2003〕341号）第二款；</w:t>
            </w:r>
            <w:r w:rsidRPr="00DD1700">
              <w:rPr>
                <w:rFonts w:asciiTheme="minorEastAsia" w:hAnsiTheme="minorEastAsia" w:cstheme="minorEastAsia" w:hint="eastAsia"/>
                <w:kern w:val="0"/>
                <w:sz w:val="20"/>
                <w:szCs w:val="20"/>
              </w:rPr>
              <w:br/>
              <w:t>《商务部、公安部，建设部、交通部、质检总局、环保总局关于在部分城市限期禁止现场搅拌砂浆工作的通知》（商改发〔2007〕205号）第二款；</w:t>
            </w:r>
            <w:r w:rsidRPr="00DD1700">
              <w:rPr>
                <w:rFonts w:asciiTheme="minorEastAsia" w:hAnsiTheme="minorEastAsia" w:cstheme="minorEastAsia" w:hint="eastAsia"/>
                <w:kern w:val="0"/>
                <w:sz w:val="20"/>
                <w:szCs w:val="20"/>
              </w:rPr>
              <w:br/>
              <w:t>《云南省散装水泥促进条例》第七条、第八条；</w:t>
            </w:r>
            <w:r w:rsidRPr="00DD1700">
              <w:rPr>
                <w:rFonts w:asciiTheme="minorEastAsia" w:hAnsiTheme="minorEastAsia" w:cstheme="minorEastAsia" w:hint="eastAsia"/>
                <w:kern w:val="0"/>
                <w:sz w:val="20"/>
                <w:szCs w:val="20"/>
              </w:rPr>
              <w:br/>
              <w:t>《昆明市预拌混凝土管理办法》（昆明市人民政府令第94号）第六条。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监管职权未下放到县区级</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13</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建筑施工企业安全生产条件核查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1.企业安全生产制度；2.企业安全生产专项经费到位和使用；3.应急预案制定和实施；3.安全教育等企业安全生产台帐；5.企业人员执证和购买保险等情况；6.企业承建项目安全措施落实。7.企业守法经营情况。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由区住房城乡建设局盖印发出建筑施工企业安全生产许可证的企业。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企业办公场所现场检查与企业承建项目现场检查相结合。</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《安全生产许可证条例》、《云南省住房和城乡建设厅关于停止盖印已下放审批权限的建筑施工企业安全生产许可证的通知》</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1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A449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14</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昆明市官渡区住房和城乡建设局（14类36项）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对燃气经营、燃气使用的安全状况等的监督检查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宋体"/>
                <w:kern w:val="0"/>
                <w:sz w:val="20"/>
                <w:szCs w:val="20"/>
              </w:rPr>
            </w:pPr>
            <w:r w:rsidRPr="00DD1700">
              <w:rPr>
                <w:rFonts w:asciiTheme="minorEastAsia" w:hAnsiTheme="minorEastAsia" w:cs="宋体" w:hint="eastAsia"/>
                <w:kern w:val="0"/>
                <w:sz w:val="20"/>
                <w:szCs w:val="20"/>
              </w:rPr>
              <w:t>1.各燃气企业生产经营许可证照是否齐全、有效，安全生产各项规章制度的建立和执行情况，安全负责人和特种作业人员持证上岗情况，燃气设施设备的检查、巡线巡检、设备设施的检测检修和维护保养记录，隐患排查和整改落实情况，履行24小时值班记录、应急演练、及时处置紧急事故、抢险、抢修情况等，入户安全检查及安全用气宣传情况。</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宋体" w:hint="eastAsia"/>
                <w:kern w:val="0"/>
                <w:sz w:val="20"/>
                <w:szCs w:val="20"/>
              </w:rPr>
              <w:t>2.重点检查各燃气企业安全生产主体责任落实情况，安全生产网格化管理工作落实情况，重大危险源</w:t>
            </w:r>
            <w:r w:rsidRPr="00DD1700">
              <w:rPr>
                <w:rFonts w:asciiTheme="minorEastAsia" w:hAnsiTheme="minorEastAsia" w:cs="宋体" w:hint="eastAsia"/>
                <w:kern w:val="0"/>
                <w:sz w:val="20"/>
                <w:szCs w:val="20"/>
              </w:rPr>
              <w:lastRenderedPageBreak/>
              <w:t>管控情况，安全隐患排查整改情况。经营场所、燃气场站设施、管网维护的现场安全管理情况，各类燃气储存、输配设施、压力容器、安全阀门、压力表、报警系统、消防器材、避雷等设施完好和定期检验、安全运行情况，重点部位和重要设施的安全监控、安全管理情况，天然气供应、使用及天然气置换中各项安全工作情况，管道燃气企业对燃气管线、设施的保护工作开展情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官渡区辖区内瓶装液化气供应站点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现场检查和书面检查相结合方式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官渡区住房和城乡建设局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城镇燃气管理条例》第四十四条、第四十五条、第四十六条、第四十七条、第四十八条、第四十九条、第五十条、第五十一条、第五十二条；《昆明市燃气管理条例》第三十六条、第三十七条、第三十八条、第三十九条、第四十条、第四十一条、第四十二条、第四十三条、第四十四条、第四十五条、第四十六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bl>
    <w:p w:rsidR="00A51813" w:rsidRPr="00DD1700" w:rsidRDefault="00A51813" w:rsidP="00DD1700">
      <w:pPr>
        <w:widowControl/>
        <w:spacing w:line="240" w:lineRule="exact"/>
        <w:textAlignment w:val="center"/>
        <w:rPr>
          <w:rFonts w:asciiTheme="minorEastAsia" w:hAnsiTheme="minorEastAsia" w:cstheme="minorEastAsia"/>
          <w:kern w:val="0"/>
          <w:sz w:val="20"/>
          <w:szCs w:val="20"/>
        </w:rPr>
      </w:pPr>
    </w:p>
    <w:sectPr w:rsidR="00A51813" w:rsidRPr="00DD1700" w:rsidSect="0066512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0D3" w:rsidRDefault="009200D3" w:rsidP="00665127">
      <w:r>
        <w:separator/>
      </w:r>
    </w:p>
  </w:endnote>
  <w:endnote w:type="continuationSeparator" w:id="1">
    <w:p w:rsidR="009200D3" w:rsidRDefault="009200D3" w:rsidP="00665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0D3" w:rsidRDefault="009200D3" w:rsidP="00665127">
      <w:r>
        <w:separator/>
      </w:r>
    </w:p>
  </w:footnote>
  <w:footnote w:type="continuationSeparator" w:id="1">
    <w:p w:rsidR="009200D3" w:rsidRDefault="009200D3" w:rsidP="006651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127"/>
    <w:rsid w:val="000261F6"/>
    <w:rsid w:val="00026C0B"/>
    <w:rsid w:val="00034283"/>
    <w:rsid w:val="00065380"/>
    <w:rsid w:val="000671AB"/>
    <w:rsid w:val="000924EF"/>
    <w:rsid w:val="0009251F"/>
    <w:rsid w:val="00097CBE"/>
    <w:rsid w:val="000B7162"/>
    <w:rsid w:val="00125F53"/>
    <w:rsid w:val="00151AE0"/>
    <w:rsid w:val="001817AB"/>
    <w:rsid w:val="00183E49"/>
    <w:rsid w:val="00186E9B"/>
    <w:rsid w:val="00191855"/>
    <w:rsid w:val="001A62C0"/>
    <w:rsid w:val="001C119E"/>
    <w:rsid w:val="001C6BC9"/>
    <w:rsid w:val="001E1352"/>
    <w:rsid w:val="001F413A"/>
    <w:rsid w:val="002023DE"/>
    <w:rsid w:val="0024100C"/>
    <w:rsid w:val="0026217A"/>
    <w:rsid w:val="00264728"/>
    <w:rsid w:val="002756E7"/>
    <w:rsid w:val="002850B4"/>
    <w:rsid w:val="00293706"/>
    <w:rsid w:val="00294041"/>
    <w:rsid w:val="002A00DD"/>
    <w:rsid w:val="002A6036"/>
    <w:rsid w:val="002C1B2A"/>
    <w:rsid w:val="002D79DE"/>
    <w:rsid w:val="0030796A"/>
    <w:rsid w:val="00323FBB"/>
    <w:rsid w:val="00326BB3"/>
    <w:rsid w:val="003577C1"/>
    <w:rsid w:val="00361434"/>
    <w:rsid w:val="00363F30"/>
    <w:rsid w:val="00364A13"/>
    <w:rsid w:val="003665EE"/>
    <w:rsid w:val="0038550B"/>
    <w:rsid w:val="003954A6"/>
    <w:rsid w:val="00396741"/>
    <w:rsid w:val="003A74AD"/>
    <w:rsid w:val="003B5197"/>
    <w:rsid w:val="003D01B5"/>
    <w:rsid w:val="003D7F2D"/>
    <w:rsid w:val="003E19AB"/>
    <w:rsid w:val="003F1B10"/>
    <w:rsid w:val="0040767B"/>
    <w:rsid w:val="00420B82"/>
    <w:rsid w:val="00456268"/>
    <w:rsid w:val="00471BCD"/>
    <w:rsid w:val="00475032"/>
    <w:rsid w:val="00483B99"/>
    <w:rsid w:val="00485B75"/>
    <w:rsid w:val="00485BCF"/>
    <w:rsid w:val="004969F6"/>
    <w:rsid w:val="004A1769"/>
    <w:rsid w:val="004A44D8"/>
    <w:rsid w:val="004A6871"/>
    <w:rsid w:val="004D2699"/>
    <w:rsid w:val="004F6559"/>
    <w:rsid w:val="005043FF"/>
    <w:rsid w:val="00510EEA"/>
    <w:rsid w:val="0051672F"/>
    <w:rsid w:val="00524912"/>
    <w:rsid w:val="00527C81"/>
    <w:rsid w:val="00557F3D"/>
    <w:rsid w:val="00561DBE"/>
    <w:rsid w:val="00571988"/>
    <w:rsid w:val="005D6FA3"/>
    <w:rsid w:val="005E302D"/>
    <w:rsid w:val="005E3511"/>
    <w:rsid w:val="005E7C57"/>
    <w:rsid w:val="005F0EB1"/>
    <w:rsid w:val="005F5511"/>
    <w:rsid w:val="005F6C16"/>
    <w:rsid w:val="00610095"/>
    <w:rsid w:val="00610D70"/>
    <w:rsid w:val="00630FD2"/>
    <w:rsid w:val="00644023"/>
    <w:rsid w:val="006455CE"/>
    <w:rsid w:val="0064628D"/>
    <w:rsid w:val="00650121"/>
    <w:rsid w:val="00665127"/>
    <w:rsid w:val="006B0A5E"/>
    <w:rsid w:val="006B7735"/>
    <w:rsid w:val="006D187E"/>
    <w:rsid w:val="006E4D66"/>
    <w:rsid w:val="006E75CE"/>
    <w:rsid w:val="006F2AA4"/>
    <w:rsid w:val="006F65C5"/>
    <w:rsid w:val="0074497C"/>
    <w:rsid w:val="00751845"/>
    <w:rsid w:val="00763A22"/>
    <w:rsid w:val="00773821"/>
    <w:rsid w:val="007805EC"/>
    <w:rsid w:val="00781C06"/>
    <w:rsid w:val="00796D43"/>
    <w:rsid w:val="007A18C7"/>
    <w:rsid w:val="007C2EAE"/>
    <w:rsid w:val="007D7719"/>
    <w:rsid w:val="00822332"/>
    <w:rsid w:val="008355C9"/>
    <w:rsid w:val="008460C5"/>
    <w:rsid w:val="00853FB5"/>
    <w:rsid w:val="00893C98"/>
    <w:rsid w:val="008D601B"/>
    <w:rsid w:val="0090351D"/>
    <w:rsid w:val="00903BDF"/>
    <w:rsid w:val="00912A5E"/>
    <w:rsid w:val="009200D3"/>
    <w:rsid w:val="0093600C"/>
    <w:rsid w:val="00970559"/>
    <w:rsid w:val="0097176A"/>
    <w:rsid w:val="00976592"/>
    <w:rsid w:val="0097739D"/>
    <w:rsid w:val="00983113"/>
    <w:rsid w:val="009A4497"/>
    <w:rsid w:val="009B7505"/>
    <w:rsid w:val="009C3DC3"/>
    <w:rsid w:val="009D3273"/>
    <w:rsid w:val="009D352A"/>
    <w:rsid w:val="009D7208"/>
    <w:rsid w:val="009E4C2B"/>
    <w:rsid w:val="009E6CEF"/>
    <w:rsid w:val="00A25C2A"/>
    <w:rsid w:val="00A5019F"/>
    <w:rsid w:val="00A51813"/>
    <w:rsid w:val="00A56A91"/>
    <w:rsid w:val="00AB543D"/>
    <w:rsid w:val="00AB6A6C"/>
    <w:rsid w:val="00AC0826"/>
    <w:rsid w:val="00AC6F20"/>
    <w:rsid w:val="00AD0684"/>
    <w:rsid w:val="00B01291"/>
    <w:rsid w:val="00B25B60"/>
    <w:rsid w:val="00B5736B"/>
    <w:rsid w:val="00B6411A"/>
    <w:rsid w:val="00B71A2A"/>
    <w:rsid w:val="00B94252"/>
    <w:rsid w:val="00BA2F32"/>
    <w:rsid w:val="00BB14CE"/>
    <w:rsid w:val="00BB47CC"/>
    <w:rsid w:val="00BD65B7"/>
    <w:rsid w:val="00BE26BF"/>
    <w:rsid w:val="00BF1D0D"/>
    <w:rsid w:val="00BF63B2"/>
    <w:rsid w:val="00C10C39"/>
    <w:rsid w:val="00C170BD"/>
    <w:rsid w:val="00C2145A"/>
    <w:rsid w:val="00C35F72"/>
    <w:rsid w:val="00C53853"/>
    <w:rsid w:val="00C661CC"/>
    <w:rsid w:val="00C97058"/>
    <w:rsid w:val="00CA3336"/>
    <w:rsid w:val="00CB39FE"/>
    <w:rsid w:val="00CC4CE1"/>
    <w:rsid w:val="00D00F56"/>
    <w:rsid w:val="00D05097"/>
    <w:rsid w:val="00D07EF0"/>
    <w:rsid w:val="00D13E4F"/>
    <w:rsid w:val="00D31628"/>
    <w:rsid w:val="00D430ED"/>
    <w:rsid w:val="00D466D4"/>
    <w:rsid w:val="00D61E1E"/>
    <w:rsid w:val="00D62606"/>
    <w:rsid w:val="00D83F0A"/>
    <w:rsid w:val="00D958F7"/>
    <w:rsid w:val="00DB33A6"/>
    <w:rsid w:val="00DD0F4A"/>
    <w:rsid w:val="00DD1700"/>
    <w:rsid w:val="00DD3C14"/>
    <w:rsid w:val="00DE4B80"/>
    <w:rsid w:val="00E04ACB"/>
    <w:rsid w:val="00E36D13"/>
    <w:rsid w:val="00E61588"/>
    <w:rsid w:val="00E6160C"/>
    <w:rsid w:val="00E7366D"/>
    <w:rsid w:val="00E97C68"/>
    <w:rsid w:val="00EC24CF"/>
    <w:rsid w:val="00EF3951"/>
    <w:rsid w:val="00F01868"/>
    <w:rsid w:val="00F11FD4"/>
    <w:rsid w:val="00F2159E"/>
    <w:rsid w:val="00F22A29"/>
    <w:rsid w:val="00F43563"/>
    <w:rsid w:val="00F45A54"/>
    <w:rsid w:val="00F4608E"/>
    <w:rsid w:val="00F66458"/>
    <w:rsid w:val="00F77A85"/>
    <w:rsid w:val="00FA6185"/>
    <w:rsid w:val="00FB0283"/>
    <w:rsid w:val="00FB0758"/>
    <w:rsid w:val="00FB4627"/>
    <w:rsid w:val="00FC2ADD"/>
    <w:rsid w:val="00FC527A"/>
    <w:rsid w:val="00FC6760"/>
    <w:rsid w:val="00FD1927"/>
    <w:rsid w:val="00FE3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27"/>
    <w:pPr>
      <w:widowControl w:val="0"/>
      <w:jc w:val="both"/>
    </w:pPr>
    <w:rPr>
      <w:rFonts w:ascii="Calibri" w:hAnsi="Calibri"/>
      <w:szCs w:val="24"/>
    </w:rPr>
  </w:style>
  <w:style w:type="paragraph" w:styleId="1">
    <w:name w:val="heading 1"/>
    <w:basedOn w:val="a"/>
    <w:next w:val="a"/>
    <w:link w:val="1Char"/>
    <w:qFormat/>
    <w:rsid w:val="00665127"/>
    <w:pPr>
      <w:keepNext/>
      <w:keepLines/>
      <w:spacing w:line="660" w:lineRule="exact"/>
      <w:jc w:val="center"/>
      <w:outlineLvl w:val="0"/>
    </w:pPr>
    <w:rPr>
      <w:rFonts w:asciiTheme="minorHAnsi" w:eastAsia="方正小标宋_GBK" w:hAnsiTheme="minorHAnsi"/>
      <w:kern w:val="44"/>
      <w:sz w:val="44"/>
    </w:rPr>
  </w:style>
  <w:style w:type="paragraph" w:styleId="2">
    <w:name w:val="heading 2"/>
    <w:basedOn w:val="a"/>
    <w:next w:val="a"/>
    <w:link w:val="2Char"/>
    <w:unhideWhenUsed/>
    <w:qFormat/>
    <w:rsid w:val="00C170BD"/>
    <w:pPr>
      <w:keepNext/>
      <w:keepLines/>
      <w:spacing w:line="600" w:lineRule="exact"/>
      <w:outlineLvl w:val="1"/>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5127"/>
    <w:rPr>
      <w:rFonts w:eastAsia="方正小标宋_GBK"/>
      <w:kern w:val="44"/>
      <w:sz w:val="44"/>
      <w:szCs w:val="24"/>
    </w:rPr>
  </w:style>
  <w:style w:type="paragraph" w:styleId="a3">
    <w:name w:val="header"/>
    <w:basedOn w:val="a"/>
    <w:link w:val="Char"/>
    <w:unhideWhenUsed/>
    <w:qFormat/>
    <w:rsid w:val="00665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5127"/>
    <w:rPr>
      <w:sz w:val="18"/>
      <w:szCs w:val="18"/>
    </w:rPr>
  </w:style>
  <w:style w:type="paragraph" w:styleId="a4">
    <w:name w:val="footer"/>
    <w:basedOn w:val="a"/>
    <w:link w:val="Char0"/>
    <w:unhideWhenUsed/>
    <w:qFormat/>
    <w:rsid w:val="00665127"/>
    <w:pPr>
      <w:tabs>
        <w:tab w:val="center" w:pos="4153"/>
        <w:tab w:val="right" w:pos="8306"/>
      </w:tabs>
      <w:snapToGrid w:val="0"/>
      <w:jc w:val="left"/>
    </w:pPr>
    <w:rPr>
      <w:sz w:val="18"/>
      <w:szCs w:val="18"/>
    </w:rPr>
  </w:style>
  <w:style w:type="character" w:customStyle="1" w:styleId="Char0">
    <w:name w:val="页脚 Char"/>
    <w:basedOn w:val="a0"/>
    <w:link w:val="a4"/>
    <w:qFormat/>
    <w:rsid w:val="00665127"/>
    <w:rPr>
      <w:sz w:val="18"/>
      <w:szCs w:val="18"/>
    </w:rPr>
  </w:style>
  <w:style w:type="paragraph" w:styleId="a5">
    <w:name w:val="Body Text"/>
    <w:basedOn w:val="a"/>
    <w:link w:val="Char1"/>
    <w:unhideWhenUsed/>
    <w:qFormat/>
    <w:rsid w:val="00665127"/>
    <w:pPr>
      <w:spacing w:after="120"/>
    </w:pPr>
  </w:style>
  <w:style w:type="character" w:customStyle="1" w:styleId="Char1">
    <w:name w:val="正文文本 Char"/>
    <w:basedOn w:val="a0"/>
    <w:link w:val="a5"/>
    <w:qFormat/>
    <w:rsid w:val="00665127"/>
    <w:rPr>
      <w:rFonts w:ascii="Calibri" w:hAnsi="Calibri"/>
      <w:szCs w:val="24"/>
    </w:rPr>
  </w:style>
  <w:style w:type="paragraph" w:styleId="a6">
    <w:name w:val="Date"/>
    <w:basedOn w:val="a"/>
    <w:next w:val="a"/>
    <w:link w:val="Char2"/>
    <w:qFormat/>
    <w:rsid w:val="00665127"/>
    <w:pPr>
      <w:ind w:leftChars="2500" w:left="100"/>
    </w:pPr>
    <w:rPr>
      <w:rFonts w:asciiTheme="minorHAnsi" w:hAnsiTheme="minorHAnsi"/>
    </w:rPr>
  </w:style>
  <w:style w:type="character" w:customStyle="1" w:styleId="Char2">
    <w:name w:val="日期 Char"/>
    <w:basedOn w:val="a0"/>
    <w:link w:val="a6"/>
    <w:qFormat/>
    <w:rsid w:val="00665127"/>
    <w:rPr>
      <w:szCs w:val="24"/>
    </w:rPr>
  </w:style>
  <w:style w:type="paragraph" w:styleId="a7">
    <w:name w:val="Balloon Text"/>
    <w:basedOn w:val="a"/>
    <w:link w:val="Char3"/>
    <w:uiPriority w:val="99"/>
    <w:unhideWhenUsed/>
    <w:rsid w:val="00665127"/>
    <w:rPr>
      <w:rFonts w:asciiTheme="minorHAnsi" w:hAnsiTheme="minorHAnsi"/>
      <w:sz w:val="18"/>
      <w:szCs w:val="18"/>
    </w:rPr>
  </w:style>
  <w:style w:type="character" w:customStyle="1" w:styleId="Char3">
    <w:name w:val="批注框文本 Char"/>
    <w:basedOn w:val="a0"/>
    <w:link w:val="a7"/>
    <w:uiPriority w:val="99"/>
    <w:rsid w:val="00665127"/>
    <w:rPr>
      <w:sz w:val="18"/>
      <w:szCs w:val="18"/>
    </w:rPr>
  </w:style>
  <w:style w:type="paragraph" w:styleId="a8">
    <w:name w:val="Normal (Web)"/>
    <w:basedOn w:val="a"/>
    <w:qFormat/>
    <w:rsid w:val="00665127"/>
    <w:pPr>
      <w:spacing w:beforeAutospacing="1" w:afterAutospacing="1"/>
      <w:jc w:val="left"/>
    </w:pPr>
    <w:rPr>
      <w:rFonts w:eastAsia="仿宋_GB2312"/>
      <w:kern w:val="0"/>
      <w:sz w:val="24"/>
      <w:szCs w:val="22"/>
    </w:rPr>
  </w:style>
  <w:style w:type="character" w:styleId="a9">
    <w:name w:val="Strong"/>
    <w:basedOn w:val="a0"/>
    <w:qFormat/>
    <w:rsid w:val="00665127"/>
    <w:rPr>
      <w:b/>
    </w:rPr>
  </w:style>
  <w:style w:type="character" w:styleId="aa">
    <w:name w:val="page number"/>
    <w:basedOn w:val="a0"/>
    <w:qFormat/>
    <w:rsid w:val="00665127"/>
  </w:style>
  <w:style w:type="character" w:styleId="ab">
    <w:name w:val="Hyperlink"/>
    <w:basedOn w:val="a0"/>
    <w:uiPriority w:val="99"/>
    <w:qFormat/>
    <w:rsid w:val="00665127"/>
    <w:rPr>
      <w:color w:val="0000FF"/>
      <w:u w:val="single"/>
    </w:rPr>
  </w:style>
  <w:style w:type="table" w:styleId="ac">
    <w:name w:val="Table Grid"/>
    <w:basedOn w:val="a1"/>
    <w:uiPriority w:val="59"/>
    <w:qFormat/>
    <w:rsid w:val="0066512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qFormat/>
    <w:rsid w:val="00665127"/>
    <w:rPr>
      <w:rFonts w:asciiTheme="minorHAnsi" w:hAnsiTheme="minorHAnsi"/>
    </w:rPr>
  </w:style>
  <w:style w:type="paragraph" w:customStyle="1" w:styleId="10">
    <w:name w:val="列出段落1"/>
    <w:basedOn w:val="a"/>
    <w:uiPriority w:val="1"/>
    <w:qFormat/>
    <w:rsid w:val="00665127"/>
    <w:pPr>
      <w:autoSpaceDE w:val="0"/>
      <w:autoSpaceDN w:val="0"/>
      <w:ind w:left="270" w:hanging="401"/>
      <w:jc w:val="left"/>
    </w:pPr>
    <w:rPr>
      <w:rFonts w:ascii="方正仿宋_GBK" w:eastAsia="方正仿宋_GBK" w:hAnsi="方正仿宋_GBK" w:cs="方正仿宋_GBK"/>
      <w:kern w:val="0"/>
      <w:sz w:val="22"/>
      <w:szCs w:val="22"/>
      <w:lang w:val="zh-CN" w:bidi="zh-CN"/>
    </w:rPr>
  </w:style>
  <w:style w:type="paragraph" w:customStyle="1" w:styleId="11">
    <w:name w:val="标题 11"/>
    <w:basedOn w:val="a"/>
    <w:uiPriority w:val="1"/>
    <w:qFormat/>
    <w:rsid w:val="00665127"/>
    <w:pPr>
      <w:autoSpaceDE w:val="0"/>
      <w:autoSpaceDN w:val="0"/>
      <w:jc w:val="center"/>
      <w:outlineLvl w:val="1"/>
    </w:pPr>
    <w:rPr>
      <w:rFonts w:ascii="方正小标宋_GBK" w:eastAsia="方正小标宋_GBK" w:hAnsi="方正小标宋_GBK" w:cs="方正小标宋_GBK"/>
      <w:kern w:val="0"/>
      <w:sz w:val="42"/>
      <w:szCs w:val="42"/>
      <w:lang w:val="zh-CN" w:bidi="zh-CN"/>
    </w:rPr>
  </w:style>
  <w:style w:type="character" w:customStyle="1" w:styleId="2Char">
    <w:name w:val="标题 2 Char"/>
    <w:basedOn w:val="a0"/>
    <w:link w:val="2"/>
    <w:rsid w:val="00C170BD"/>
    <w:rPr>
      <w:rFonts w:ascii="Arial" w:eastAsia="楷体_GB2312" w:hAnsi="Arial"/>
      <w:sz w:val="32"/>
      <w:szCs w:val="24"/>
    </w:rPr>
  </w:style>
</w:styles>
</file>

<file path=word/webSettings.xml><?xml version="1.0" encoding="utf-8"?>
<w:webSettings xmlns:r="http://schemas.openxmlformats.org/officeDocument/2006/relationships" xmlns:w="http://schemas.openxmlformats.org/wordprocessingml/2006/main">
  <w:divs>
    <w:div w:id="2781509">
      <w:bodyDiv w:val="1"/>
      <w:marLeft w:val="0"/>
      <w:marRight w:val="0"/>
      <w:marTop w:val="0"/>
      <w:marBottom w:val="0"/>
      <w:divBdr>
        <w:top w:val="none" w:sz="0" w:space="0" w:color="auto"/>
        <w:left w:val="none" w:sz="0" w:space="0" w:color="auto"/>
        <w:bottom w:val="none" w:sz="0" w:space="0" w:color="auto"/>
        <w:right w:val="none" w:sz="0" w:space="0" w:color="auto"/>
      </w:divBdr>
    </w:div>
    <w:div w:id="110977547">
      <w:bodyDiv w:val="1"/>
      <w:marLeft w:val="0"/>
      <w:marRight w:val="0"/>
      <w:marTop w:val="0"/>
      <w:marBottom w:val="0"/>
      <w:divBdr>
        <w:top w:val="none" w:sz="0" w:space="0" w:color="auto"/>
        <w:left w:val="none" w:sz="0" w:space="0" w:color="auto"/>
        <w:bottom w:val="none" w:sz="0" w:space="0" w:color="auto"/>
        <w:right w:val="none" w:sz="0" w:space="0" w:color="auto"/>
      </w:divBdr>
    </w:div>
    <w:div w:id="227811765">
      <w:bodyDiv w:val="1"/>
      <w:marLeft w:val="0"/>
      <w:marRight w:val="0"/>
      <w:marTop w:val="0"/>
      <w:marBottom w:val="0"/>
      <w:divBdr>
        <w:top w:val="none" w:sz="0" w:space="0" w:color="auto"/>
        <w:left w:val="none" w:sz="0" w:space="0" w:color="auto"/>
        <w:bottom w:val="none" w:sz="0" w:space="0" w:color="auto"/>
        <w:right w:val="none" w:sz="0" w:space="0" w:color="auto"/>
      </w:divBdr>
    </w:div>
    <w:div w:id="281309981">
      <w:bodyDiv w:val="1"/>
      <w:marLeft w:val="0"/>
      <w:marRight w:val="0"/>
      <w:marTop w:val="0"/>
      <w:marBottom w:val="0"/>
      <w:divBdr>
        <w:top w:val="none" w:sz="0" w:space="0" w:color="auto"/>
        <w:left w:val="none" w:sz="0" w:space="0" w:color="auto"/>
        <w:bottom w:val="none" w:sz="0" w:space="0" w:color="auto"/>
        <w:right w:val="none" w:sz="0" w:space="0" w:color="auto"/>
      </w:divBdr>
    </w:div>
    <w:div w:id="492262631">
      <w:bodyDiv w:val="1"/>
      <w:marLeft w:val="0"/>
      <w:marRight w:val="0"/>
      <w:marTop w:val="0"/>
      <w:marBottom w:val="0"/>
      <w:divBdr>
        <w:top w:val="none" w:sz="0" w:space="0" w:color="auto"/>
        <w:left w:val="none" w:sz="0" w:space="0" w:color="auto"/>
        <w:bottom w:val="none" w:sz="0" w:space="0" w:color="auto"/>
        <w:right w:val="none" w:sz="0" w:space="0" w:color="auto"/>
      </w:divBdr>
    </w:div>
    <w:div w:id="500858416">
      <w:bodyDiv w:val="1"/>
      <w:marLeft w:val="0"/>
      <w:marRight w:val="0"/>
      <w:marTop w:val="0"/>
      <w:marBottom w:val="0"/>
      <w:divBdr>
        <w:top w:val="none" w:sz="0" w:space="0" w:color="auto"/>
        <w:left w:val="none" w:sz="0" w:space="0" w:color="auto"/>
        <w:bottom w:val="none" w:sz="0" w:space="0" w:color="auto"/>
        <w:right w:val="none" w:sz="0" w:space="0" w:color="auto"/>
      </w:divBdr>
    </w:div>
    <w:div w:id="513345551">
      <w:bodyDiv w:val="1"/>
      <w:marLeft w:val="0"/>
      <w:marRight w:val="0"/>
      <w:marTop w:val="0"/>
      <w:marBottom w:val="0"/>
      <w:divBdr>
        <w:top w:val="none" w:sz="0" w:space="0" w:color="auto"/>
        <w:left w:val="none" w:sz="0" w:space="0" w:color="auto"/>
        <w:bottom w:val="none" w:sz="0" w:space="0" w:color="auto"/>
        <w:right w:val="none" w:sz="0" w:space="0" w:color="auto"/>
      </w:divBdr>
    </w:div>
    <w:div w:id="648634441">
      <w:bodyDiv w:val="1"/>
      <w:marLeft w:val="0"/>
      <w:marRight w:val="0"/>
      <w:marTop w:val="0"/>
      <w:marBottom w:val="0"/>
      <w:divBdr>
        <w:top w:val="none" w:sz="0" w:space="0" w:color="auto"/>
        <w:left w:val="none" w:sz="0" w:space="0" w:color="auto"/>
        <w:bottom w:val="none" w:sz="0" w:space="0" w:color="auto"/>
        <w:right w:val="none" w:sz="0" w:space="0" w:color="auto"/>
      </w:divBdr>
    </w:div>
    <w:div w:id="669138133">
      <w:bodyDiv w:val="1"/>
      <w:marLeft w:val="0"/>
      <w:marRight w:val="0"/>
      <w:marTop w:val="0"/>
      <w:marBottom w:val="0"/>
      <w:divBdr>
        <w:top w:val="none" w:sz="0" w:space="0" w:color="auto"/>
        <w:left w:val="none" w:sz="0" w:space="0" w:color="auto"/>
        <w:bottom w:val="none" w:sz="0" w:space="0" w:color="auto"/>
        <w:right w:val="none" w:sz="0" w:space="0" w:color="auto"/>
      </w:divBdr>
    </w:div>
    <w:div w:id="942684980">
      <w:bodyDiv w:val="1"/>
      <w:marLeft w:val="0"/>
      <w:marRight w:val="0"/>
      <w:marTop w:val="0"/>
      <w:marBottom w:val="0"/>
      <w:divBdr>
        <w:top w:val="none" w:sz="0" w:space="0" w:color="auto"/>
        <w:left w:val="none" w:sz="0" w:space="0" w:color="auto"/>
        <w:bottom w:val="none" w:sz="0" w:space="0" w:color="auto"/>
        <w:right w:val="none" w:sz="0" w:space="0" w:color="auto"/>
      </w:divBdr>
    </w:div>
    <w:div w:id="1078526058">
      <w:bodyDiv w:val="1"/>
      <w:marLeft w:val="0"/>
      <w:marRight w:val="0"/>
      <w:marTop w:val="0"/>
      <w:marBottom w:val="0"/>
      <w:divBdr>
        <w:top w:val="none" w:sz="0" w:space="0" w:color="auto"/>
        <w:left w:val="none" w:sz="0" w:space="0" w:color="auto"/>
        <w:bottom w:val="none" w:sz="0" w:space="0" w:color="auto"/>
        <w:right w:val="none" w:sz="0" w:space="0" w:color="auto"/>
      </w:divBdr>
    </w:div>
    <w:div w:id="1255701902">
      <w:bodyDiv w:val="1"/>
      <w:marLeft w:val="0"/>
      <w:marRight w:val="0"/>
      <w:marTop w:val="0"/>
      <w:marBottom w:val="0"/>
      <w:divBdr>
        <w:top w:val="none" w:sz="0" w:space="0" w:color="auto"/>
        <w:left w:val="none" w:sz="0" w:space="0" w:color="auto"/>
        <w:bottom w:val="none" w:sz="0" w:space="0" w:color="auto"/>
        <w:right w:val="none" w:sz="0" w:space="0" w:color="auto"/>
      </w:divBdr>
    </w:div>
    <w:div w:id="1396931181">
      <w:bodyDiv w:val="1"/>
      <w:marLeft w:val="0"/>
      <w:marRight w:val="0"/>
      <w:marTop w:val="0"/>
      <w:marBottom w:val="0"/>
      <w:divBdr>
        <w:top w:val="none" w:sz="0" w:space="0" w:color="auto"/>
        <w:left w:val="none" w:sz="0" w:space="0" w:color="auto"/>
        <w:bottom w:val="none" w:sz="0" w:space="0" w:color="auto"/>
        <w:right w:val="none" w:sz="0" w:space="0" w:color="auto"/>
      </w:divBdr>
    </w:div>
    <w:div w:id="1398017287">
      <w:bodyDiv w:val="1"/>
      <w:marLeft w:val="0"/>
      <w:marRight w:val="0"/>
      <w:marTop w:val="0"/>
      <w:marBottom w:val="0"/>
      <w:divBdr>
        <w:top w:val="none" w:sz="0" w:space="0" w:color="auto"/>
        <w:left w:val="none" w:sz="0" w:space="0" w:color="auto"/>
        <w:bottom w:val="none" w:sz="0" w:space="0" w:color="auto"/>
        <w:right w:val="none" w:sz="0" w:space="0" w:color="auto"/>
      </w:divBdr>
    </w:div>
    <w:div w:id="1483279005">
      <w:bodyDiv w:val="1"/>
      <w:marLeft w:val="0"/>
      <w:marRight w:val="0"/>
      <w:marTop w:val="0"/>
      <w:marBottom w:val="0"/>
      <w:divBdr>
        <w:top w:val="none" w:sz="0" w:space="0" w:color="auto"/>
        <w:left w:val="none" w:sz="0" w:space="0" w:color="auto"/>
        <w:bottom w:val="none" w:sz="0" w:space="0" w:color="auto"/>
        <w:right w:val="none" w:sz="0" w:space="0" w:color="auto"/>
      </w:divBdr>
    </w:div>
    <w:div w:id="1594584488">
      <w:bodyDiv w:val="1"/>
      <w:marLeft w:val="0"/>
      <w:marRight w:val="0"/>
      <w:marTop w:val="0"/>
      <w:marBottom w:val="0"/>
      <w:divBdr>
        <w:top w:val="none" w:sz="0" w:space="0" w:color="auto"/>
        <w:left w:val="none" w:sz="0" w:space="0" w:color="auto"/>
        <w:bottom w:val="none" w:sz="0" w:space="0" w:color="auto"/>
        <w:right w:val="none" w:sz="0" w:space="0" w:color="auto"/>
      </w:divBdr>
    </w:div>
    <w:div w:id="1634676043">
      <w:bodyDiv w:val="1"/>
      <w:marLeft w:val="0"/>
      <w:marRight w:val="0"/>
      <w:marTop w:val="0"/>
      <w:marBottom w:val="0"/>
      <w:divBdr>
        <w:top w:val="none" w:sz="0" w:space="0" w:color="auto"/>
        <w:left w:val="none" w:sz="0" w:space="0" w:color="auto"/>
        <w:bottom w:val="none" w:sz="0" w:space="0" w:color="auto"/>
        <w:right w:val="none" w:sz="0" w:space="0" w:color="auto"/>
      </w:divBdr>
    </w:div>
    <w:div w:id="1788887629">
      <w:bodyDiv w:val="1"/>
      <w:marLeft w:val="0"/>
      <w:marRight w:val="0"/>
      <w:marTop w:val="0"/>
      <w:marBottom w:val="0"/>
      <w:divBdr>
        <w:top w:val="none" w:sz="0" w:space="0" w:color="auto"/>
        <w:left w:val="none" w:sz="0" w:space="0" w:color="auto"/>
        <w:bottom w:val="none" w:sz="0" w:space="0" w:color="auto"/>
        <w:right w:val="none" w:sz="0" w:space="0" w:color="auto"/>
      </w:divBdr>
    </w:div>
    <w:div w:id="1810005085">
      <w:bodyDiv w:val="1"/>
      <w:marLeft w:val="0"/>
      <w:marRight w:val="0"/>
      <w:marTop w:val="0"/>
      <w:marBottom w:val="0"/>
      <w:divBdr>
        <w:top w:val="none" w:sz="0" w:space="0" w:color="auto"/>
        <w:left w:val="none" w:sz="0" w:space="0" w:color="auto"/>
        <w:bottom w:val="none" w:sz="0" w:space="0" w:color="auto"/>
        <w:right w:val="none" w:sz="0" w:space="0" w:color="auto"/>
      </w:divBdr>
    </w:div>
    <w:div w:id="1844129518">
      <w:bodyDiv w:val="1"/>
      <w:marLeft w:val="0"/>
      <w:marRight w:val="0"/>
      <w:marTop w:val="0"/>
      <w:marBottom w:val="0"/>
      <w:divBdr>
        <w:top w:val="none" w:sz="0" w:space="0" w:color="auto"/>
        <w:left w:val="none" w:sz="0" w:space="0" w:color="auto"/>
        <w:bottom w:val="none" w:sz="0" w:space="0" w:color="auto"/>
        <w:right w:val="none" w:sz="0" w:space="0" w:color="auto"/>
      </w:divBdr>
    </w:div>
    <w:div w:id="1930890707">
      <w:bodyDiv w:val="1"/>
      <w:marLeft w:val="0"/>
      <w:marRight w:val="0"/>
      <w:marTop w:val="0"/>
      <w:marBottom w:val="0"/>
      <w:divBdr>
        <w:top w:val="none" w:sz="0" w:space="0" w:color="auto"/>
        <w:left w:val="none" w:sz="0" w:space="0" w:color="auto"/>
        <w:bottom w:val="none" w:sz="0" w:space="0" w:color="auto"/>
        <w:right w:val="none" w:sz="0" w:space="0" w:color="auto"/>
      </w:divBdr>
    </w:div>
    <w:div w:id="20239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16A3-4357-4A6C-9FED-27C44971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802</Words>
  <Characters>4576</Characters>
  <Application>Microsoft Office Word</Application>
  <DocSecurity>0</DocSecurity>
  <Lines>38</Lines>
  <Paragraphs>10</Paragraphs>
  <ScaleCrop>false</ScaleCrop>
  <Company>gdscjg</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2020-05-26T07:41:00Z</dcterms:created>
  <dcterms:modified xsi:type="dcterms:W3CDTF">2020-05-29T06:03:00Z</dcterms:modified>
</cp:coreProperties>
</file>