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方正小标宋_GBK" w:cs="Times New Roman"/>
          <w:color w:val="000000" w:themeColor="text1"/>
          <w:w w:val="95"/>
          <w:sz w:val="44"/>
          <w:szCs w:val="44"/>
          <w:lang w:val="en-US" w:eastAsia="zh-CN"/>
          <w14:textFill>
            <w14:solidFill>
              <w14:schemeClr w14:val="tx1"/>
            </w14:solidFill>
          </w14:textFill>
        </w:rPr>
      </w:pPr>
      <w:bookmarkStart w:id="0" w:name="_GoBack"/>
      <w:bookmarkEnd w:id="0"/>
      <w:r>
        <w:rPr>
          <w:rFonts w:hint="default" w:ascii="Times New Roman" w:hAnsi="Times New Roman" w:eastAsia="方正小标宋_GBK" w:cs="Times New Roman"/>
          <w:color w:val="000000" w:themeColor="text1"/>
          <w:w w:val="95"/>
          <w:sz w:val="44"/>
          <w:szCs w:val="44"/>
          <w:lang w:eastAsia="zh-CN"/>
          <w14:textFill>
            <w14:solidFill>
              <w14:schemeClr w14:val="tx1"/>
            </w14:solidFill>
          </w14:textFill>
        </w:rPr>
        <w:t>昆明市官渡区关于</w:t>
      </w:r>
      <w:r>
        <w:rPr>
          <w:rFonts w:hint="eastAsia" w:ascii="Times New Roman" w:hAnsi="Times New Roman" w:eastAsia="方正小标宋_GBK" w:cs="Times New Roman"/>
          <w:color w:val="000000" w:themeColor="text1"/>
          <w:w w:val="95"/>
          <w:sz w:val="44"/>
          <w:szCs w:val="44"/>
          <w:lang w:eastAsia="zh-CN"/>
          <w14:textFill>
            <w14:solidFill>
              <w14:schemeClr w14:val="tx1"/>
            </w14:solidFill>
          </w14:textFill>
        </w:rPr>
        <w:t>促进跨境电子商务高质量</w:t>
      </w:r>
      <w:r>
        <w:rPr>
          <w:rFonts w:hint="default" w:ascii="Times New Roman" w:hAnsi="Times New Roman" w:eastAsia="方正小标宋_GBK" w:cs="Times New Roman"/>
          <w:color w:val="000000" w:themeColor="text1"/>
          <w:w w:val="95"/>
          <w:sz w:val="44"/>
          <w:szCs w:val="44"/>
          <w:lang w:eastAsia="zh-CN"/>
          <w14:textFill>
            <w14:solidFill>
              <w14:schemeClr w14:val="tx1"/>
            </w14:solidFill>
          </w14:textFill>
        </w:rPr>
        <w:t>发展的</w:t>
      </w:r>
      <w:r>
        <w:rPr>
          <w:rFonts w:hint="eastAsia" w:ascii="Times New Roman" w:hAnsi="Times New Roman" w:eastAsia="方正小标宋_GBK" w:cs="Times New Roman"/>
          <w:color w:val="000000" w:themeColor="text1"/>
          <w:w w:val="95"/>
          <w:sz w:val="44"/>
          <w:szCs w:val="44"/>
          <w:lang w:eastAsia="zh-CN"/>
          <w14:textFill>
            <w14:solidFill>
              <w14:schemeClr w14:val="tx1"/>
            </w14:solidFill>
          </w14:textFill>
        </w:rPr>
        <w:t>扶持办法（试行）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楷体_GB2312" w:hAnsi="楷体_GB2312" w:eastAsia="楷体_GB2312" w:cs="楷体_GB2312"/>
          <w:color w:val="000000" w:themeColor="text1"/>
          <w:w w:val="95"/>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w w:val="95"/>
          <w:sz w:val="32"/>
          <w:szCs w:val="32"/>
          <w:lang w:eastAsia="zh-CN"/>
          <w14:textFill>
            <w14:solidFill>
              <w14:schemeClr w14:val="tx1"/>
            </w14:solidFill>
          </w14:textFill>
        </w:rPr>
        <w:t>（征求意见稿）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cs="Times New Roman"/>
          <w:color w:val="000000" w:themeColor="text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第一章</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lang w:eastAsia="zh-CN"/>
          <w14:textFill>
            <w14:solidFill>
              <w14:schemeClr w14:val="tx1"/>
            </w14:solidFill>
          </w14:textFill>
        </w:rPr>
        <w:t>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第一条</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为进一步提升昆明市官渡区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外贸</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发展水平，</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致力于打通跨境电子商务产业链和生态链，培育外贸发展新动能</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，根据</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《昆明市人民政府关于印发中国（昆明）跨境电子商务综合试验区三年行动计划（</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2019-2021年</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及加快跨境电子商务发展若干政策（试行）的通知》（昆政发〔</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2019</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33号</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文件精神</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，结合我区实际，</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制定</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本扶持政策</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第二章</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lang w:eastAsia="zh-CN"/>
          <w14:textFill>
            <w14:solidFill>
              <w14:schemeClr w14:val="tx1"/>
            </w14:solidFill>
          </w14:textFill>
        </w:rPr>
        <w:t>申报主体要求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第二条 </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本政策的扶持对象应同时满足如下条件：</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一）本政策的扶持对象是指在昆明市官渡区依法注册并在税务部门登记纳税的具有独立法人资格的跨境电子商务企业（自建跨境电子商务销售平台的电子商务进出口企业、利用第三方跨境电子商务平台开展电子商务进出口的应用企业、为电子商务进出口企业提供交易服务的第三方平台、国内知名跨境电子商务第三方平台本地化运营商以及为跨境电子商务提供配套服务的企业）、园区运营方等。</w:t>
      </w:r>
    </w:p>
    <w:p>
      <w:pPr>
        <w:keepNext w:val="0"/>
        <w:keepLines w:val="0"/>
        <w:pageBreakBefore w:val="0"/>
        <w:widowControl w:val="0"/>
        <w:kinsoku/>
        <w:wordWrap/>
        <w:overflowPunct/>
        <w:topLinePunct w:val="0"/>
        <w:bidi w:val="0"/>
        <w:snapToGrid/>
        <w:spacing w:line="560" w:lineRule="exact"/>
        <w:ind w:firstLine="640" w:firstLineChars="200"/>
        <w:jc w:val="both"/>
        <w:textAlignment w:val="baseline"/>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（二）</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符合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官渡区产业发展方向。</w:t>
      </w:r>
    </w:p>
    <w:p>
      <w:pPr>
        <w:keepNext w:val="0"/>
        <w:keepLines w:val="0"/>
        <w:pageBreakBefore w:val="0"/>
        <w:widowControl w:val="0"/>
        <w:kinsoku/>
        <w:wordWrap/>
        <w:overflowPunct/>
        <w:topLinePunct w:val="0"/>
        <w:bidi w:val="0"/>
        <w:snapToGrid/>
        <w:spacing w:line="560" w:lineRule="exact"/>
        <w:ind w:firstLine="640" w:firstLineChars="200"/>
        <w:jc w:val="left"/>
        <w:textAlignment w:val="baseline"/>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（三）</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在官渡区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内</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合法经营，申报年度近三年内</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无</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不良信用记录。</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（四）</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本</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扶持政策</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数据以</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纳入海关统计并计入官渡区外贸统计口径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数据为准。</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五</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）对于企业年度安全生产责任制不落实导致事故发生或有走私行为的企业不给予兑现</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本</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扶持</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政策</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条款。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第三条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企业申报扶持资金或补助提供的材料及凭证必须真实有效，</w:t>
      </w:r>
      <w:r>
        <w:rPr>
          <w:rStyle w:val="7"/>
          <w:rFonts w:hint="eastAsia" w:ascii="Times New Roman" w:hAnsi="Times New Roman" w:eastAsia="仿宋_GB2312"/>
          <w:color w:val="000000" w:themeColor="text1"/>
          <w:kern w:val="2"/>
          <w:sz w:val="32"/>
          <w:szCs w:val="32"/>
          <w:lang w:val="en-US" w:eastAsia="zh-CN" w:bidi="ar-SA"/>
          <w14:textFill>
            <w14:solidFill>
              <w14:schemeClr w14:val="tx1"/>
            </w14:solidFill>
          </w14:textFill>
        </w:rPr>
        <w:t>相关补助资金须按照市级相关文件规定严格使用、管理项目资金，积极配合审计部门的审计监督，确保资金使用安全、规范和有效。对于弄虚作假、骗取、截留、挪用补助资金的，昆明市官渡区商务和投资促进局将收回其补助资金，终止优惠政策。情节严重的将追究申报单位的法律责任，依法移送司法机关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第三章</w:t>
      </w:r>
      <w:r>
        <w:rPr>
          <w:rFonts w:hint="eastAsia" w:ascii="黑体" w:hAnsi="黑体" w:eastAsia="黑体" w:cs="黑体"/>
          <w:b w:val="0"/>
          <w:bCs w:val="0"/>
          <w:color w:val="000000" w:themeColor="text1"/>
          <w:sz w:val="32"/>
          <w:szCs w:val="32"/>
          <w:lang w:val="en-US" w:eastAsia="zh-CN"/>
          <w14:textFill>
            <w14:solidFill>
              <w14:schemeClr w14:val="tx1"/>
            </w14:solidFill>
          </w14:textFill>
        </w:rPr>
        <w:t xml:space="preserve"> </w:t>
      </w:r>
      <w:r>
        <w:rPr>
          <w:rFonts w:hint="eastAsia" w:ascii="黑体" w:hAnsi="黑体" w:eastAsia="黑体" w:cs="黑体"/>
          <w:b w:val="0"/>
          <w:bCs w:val="0"/>
          <w:color w:val="000000" w:themeColor="text1"/>
          <w:sz w:val="32"/>
          <w:szCs w:val="32"/>
          <w:lang w:eastAsia="zh-CN"/>
          <w14:textFill>
            <w14:solidFill>
              <w14:schemeClr w14:val="tx1"/>
            </w14:solidFill>
          </w14:textFill>
        </w:rPr>
        <w:t>支持政策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第四条</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鼓励开展跨境电子商务特色产业园区建设。</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建筑面积达到5000平方米、入驻率达到80%以上、其中跨境电商占60%及以上，有10家以上数据纳入统计且达到200万美元（含）以上的，一次性</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给予园区运营方</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60</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万</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元</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的园区运营扶持</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；年进出口总额</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较上年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同比增长的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给予园区运营管理方增长部分按1美元0.05元人民币进行补助，单个企业不超过50万元人民币</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第五条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鼓励跨境电子商务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服务商扩大规模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。服务跨境电子商务进出口企业30家以上</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且</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年在线交易额达到500万美元以上</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的，按1美元0.05元人民币进行补助</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总额</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不超过100万元。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第六条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鼓励跨境电子商务企业健康发展</w:t>
      </w:r>
    </w:p>
    <w:p>
      <w:pPr>
        <w:widowControl/>
        <w:shd w:val="clear" w:color="auto" w:fill="FFFFFF"/>
        <w:spacing w:line="560" w:lineRule="exact"/>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（一）支持企业开展跨境电子商务。</w:t>
      </w:r>
      <w:r>
        <w:rPr>
          <w:rFonts w:hint="default" w:ascii="Times New Roman" w:hAnsi="Times New Roman" w:eastAsia="仿宋_GB2312" w:cs="Times New Roman"/>
          <w:color w:val="000000" w:themeColor="text1"/>
          <w:sz w:val="32"/>
          <w:szCs w:val="32"/>
          <w:lang w:val="zh-CN" w:eastAsia="zh-CN"/>
          <w14:textFill>
            <w14:solidFill>
              <w14:schemeClr w14:val="tx1"/>
            </w14:solidFill>
          </w14:textFill>
        </w:rPr>
        <w:t>首次</w:t>
      </w:r>
      <w:r>
        <w:rPr>
          <w:rFonts w:hint="eastAsia" w:ascii="Times New Roman" w:hAnsi="Times New Roman" w:eastAsia="仿宋_GB2312" w:cs="Times New Roman"/>
          <w:color w:val="000000" w:themeColor="text1"/>
          <w:sz w:val="32"/>
          <w:szCs w:val="32"/>
          <w:lang w:val="zh-CN" w:eastAsia="zh-CN"/>
          <w14:textFill>
            <w14:solidFill>
              <w14:schemeClr w14:val="tx1"/>
            </w14:solidFill>
          </w14:textFill>
        </w:rPr>
        <w:t>纳入海关统计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的给予首单</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补助1万元人民币；</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年</w:t>
      </w:r>
      <w:r>
        <w:rPr>
          <w:rFonts w:hint="default" w:ascii="Times New Roman" w:hAnsi="Times New Roman" w:eastAsia="仿宋_GB2312" w:cs="Times New Roman"/>
          <w:color w:val="000000" w:themeColor="text1"/>
          <w:sz w:val="32"/>
          <w:szCs w:val="32"/>
          <w:lang w:val="zh-CN" w:eastAsia="zh-CN"/>
          <w14:textFill>
            <w14:solidFill>
              <w14:schemeClr w14:val="tx1"/>
            </w14:solidFill>
          </w14:textFill>
        </w:rPr>
        <w:t>进出口额达到</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1万美元</w:t>
      </w:r>
      <w:r>
        <w:rPr>
          <w:rFonts w:hint="default" w:ascii="Times New Roman" w:hAnsi="Times New Roman" w:eastAsia="仿宋_GB2312" w:cs="Times New Roman"/>
          <w:color w:val="000000" w:themeColor="text1"/>
          <w:sz w:val="32"/>
          <w:szCs w:val="32"/>
          <w:lang w:val="zh-CN" w:eastAsia="zh-CN"/>
          <w14:textFill>
            <w14:solidFill>
              <w14:schemeClr w14:val="tx1"/>
            </w14:solidFill>
          </w14:textFill>
        </w:rPr>
        <w:t>以上的分别给予平台基本费用（平台佣金）</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50</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%的补助，推广费用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（达5万元人民币以上）30</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%的补助，单</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个企业补助</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不超过10万</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元人民币；年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进出口额达到10万美元以上的，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按年进出口额1美元0.05元人民币进行补助，单个企业最高不超过50万元</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p>
    <w:p>
      <w:pPr>
        <w:widowControl/>
        <w:shd w:val="clear" w:color="auto" w:fill="FFFFFF"/>
        <w:spacing w:line="560" w:lineRule="exact"/>
        <w:ind w:firstLine="640" w:firstLineChars="20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（二）办公物业补助。</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对在区内租赁办公</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用房</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的跨境电子商务企业，营业满一年，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进出口额</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达到</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100万美元</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及以上的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，按照</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15</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元/平方米给予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一次性办公物业补助</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单个企业</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不超过</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10</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万元。</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入驻园区的企业由园区运营管理方推荐。</w:t>
      </w:r>
    </w:p>
    <w:p>
      <w:pPr>
        <w:keepNext w:val="0"/>
        <w:keepLines w:val="0"/>
        <w:pageBreakBefore w:val="0"/>
        <w:widowControl w:val="0"/>
        <w:kinsoku/>
        <w:wordWrap/>
        <w:overflowPunct/>
        <w:topLinePunct w:val="0"/>
        <w:autoSpaceDE w:val="0"/>
        <w:autoSpaceDN w:val="0"/>
        <w:bidi w:val="0"/>
        <w:adjustRightInd w:val="0"/>
        <w:snapToGrid/>
        <w:spacing w:line="560" w:lineRule="exact"/>
        <w:ind w:right="0" w:rightChars="0" w:firstLine="640" w:firstLineChars="200"/>
        <w:textAlignment w:val="auto"/>
        <w:rPr>
          <w:rFonts w:hint="default"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（三）</w:t>
      </w:r>
      <w:r>
        <w:rPr>
          <w:rFonts w:hint="default" w:ascii="Times New Roman" w:hAnsi="Times New Roman" w:eastAsia="仿宋_GB2312" w:cs="Times New Roman"/>
          <w:b w:val="0"/>
          <w:bCs w:val="0"/>
          <w:color w:val="000000" w:themeColor="text1"/>
          <w:kern w:val="0"/>
          <w:sz w:val="32"/>
          <w:szCs w:val="32"/>
          <w:lang w:eastAsia="zh-CN"/>
          <w14:textFill>
            <w14:solidFill>
              <w14:schemeClr w14:val="tx1"/>
            </w14:solidFill>
          </w14:textFill>
        </w:rPr>
        <w:t>加强跨境电子商务境外注册和国际认证。</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在跨境出口目的国注册自有商标、通过国际认证且年进出口额达到</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50万美元及以上</w:t>
      </w:r>
      <w:r>
        <w:rPr>
          <w:rFonts w:hint="default" w:ascii="Times New Roman" w:hAnsi="Times New Roman" w:eastAsia="仿宋_GB2312" w:cs="Times New Roman"/>
          <w:b w:val="0"/>
          <w:bCs w:val="0"/>
          <w:color w:val="000000" w:themeColor="text1"/>
          <w:kern w:val="0"/>
          <w:sz w:val="32"/>
          <w:szCs w:val="32"/>
          <w:lang w:eastAsia="zh-CN"/>
          <w14:textFill>
            <w14:solidFill>
              <w14:schemeClr w14:val="tx1"/>
            </w14:solidFill>
          </w14:textFill>
        </w:rPr>
        <w:t>的，</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分别</w:t>
      </w:r>
      <w:r>
        <w:rPr>
          <w:rFonts w:hint="default" w:ascii="Times New Roman" w:hAnsi="Times New Roman" w:eastAsia="仿宋_GB2312" w:cs="Times New Roman"/>
          <w:b w:val="0"/>
          <w:bCs w:val="0"/>
          <w:color w:val="000000" w:themeColor="text1"/>
          <w:kern w:val="0"/>
          <w:sz w:val="32"/>
          <w:szCs w:val="32"/>
          <w:lang w:eastAsia="zh-CN"/>
          <w14:textFill>
            <w14:solidFill>
              <w14:schemeClr w14:val="tx1"/>
            </w14:solidFill>
          </w14:textFill>
        </w:rPr>
        <w:t>给予当年境外商标注册费用</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、国际认证费用</w:t>
      </w:r>
      <w:r>
        <w:rPr>
          <w:rFonts w:hint="default"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50%</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、70%</w:t>
      </w:r>
      <w:r>
        <w:rPr>
          <w:rFonts w:hint="default"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的一次性</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补助</w:t>
      </w:r>
      <w:r>
        <w:rPr>
          <w:rFonts w:hint="default"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，单个企业不超过</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10、20</w:t>
      </w:r>
      <w:r>
        <w:rPr>
          <w:rFonts w:hint="default"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万元</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14:textFill>
            <w14:solidFill>
              <w14:schemeClr w14:val="tx1"/>
            </w14:solidFill>
          </w14:textFill>
        </w:rPr>
        <w:t>第七条</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 xml:space="preserve"> 鼓励企业应用海外仓储</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（一）企业租赁公共海外仓且年度进出口额达到100万美元以上的，按照实际租赁费用</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（折合成人民币）</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15%给予一次性补助，单个企业不超过50万元。</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（二）</w:t>
      </w:r>
      <w:r>
        <w:rPr>
          <w:rFonts w:hint="default" w:ascii="Times New Roman" w:hAnsi="Times New Roman" w:eastAsia="仿宋_GB2312" w:cs="Times New Roman"/>
          <w:color w:val="000000" w:themeColor="text1"/>
          <w:sz w:val="32"/>
          <w:szCs w:val="32"/>
          <w:lang w:val="zh-CN" w:eastAsia="zh-CN"/>
          <w14:textFill>
            <w14:solidFill>
              <w14:schemeClr w14:val="tx1"/>
            </w14:solidFill>
          </w14:textFill>
        </w:rPr>
        <w:t>鼓励企业开展海外新营销网</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点、海外体验店建设，</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对于年进出口额达到</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100万美元以上的，按</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实际</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投入</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费用</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10%进行补助</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单个企业</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不超过50万元。</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14:textFill>
            <w14:solidFill>
              <w14:schemeClr w14:val="tx1"/>
            </w14:solidFill>
          </w14:textFill>
        </w:rPr>
        <w:t>第八条</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降低跨境电子商务企业物流成本。</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年度进出口额达到100万美元以上的，</w:t>
      </w:r>
      <w:r>
        <w:rPr>
          <w:rFonts w:hint="default" w:ascii="Times New Roman" w:hAnsi="Times New Roman" w:eastAsia="仿宋_GB2312" w:cs="Times New Roman"/>
          <w:color w:val="000000" w:themeColor="text1"/>
          <w:kern w:val="0"/>
          <w:sz w:val="32"/>
          <w:szCs w:val="32"/>
          <w14:textFill>
            <w14:solidFill>
              <w14:schemeClr w14:val="tx1"/>
            </w14:solidFill>
          </w14:textFill>
        </w:rPr>
        <w:t>给予实际发生</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物流</w:t>
      </w:r>
      <w:r>
        <w:rPr>
          <w:rFonts w:hint="default" w:ascii="Times New Roman" w:hAnsi="Times New Roman" w:eastAsia="仿宋_GB2312" w:cs="Times New Roman"/>
          <w:color w:val="000000" w:themeColor="text1"/>
          <w:kern w:val="0"/>
          <w:sz w:val="32"/>
          <w:szCs w:val="32"/>
          <w14:textFill>
            <w14:solidFill>
              <w14:schemeClr w14:val="tx1"/>
            </w14:solidFill>
          </w14:textFill>
        </w:rPr>
        <w:t>费用</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10</w:t>
      </w:r>
      <w:r>
        <w:rPr>
          <w:rFonts w:hint="default" w:ascii="Times New Roman" w:hAnsi="Times New Roman" w:eastAsia="仿宋_GB2312" w:cs="Times New Roman"/>
          <w:color w:val="000000" w:themeColor="text1"/>
          <w:kern w:val="0"/>
          <w:sz w:val="32"/>
          <w:szCs w:val="32"/>
          <w14:textFill>
            <w14:solidFill>
              <w14:schemeClr w14:val="tx1"/>
            </w14:solidFill>
          </w14:textFill>
        </w:rPr>
        <w:t>%的资金</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补助</w:t>
      </w:r>
      <w:r>
        <w:rPr>
          <w:rFonts w:hint="default"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单个企业</w:t>
      </w:r>
      <w:r>
        <w:rPr>
          <w:rFonts w:hint="default" w:ascii="Times New Roman" w:hAnsi="Times New Roman" w:eastAsia="仿宋_GB2312" w:cs="Times New Roman"/>
          <w:color w:val="000000" w:themeColor="text1"/>
          <w:kern w:val="0"/>
          <w:sz w:val="32"/>
          <w:szCs w:val="32"/>
          <w14:textFill>
            <w14:solidFill>
              <w14:schemeClr w14:val="tx1"/>
            </w14:solidFill>
          </w14:textFill>
        </w:rPr>
        <w:t>不超过</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10</w:t>
      </w:r>
      <w:r>
        <w:rPr>
          <w:rFonts w:hint="default" w:ascii="Times New Roman" w:hAnsi="Times New Roman" w:eastAsia="仿宋_GB2312" w:cs="Times New Roman"/>
          <w:color w:val="000000" w:themeColor="text1"/>
          <w:kern w:val="0"/>
          <w:sz w:val="32"/>
          <w:szCs w:val="32"/>
          <w14:textFill>
            <w14:solidFill>
              <w14:schemeClr w14:val="tx1"/>
            </w14:solidFill>
          </w14:textFill>
        </w:rPr>
        <w:t>万元</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第九条</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鼓励龙头跨境电商企业入驻。</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对官渡区跨境电子商务发展发挥重要</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引领带动作用的</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按照</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“一事一议”</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政策执行</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w:t>
      </w:r>
    </w:p>
    <w:p>
      <w:pPr>
        <w:pStyle w:val="6"/>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0" w:firstLineChars="0"/>
        <w:jc w:val="center"/>
        <w:textAlignment w:val="auto"/>
        <w:outlineLvl w:val="9"/>
        <w:rPr>
          <w:rFonts w:hint="default" w:ascii="Times New Roman" w:hAnsi="Times New Roman" w:eastAsia="黑体"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黑体" w:cs="Times New Roman"/>
          <w:color w:val="000000" w:themeColor="text1"/>
          <w:kern w:val="2"/>
          <w:sz w:val="32"/>
          <w:szCs w:val="32"/>
          <w:lang w:val="en-US" w:eastAsia="zh-CN" w:bidi="ar-SA"/>
          <w14:textFill>
            <w14:solidFill>
              <w14:schemeClr w14:val="tx1"/>
            </w14:solidFill>
          </w14:textFill>
        </w:rPr>
        <w:t>第四章 附则</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rPr>
          <w:rStyle w:val="7"/>
          <w:rFonts w:ascii="Times New Roman" w:hAnsi="Times New Roman" w:eastAsia="仿宋_GB2312"/>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第十条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Style w:val="7"/>
          <w:rFonts w:ascii="Times New Roman" w:hAnsi="Times New Roman" w:eastAsia="仿宋_GB2312"/>
          <w:color w:val="000000" w:themeColor="text1"/>
          <w:kern w:val="2"/>
          <w:sz w:val="32"/>
          <w:szCs w:val="32"/>
          <w:lang w:val="en-US" w:eastAsia="zh-CN" w:bidi="ar-SA"/>
          <w14:textFill>
            <w14:solidFill>
              <w14:schemeClr w14:val="tx1"/>
            </w14:solidFill>
          </w14:textFill>
        </w:rPr>
        <w:t>区财政</w:t>
      </w:r>
      <w:r>
        <w:rPr>
          <w:rStyle w:val="7"/>
          <w:rFonts w:hint="eastAsia" w:ascii="Times New Roman" w:hAnsi="Times New Roman" w:eastAsia="仿宋_GB2312"/>
          <w:color w:val="000000" w:themeColor="text1"/>
          <w:kern w:val="2"/>
          <w:sz w:val="32"/>
          <w:szCs w:val="32"/>
          <w:lang w:val="en-US" w:eastAsia="zh-CN" w:bidi="ar-SA"/>
          <w14:textFill>
            <w14:solidFill>
              <w14:schemeClr w14:val="tx1"/>
            </w14:solidFill>
          </w14:textFill>
        </w:rPr>
        <w:t>统一</w:t>
      </w:r>
      <w:r>
        <w:rPr>
          <w:rStyle w:val="7"/>
          <w:rFonts w:ascii="Times New Roman" w:hAnsi="Times New Roman" w:eastAsia="仿宋_GB2312"/>
          <w:color w:val="000000" w:themeColor="text1"/>
          <w:kern w:val="2"/>
          <w:sz w:val="32"/>
          <w:szCs w:val="32"/>
          <w:lang w:val="en-US" w:eastAsia="zh-CN" w:bidi="ar-SA"/>
          <w14:textFill>
            <w14:solidFill>
              <w14:schemeClr w14:val="tx1"/>
            </w14:solidFill>
          </w14:textFill>
        </w:rPr>
        <w:t>安排专项资金。</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第十一条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本办法自</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2020年1月1日起执行。</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第十二条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本办法由官渡区商务和投资促进局负责解释。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ngLiU">
    <w:panose1 w:val="02020509000000000000"/>
    <w:charset w:val="88"/>
    <w:family w:val="modern"/>
    <w:pitch w:val="default"/>
    <w:sig w:usb0="A00002FF" w:usb1="28CFFCFA" w:usb2="00000016" w:usb3="00000000" w:csb0="0010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3E55A5"/>
    <w:rsid w:val="007930DF"/>
    <w:rsid w:val="016E23C4"/>
    <w:rsid w:val="03AD48FC"/>
    <w:rsid w:val="04610CE7"/>
    <w:rsid w:val="05CD04DA"/>
    <w:rsid w:val="065115DF"/>
    <w:rsid w:val="06A12F8A"/>
    <w:rsid w:val="071E59ED"/>
    <w:rsid w:val="07911066"/>
    <w:rsid w:val="08F7579B"/>
    <w:rsid w:val="0A913C8C"/>
    <w:rsid w:val="0AB11F65"/>
    <w:rsid w:val="0BC66042"/>
    <w:rsid w:val="0BD5492E"/>
    <w:rsid w:val="0C231124"/>
    <w:rsid w:val="0C3B0EEE"/>
    <w:rsid w:val="0CC96802"/>
    <w:rsid w:val="0CF4089E"/>
    <w:rsid w:val="0E0C23BC"/>
    <w:rsid w:val="0E7B7485"/>
    <w:rsid w:val="0F25287A"/>
    <w:rsid w:val="0FDA5B1B"/>
    <w:rsid w:val="10416A05"/>
    <w:rsid w:val="10477594"/>
    <w:rsid w:val="11440CF4"/>
    <w:rsid w:val="11917D3A"/>
    <w:rsid w:val="13E848B8"/>
    <w:rsid w:val="13F34317"/>
    <w:rsid w:val="1437054E"/>
    <w:rsid w:val="14DD2230"/>
    <w:rsid w:val="154621C7"/>
    <w:rsid w:val="154F2064"/>
    <w:rsid w:val="15F95AE1"/>
    <w:rsid w:val="160F64A2"/>
    <w:rsid w:val="17F36AA3"/>
    <w:rsid w:val="18254421"/>
    <w:rsid w:val="18C229DA"/>
    <w:rsid w:val="19506664"/>
    <w:rsid w:val="19A659BE"/>
    <w:rsid w:val="1A7D31D5"/>
    <w:rsid w:val="1AF2576F"/>
    <w:rsid w:val="1BAC3A0C"/>
    <w:rsid w:val="1BD0070E"/>
    <w:rsid w:val="1C2C1721"/>
    <w:rsid w:val="1C8C0460"/>
    <w:rsid w:val="1D557A5C"/>
    <w:rsid w:val="1DB621CD"/>
    <w:rsid w:val="1EB41381"/>
    <w:rsid w:val="1EBB133B"/>
    <w:rsid w:val="1F2A5DD9"/>
    <w:rsid w:val="201A7293"/>
    <w:rsid w:val="201B696B"/>
    <w:rsid w:val="20A73B96"/>
    <w:rsid w:val="20D06596"/>
    <w:rsid w:val="21706FB3"/>
    <w:rsid w:val="22297D06"/>
    <w:rsid w:val="2291249F"/>
    <w:rsid w:val="234F69EC"/>
    <w:rsid w:val="243957D7"/>
    <w:rsid w:val="24615EE2"/>
    <w:rsid w:val="24D52DA7"/>
    <w:rsid w:val="261F7FBD"/>
    <w:rsid w:val="26834BE1"/>
    <w:rsid w:val="277B38F3"/>
    <w:rsid w:val="279A39ED"/>
    <w:rsid w:val="27AB7C8B"/>
    <w:rsid w:val="27D94F7E"/>
    <w:rsid w:val="284A7484"/>
    <w:rsid w:val="28FB7E12"/>
    <w:rsid w:val="291B6C5B"/>
    <w:rsid w:val="29D31A33"/>
    <w:rsid w:val="2B614304"/>
    <w:rsid w:val="2B8F29A4"/>
    <w:rsid w:val="2C7B769C"/>
    <w:rsid w:val="2E3A0C78"/>
    <w:rsid w:val="3160178F"/>
    <w:rsid w:val="318C3435"/>
    <w:rsid w:val="31964C07"/>
    <w:rsid w:val="31C80F37"/>
    <w:rsid w:val="32504478"/>
    <w:rsid w:val="34902FA6"/>
    <w:rsid w:val="34EB0455"/>
    <w:rsid w:val="3525238B"/>
    <w:rsid w:val="35754129"/>
    <w:rsid w:val="35B24321"/>
    <w:rsid w:val="35D35FBF"/>
    <w:rsid w:val="36520A99"/>
    <w:rsid w:val="36712D52"/>
    <w:rsid w:val="38A40A60"/>
    <w:rsid w:val="392A32B4"/>
    <w:rsid w:val="39A35D87"/>
    <w:rsid w:val="39C12C2F"/>
    <w:rsid w:val="39F12545"/>
    <w:rsid w:val="3A7C39B1"/>
    <w:rsid w:val="3AFD79DB"/>
    <w:rsid w:val="3D610913"/>
    <w:rsid w:val="3DB01750"/>
    <w:rsid w:val="3DB250B5"/>
    <w:rsid w:val="3DBB37B3"/>
    <w:rsid w:val="3E2547BE"/>
    <w:rsid w:val="3E683C55"/>
    <w:rsid w:val="3EF704A7"/>
    <w:rsid w:val="40427CE6"/>
    <w:rsid w:val="40E93D52"/>
    <w:rsid w:val="410946AF"/>
    <w:rsid w:val="410D26E7"/>
    <w:rsid w:val="412849B9"/>
    <w:rsid w:val="41AC7CBA"/>
    <w:rsid w:val="42F31976"/>
    <w:rsid w:val="42F37A68"/>
    <w:rsid w:val="435F3117"/>
    <w:rsid w:val="448707A7"/>
    <w:rsid w:val="448B4836"/>
    <w:rsid w:val="44C87848"/>
    <w:rsid w:val="44EC6CA8"/>
    <w:rsid w:val="46F90D0F"/>
    <w:rsid w:val="48F84649"/>
    <w:rsid w:val="49595439"/>
    <w:rsid w:val="49A1121C"/>
    <w:rsid w:val="49FE7DE1"/>
    <w:rsid w:val="4B3E3D14"/>
    <w:rsid w:val="4B4C7218"/>
    <w:rsid w:val="4B5521EC"/>
    <w:rsid w:val="4C8144F5"/>
    <w:rsid w:val="4CFF43F0"/>
    <w:rsid w:val="4D030F63"/>
    <w:rsid w:val="4D7400FE"/>
    <w:rsid w:val="4F5D42C9"/>
    <w:rsid w:val="4FF32903"/>
    <w:rsid w:val="512C1311"/>
    <w:rsid w:val="527B66D9"/>
    <w:rsid w:val="52E25B09"/>
    <w:rsid w:val="52E445F3"/>
    <w:rsid w:val="53C62AD1"/>
    <w:rsid w:val="54C33AD4"/>
    <w:rsid w:val="54F979C5"/>
    <w:rsid w:val="55B43C09"/>
    <w:rsid w:val="55F3729C"/>
    <w:rsid w:val="56124A99"/>
    <w:rsid w:val="58A7147A"/>
    <w:rsid w:val="5975573B"/>
    <w:rsid w:val="5B7E6896"/>
    <w:rsid w:val="5BB27A77"/>
    <w:rsid w:val="5BEB1D52"/>
    <w:rsid w:val="5C3325CC"/>
    <w:rsid w:val="5C562B9F"/>
    <w:rsid w:val="5DBC3204"/>
    <w:rsid w:val="5F5F0992"/>
    <w:rsid w:val="61DE2EA2"/>
    <w:rsid w:val="621B0BA7"/>
    <w:rsid w:val="62244890"/>
    <w:rsid w:val="63977A44"/>
    <w:rsid w:val="647C7821"/>
    <w:rsid w:val="64D94D0A"/>
    <w:rsid w:val="66A11FD6"/>
    <w:rsid w:val="67030F9A"/>
    <w:rsid w:val="67C53A6C"/>
    <w:rsid w:val="68D73685"/>
    <w:rsid w:val="6B220EB0"/>
    <w:rsid w:val="6C385E1A"/>
    <w:rsid w:val="6D2B23FA"/>
    <w:rsid w:val="6D450F52"/>
    <w:rsid w:val="6EC46A07"/>
    <w:rsid w:val="6F132D56"/>
    <w:rsid w:val="6F966584"/>
    <w:rsid w:val="7004608F"/>
    <w:rsid w:val="70A47FC8"/>
    <w:rsid w:val="724930E1"/>
    <w:rsid w:val="727743B1"/>
    <w:rsid w:val="74E95111"/>
    <w:rsid w:val="75AC277D"/>
    <w:rsid w:val="75F61435"/>
    <w:rsid w:val="78102006"/>
    <w:rsid w:val="78264638"/>
    <w:rsid w:val="79724AE9"/>
    <w:rsid w:val="7A424B0A"/>
    <w:rsid w:val="7B4B6D61"/>
    <w:rsid w:val="7BE233B8"/>
    <w:rsid w:val="7BEC0399"/>
    <w:rsid w:val="7C085BB9"/>
    <w:rsid w:val="7C625762"/>
    <w:rsid w:val="7D3E55A5"/>
    <w:rsid w:val="7F2C65D7"/>
    <w:rsid w:val="7F851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7"/>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Body text|1"/>
    <w:basedOn w:val="1"/>
    <w:unhideWhenUsed/>
    <w:qFormat/>
    <w:uiPriority w:val="0"/>
    <w:pPr>
      <w:spacing w:beforeLines="0" w:afterLines="0" w:line="410" w:lineRule="auto"/>
      <w:ind w:firstLine="400"/>
    </w:pPr>
    <w:rPr>
      <w:rFonts w:hint="eastAsia" w:ascii="MingLiU" w:hAnsi="MingLiU" w:eastAsia="MingLiU"/>
      <w:sz w:val="22"/>
      <w:lang w:val="zh-TW" w:eastAsia="zh-TW"/>
    </w:rPr>
  </w:style>
  <w:style w:type="character" w:customStyle="1" w:styleId="7">
    <w:name w:val="NormalCharacter"/>
    <w:link w:val="1"/>
    <w:semiHidden/>
    <w:qFormat/>
    <w:uiPriority w:val="0"/>
    <w:rPr>
      <w:rFonts w:asciiTheme="minorHAnsi" w:hAnsiTheme="minorHAnsi" w:eastAsiaTheme="minorEastAsia" w:cstheme="minorBidi"/>
      <w:kern w:val="2"/>
      <w:sz w:val="21"/>
      <w:szCs w:val="24"/>
      <w:lang w:val="en-US" w:eastAsia="zh-CN" w:bidi="ar-SA"/>
    </w:rPr>
  </w:style>
  <w:style w:type="character" w:customStyle="1" w:styleId="8">
    <w:name w:val="公文文号"/>
    <w:basedOn w:val="5"/>
    <w:qFormat/>
    <w:uiPriority w:val="0"/>
    <w:rPr>
      <w:rFonts w:eastAsia="仿宋_GB2312"/>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61</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2019-03-23T05:45:00Z</dcterms:created>
  <dc:creator>WPS_1528183390</dc:creator>
  <cp:lastModifiedBy>区商务和投资促进局（区中小企业局）【收文员】</cp:lastModifiedBy>
  <cp:lastPrinted>2020-05-22T07:32:00Z</cp:lastPrinted>
  <dcterms:modified xsi:type="dcterms:W3CDTF">2021-07-28T07:09:30Z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