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459" w:type="dxa"/>
        <w:tblLayout w:type="fixed"/>
        <w:tblLook w:val="04A0" w:firstRow="1" w:lastRow="0" w:firstColumn="1" w:lastColumn="0" w:noHBand="0" w:noVBand="1"/>
      </w:tblPr>
      <w:tblGrid>
        <w:gridCol w:w="567"/>
        <w:gridCol w:w="777"/>
        <w:gridCol w:w="1450"/>
        <w:gridCol w:w="1884"/>
        <w:gridCol w:w="756"/>
        <w:gridCol w:w="1155"/>
        <w:gridCol w:w="1170"/>
        <w:gridCol w:w="1155"/>
        <w:gridCol w:w="4836"/>
        <w:gridCol w:w="709"/>
        <w:gridCol w:w="709"/>
      </w:tblGrid>
      <w:tr w:rsidR="00C45109" w:rsidTr="00281A9B">
        <w:trPr>
          <w:trHeight w:val="420"/>
          <w:tblHeader/>
        </w:trPr>
        <w:tc>
          <w:tcPr>
            <w:tcW w:w="15168" w:type="dxa"/>
            <w:gridSpan w:val="11"/>
            <w:tcBorders>
              <w:bottom w:val="single" w:sz="4" w:space="0" w:color="auto"/>
            </w:tcBorders>
            <w:shd w:val="clear" w:color="auto" w:fill="auto"/>
            <w:vAlign w:val="center"/>
          </w:tcPr>
          <w:p w:rsidR="00C45109" w:rsidRPr="00C45109" w:rsidRDefault="00C45109" w:rsidP="00C45109">
            <w:pPr>
              <w:widowControl/>
              <w:spacing w:line="460" w:lineRule="exact"/>
              <w:jc w:val="center"/>
              <w:rPr>
                <w:rFonts w:ascii="方正小标宋_GBK" w:eastAsia="方正小标宋_GBK" w:hAnsi="宋体" w:cs="宋体"/>
                <w:color w:val="000000" w:themeColor="text1"/>
                <w:kern w:val="0"/>
                <w:sz w:val="40"/>
                <w:szCs w:val="40"/>
              </w:rPr>
            </w:pPr>
            <w:r>
              <w:rPr>
                <w:rFonts w:ascii="方正小标宋_GBK" w:eastAsia="方正小标宋_GBK" w:hAnsi="宋体" w:cs="宋体" w:hint="eastAsia"/>
                <w:color w:val="000000" w:themeColor="text1"/>
                <w:kern w:val="0"/>
                <w:sz w:val="40"/>
                <w:szCs w:val="40"/>
              </w:rPr>
              <w:t>昆明市官渡区统计局随机抽查事项清单（第二版）</w:t>
            </w:r>
          </w:p>
        </w:tc>
      </w:tr>
      <w:tr w:rsidR="00C45109" w:rsidTr="00467E7D">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序号</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部门</w:t>
            </w:r>
          </w:p>
        </w:tc>
        <w:tc>
          <w:tcPr>
            <w:tcW w:w="3334" w:type="dxa"/>
            <w:gridSpan w:val="2"/>
            <w:tcBorders>
              <w:top w:val="single" w:sz="4" w:space="0" w:color="auto"/>
              <w:left w:val="nil"/>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 xml:space="preserve">抽查项目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事项类别</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检查对象</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检查方式</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检查主体</w:t>
            </w:r>
          </w:p>
        </w:tc>
        <w:tc>
          <w:tcPr>
            <w:tcW w:w="4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检查依据</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适用区域</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备注</w:t>
            </w:r>
          </w:p>
        </w:tc>
      </w:tr>
      <w:tr w:rsidR="00C45109" w:rsidTr="00467E7D">
        <w:trPr>
          <w:trHeight w:val="366"/>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1450" w:type="dxa"/>
            <w:tcBorders>
              <w:top w:val="nil"/>
              <w:left w:val="nil"/>
              <w:bottom w:val="single" w:sz="4" w:space="0" w:color="auto"/>
              <w:right w:val="single" w:sz="4" w:space="0" w:color="auto"/>
            </w:tcBorders>
            <w:shd w:val="clear" w:color="auto" w:fill="auto"/>
            <w:vAlign w:val="center"/>
          </w:tcPr>
          <w:p w:rsidR="00C45109" w:rsidRDefault="00C45109" w:rsidP="00281A9B">
            <w:pPr>
              <w:widowControl/>
              <w:spacing w:line="30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抽查类别</w:t>
            </w:r>
          </w:p>
        </w:tc>
        <w:tc>
          <w:tcPr>
            <w:tcW w:w="1884" w:type="dxa"/>
            <w:tcBorders>
              <w:top w:val="nil"/>
              <w:left w:val="nil"/>
              <w:bottom w:val="single" w:sz="4" w:space="0" w:color="auto"/>
              <w:right w:val="single" w:sz="4" w:space="0" w:color="auto"/>
            </w:tcBorders>
            <w:shd w:val="clear" w:color="auto" w:fill="auto"/>
            <w:vAlign w:val="center"/>
          </w:tcPr>
          <w:p w:rsidR="00C45109" w:rsidRDefault="00C45109" w:rsidP="00281A9B">
            <w:pPr>
              <w:widowControl/>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抽查事项</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48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5109" w:rsidRDefault="00C45109" w:rsidP="00281A9B">
            <w:pPr>
              <w:widowControl/>
              <w:jc w:val="left"/>
              <w:rPr>
                <w:rFonts w:ascii="方正黑体_GBK" w:eastAsia="方正黑体_GBK" w:hAnsi="宋体" w:cs="宋体"/>
                <w:b/>
                <w:bCs/>
                <w:color w:val="000000" w:themeColor="text1"/>
                <w:kern w:val="0"/>
                <w:sz w:val="22"/>
              </w:rPr>
            </w:pPr>
          </w:p>
        </w:tc>
      </w:tr>
      <w:tr w:rsidR="00C45109" w:rsidTr="00467E7D">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rsidR="00467E7D" w:rsidRDefault="00467E7D" w:rsidP="000C6A5C">
            <w:pPr>
              <w:numPr>
                <w:ilvl w:val="0"/>
                <w:numId w:val="1"/>
              </w:numPr>
              <w:jc w:val="left"/>
              <w:rPr>
                <w:rFonts w:asciiTheme="minorEastAsia" w:hAnsiTheme="minorEastAsia" w:cs="宋体"/>
                <w:color w:val="000000" w:themeColor="text1"/>
                <w:sz w:val="20"/>
                <w:szCs w:val="20"/>
              </w:rPr>
            </w:pPr>
            <w:r>
              <w:rPr>
                <w:rFonts w:asciiTheme="minorEastAsia" w:hAnsiTheme="minorEastAsia" w:cs="宋体" w:hint="eastAsia"/>
                <w:color w:val="000000" w:themeColor="text1"/>
                <w:sz w:val="20"/>
                <w:szCs w:val="20"/>
              </w:rPr>
              <w:t>1</w:t>
            </w:r>
          </w:p>
          <w:p w:rsid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Pr="00467E7D" w:rsidRDefault="00467E7D" w:rsidP="00467E7D">
            <w:pPr>
              <w:rPr>
                <w:rFonts w:asciiTheme="minorEastAsia" w:hAnsiTheme="minorEastAsia" w:cs="宋体"/>
                <w:sz w:val="20"/>
                <w:szCs w:val="20"/>
              </w:rPr>
            </w:pPr>
          </w:p>
          <w:p w:rsidR="00467E7D" w:rsidRDefault="00467E7D" w:rsidP="00467E7D">
            <w:pPr>
              <w:rPr>
                <w:rFonts w:asciiTheme="minorEastAsia" w:hAnsiTheme="minorEastAsia" w:cs="宋体"/>
                <w:sz w:val="20"/>
                <w:szCs w:val="20"/>
              </w:rPr>
            </w:pPr>
          </w:p>
          <w:p w:rsidR="00C45109" w:rsidRPr="00467E7D" w:rsidRDefault="00467E7D" w:rsidP="00467E7D">
            <w:pPr>
              <w:rPr>
                <w:rFonts w:asciiTheme="minorEastAsia" w:hAnsiTheme="minorEastAsia" w:cs="宋体"/>
                <w:sz w:val="20"/>
                <w:szCs w:val="20"/>
              </w:rPr>
            </w:pPr>
            <w:r>
              <w:rPr>
                <w:rFonts w:asciiTheme="minorEastAsia" w:hAnsiTheme="minorEastAsia" w:cs="宋体" w:hint="eastAsia"/>
                <w:sz w:val="20"/>
                <w:szCs w:val="20"/>
              </w:rPr>
              <w:t>1</w:t>
            </w:r>
          </w:p>
        </w:tc>
        <w:tc>
          <w:tcPr>
            <w:tcW w:w="777" w:type="dxa"/>
            <w:tcBorders>
              <w:left w:val="single" w:sz="4" w:space="0" w:color="auto"/>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官渡区统计局（</w:t>
            </w:r>
            <w:r>
              <w:rPr>
                <w:rFonts w:hint="eastAsia"/>
                <w:color w:val="000000" w:themeColor="text1"/>
                <w:sz w:val="20"/>
                <w:szCs w:val="20"/>
              </w:rPr>
              <w:t>1</w:t>
            </w:r>
            <w:r>
              <w:rPr>
                <w:rFonts w:hint="eastAsia"/>
                <w:color w:val="000000" w:themeColor="text1"/>
                <w:sz w:val="20"/>
                <w:szCs w:val="20"/>
              </w:rPr>
              <w:t>类</w:t>
            </w:r>
            <w:r>
              <w:rPr>
                <w:rFonts w:hint="eastAsia"/>
                <w:color w:val="000000" w:themeColor="text1"/>
                <w:sz w:val="20"/>
                <w:szCs w:val="20"/>
              </w:rPr>
              <w:t>1</w:t>
            </w:r>
            <w:r>
              <w:rPr>
                <w:rFonts w:hint="eastAsia"/>
                <w:color w:val="000000" w:themeColor="text1"/>
                <w:sz w:val="20"/>
                <w:szCs w:val="20"/>
              </w:rPr>
              <w:t>项）</w:t>
            </w:r>
            <w:r>
              <w:rPr>
                <w:rFonts w:hint="eastAsia"/>
                <w:color w:val="000000" w:themeColor="text1"/>
                <w:sz w:val="20"/>
                <w:szCs w:val="20"/>
              </w:rPr>
              <w:t xml:space="preserve">  </w:t>
            </w:r>
          </w:p>
        </w:tc>
        <w:tc>
          <w:tcPr>
            <w:tcW w:w="1450" w:type="dxa"/>
            <w:tcBorders>
              <w:top w:val="nil"/>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统计资料报送情况监督检查</w:t>
            </w:r>
          </w:p>
        </w:tc>
        <w:tc>
          <w:tcPr>
            <w:tcW w:w="1884" w:type="dxa"/>
            <w:tcBorders>
              <w:top w:val="nil"/>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1.</w:t>
            </w:r>
            <w:r>
              <w:rPr>
                <w:rFonts w:hint="eastAsia"/>
                <w:color w:val="000000" w:themeColor="text1"/>
                <w:sz w:val="20"/>
                <w:szCs w:val="20"/>
              </w:rPr>
              <w:t>调查对象依法提供统计资料的情况；</w:t>
            </w:r>
            <w:r>
              <w:rPr>
                <w:rFonts w:hint="eastAsia"/>
                <w:color w:val="000000" w:themeColor="text1"/>
                <w:sz w:val="20"/>
                <w:szCs w:val="20"/>
              </w:rPr>
              <w:br/>
              <w:t>2.</w:t>
            </w:r>
            <w:r>
              <w:rPr>
                <w:rFonts w:hint="eastAsia"/>
                <w:color w:val="000000" w:themeColor="text1"/>
                <w:sz w:val="20"/>
                <w:szCs w:val="20"/>
              </w:rPr>
              <w:t>调查对象依法设置原始记录、统计台账的情况；</w:t>
            </w:r>
            <w:r>
              <w:rPr>
                <w:rFonts w:hint="eastAsia"/>
                <w:color w:val="000000" w:themeColor="text1"/>
                <w:sz w:val="20"/>
                <w:szCs w:val="20"/>
              </w:rPr>
              <w:br/>
              <w:t>3.</w:t>
            </w:r>
            <w:r>
              <w:rPr>
                <w:rFonts w:hint="eastAsia"/>
                <w:color w:val="000000" w:themeColor="text1"/>
                <w:sz w:val="20"/>
                <w:szCs w:val="20"/>
              </w:rPr>
              <w:t>调查对象依法建立并执行统计资料管理制度的情况；</w:t>
            </w:r>
            <w:r>
              <w:rPr>
                <w:rFonts w:hint="eastAsia"/>
                <w:color w:val="000000" w:themeColor="text1"/>
                <w:sz w:val="20"/>
                <w:szCs w:val="20"/>
              </w:rPr>
              <w:br/>
              <w:t>4.</w:t>
            </w:r>
            <w:r>
              <w:rPr>
                <w:rFonts w:hint="eastAsia"/>
                <w:color w:val="000000" w:themeColor="text1"/>
                <w:sz w:val="20"/>
                <w:szCs w:val="20"/>
              </w:rPr>
              <w:t>调查对象为依法履行法定填报职责提供保障的情况；</w:t>
            </w:r>
            <w:r>
              <w:rPr>
                <w:rFonts w:hint="eastAsia"/>
                <w:color w:val="000000" w:themeColor="text1"/>
                <w:sz w:val="20"/>
                <w:szCs w:val="20"/>
              </w:rPr>
              <w:br/>
              <w:t>5.</w:t>
            </w:r>
            <w:r>
              <w:rPr>
                <w:rFonts w:hint="eastAsia"/>
                <w:color w:val="000000" w:themeColor="text1"/>
                <w:sz w:val="20"/>
                <w:szCs w:val="20"/>
              </w:rPr>
              <w:t>调查对象依法配合统计调查和统计监督的情况；</w:t>
            </w:r>
            <w:r>
              <w:rPr>
                <w:rFonts w:hint="eastAsia"/>
                <w:color w:val="000000" w:themeColor="text1"/>
                <w:sz w:val="20"/>
                <w:szCs w:val="20"/>
              </w:rPr>
              <w:br/>
              <w:t>6.</w:t>
            </w:r>
            <w:r>
              <w:rPr>
                <w:rFonts w:hint="eastAsia"/>
                <w:color w:val="000000" w:themeColor="text1"/>
                <w:sz w:val="20"/>
                <w:szCs w:val="20"/>
              </w:rPr>
              <w:t>调查对象遵守统计法律法规规章、统计调查制度等的情况。</w:t>
            </w:r>
          </w:p>
        </w:tc>
        <w:tc>
          <w:tcPr>
            <w:tcW w:w="756" w:type="dxa"/>
            <w:tcBorders>
              <w:top w:val="nil"/>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一般检查事项</w:t>
            </w:r>
            <w:bookmarkStart w:id="0" w:name="_GoBack"/>
            <w:bookmarkEnd w:id="0"/>
          </w:p>
        </w:tc>
        <w:tc>
          <w:tcPr>
            <w:tcW w:w="1155" w:type="dxa"/>
            <w:tcBorders>
              <w:top w:val="nil"/>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一套</w:t>
            </w:r>
            <w:proofErr w:type="gramStart"/>
            <w:r>
              <w:rPr>
                <w:rFonts w:hint="eastAsia"/>
                <w:color w:val="000000" w:themeColor="text1"/>
                <w:sz w:val="20"/>
                <w:szCs w:val="20"/>
              </w:rPr>
              <w:t>表调查</w:t>
            </w:r>
            <w:proofErr w:type="gramEnd"/>
            <w:r>
              <w:rPr>
                <w:rFonts w:hint="eastAsia"/>
                <w:color w:val="000000" w:themeColor="text1"/>
                <w:sz w:val="20"/>
                <w:szCs w:val="20"/>
              </w:rPr>
              <w:t>单位</w:t>
            </w:r>
          </w:p>
        </w:tc>
        <w:tc>
          <w:tcPr>
            <w:tcW w:w="1170" w:type="dxa"/>
            <w:tcBorders>
              <w:top w:val="nil"/>
              <w:left w:val="nil"/>
              <w:bottom w:val="single" w:sz="4" w:space="0" w:color="auto"/>
              <w:right w:val="single" w:sz="4" w:space="0" w:color="auto"/>
            </w:tcBorders>
            <w:shd w:val="clear" w:color="auto" w:fill="auto"/>
            <w:vAlign w:val="center"/>
          </w:tcPr>
          <w:p w:rsidR="00C45109" w:rsidRDefault="00C45109" w:rsidP="00467E7D">
            <w:pPr>
              <w:jc w:val="center"/>
              <w:rPr>
                <w:rFonts w:ascii="宋体" w:eastAsia="宋体" w:hAnsi="宋体" w:cs="宋体"/>
                <w:color w:val="000000" w:themeColor="text1"/>
                <w:sz w:val="20"/>
                <w:szCs w:val="20"/>
              </w:rPr>
            </w:pPr>
            <w:r>
              <w:rPr>
                <w:rFonts w:hint="eastAsia"/>
                <w:color w:val="000000" w:themeColor="text1"/>
                <w:sz w:val="20"/>
                <w:szCs w:val="20"/>
              </w:rPr>
              <w:t>实地核查</w:t>
            </w:r>
          </w:p>
        </w:tc>
        <w:tc>
          <w:tcPr>
            <w:tcW w:w="1155" w:type="dxa"/>
            <w:tcBorders>
              <w:top w:val="nil"/>
              <w:left w:val="nil"/>
              <w:bottom w:val="single" w:sz="4" w:space="0" w:color="auto"/>
              <w:right w:val="single" w:sz="4" w:space="0" w:color="auto"/>
            </w:tcBorders>
            <w:shd w:val="clear" w:color="auto" w:fill="auto"/>
            <w:vAlign w:val="center"/>
          </w:tcPr>
          <w:p w:rsidR="00467E7D" w:rsidRDefault="00C45109" w:rsidP="000C6A5C">
            <w:pPr>
              <w:jc w:val="left"/>
              <w:rPr>
                <w:rFonts w:hint="eastAsia"/>
                <w:color w:val="000000" w:themeColor="text1"/>
                <w:sz w:val="20"/>
                <w:szCs w:val="20"/>
              </w:rPr>
            </w:pPr>
            <w:r>
              <w:rPr>
                <w:rFonts w:hint="eastAsia"/>
                <w:color w:val="000000" w:themeColor="text1"/>
                <w:sz w:val="20"/>
                <w:szCs w:val="20"/>
              </w:rPr>
              <w:t>官渡区</w:t>
            </w:r>
          </w:p>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统计局</w:t>
            </w:r>
          </w:p>
        </w:tc>
        <w:tc>
          <w:tcPr>
            <w:tcW w:w="4836" w:type="dxa"/>
            <w:tcBorders>
              <w:top w:val="single" w:sz="4" w:space="0" w:color="auto"/>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t>《统计法》第二十一条第一款</w:t>
            </w:r>
            <w:r>
              <w:rPr>
                <w:rFonts w:hint="eastAsia"/>
                <w:color w:val="000000" w:themeColor="text1"/>
                <w:sz w:val="20"/>
                <w:szCs w:val="20"/>
              </w:rPr>
              <w:t xml:space="preserve"> </w:t>
            </w:r>
            <w:r>
              <w:rPr>
                <w:rFonts w:hint="eastAsia"/>
                <w:color w:val="000000" w:themeColor="text1"/>
                <w:sz w:val="20"/>
                <w:szCs w:val="20"/>
              </w:rPr>
              <w:t>国家机关、企业事业单位和其他组织等统计调查对象，应当按照国家有关规定设置原始记录、统计台账，建立健全统计资料的审核、签署、交接、归档等管理制度。</w:t>
            </w:r>
            <w:r>
              <w:rPr>
                <w:rFonts w:hint="eastAsia"/>
                <w:color w:val="000000" w:themeColor="text1"/>
                <w:sz w:val="20"/>
                <w:szCs w:val="20"/>
              </w:rPr>
              <w:br/>
            </w:r>
            <w:r>
              <w:rPr>
                <w:rFonts w:hint="eastAsia"/>
                <w:color w:val="000000" w:themeColor="text1"/>
                <w:sz w:val="20"/>
                <w:szCs w:val="20"/>
              </w:rPr>
              <w:t>《统计法》第三十三条第二款</w:t>
            </w:r>
            <w:r>
              <w:rPr>
                <w:rFonts w:hint="eastAsia"/>
                <w:color w:val="000000" w:themeColor="text1"/>
                <w:sz w:val="20"/>
                <w:szCs w:val="20"/>
              </w:rPr>
              <w:t xml:space="preserve"> </w:t>
            </w:r>
            <w:r>
              <w:rPr>
                <w:rFonts w:hint="eastAsia"/>
                <w:color w:val="000000" w:themeColor="text1"/>
                <w:sz w:val="20"/>
                <w:szCs w:val="20"/>
              </w:rPr>
              <w:t>县级以上地方人民政府统计机构依法查处本行政区域内发生的统计违法行为。</w:t>
            </w:r>
            <w:r>
              <w:rPr>
                <w:rFonts w:hint="eastAsia"/>
                <w:color w:val="000000" w:themeColor="text1"/>
                <w:sz w:val="20"/>
                <w:szCs w:val="20"/>
              </w:rPr>
              <w:br/>
            </w:r>
            <w:r>
              <w:rPr>
                <w:rFonts w:hint="eastAsia"/>
                <w:color w:val="000000" w:themeColor="text1"/>
                <w:sz w:val="20"/>
                <w:szCs w:val="20"/>
              </w:rPr>
              <w:t>《统计法》第四十一条第一款</w:t>
            </w:r>
            <w:r>
              <w:rPr>
                <w:rFonts w:hint="eastAsia"/>
                <w:color w:val="000000" w:themeColor="text1"/>
                <w:sz w:val="20"/>
                <w:szCs w:val="20"/>
              </w:rPr>
              <w:t xml:space="preserve"> </w:t>
            </w:r>
            <w:r>
              <w:rPr>
                <w:rFonts w:hint="eastAsia"/>
                <w:color w:val="000000" w:themeColor="text1"/>
                <w:sz w:val="20"/>
                <w:szCs w:val="20"/>
              </w:rPr>
              <w:t>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w:t>
            </w:r>
            <w:proofErr w:type="gramStart"/>
            <w:r>
              <w:rPr>
                <w:rFonts w:hint="eastAsia"/>
                <w:color w:val="000000" w:themeColor="text1"/>
                <w:sz w:val="20"/>
                <w:szCs w:val="20"/>
              </w:rPr>
              <w:t>不</w:t>
            </w:r>
            <w:proofErr w:type="gramEnd"/>
            <w:r>
              <w:rPr>
                <w:rFonts w:hint="eastAsia"/>
                <w:color w:val="000000" w:themeColor="text1"/>
                <w:sz w:val="20"/>
                <w:szCs w:val="20"/>
              </w:rPr>
              <w:t>如实答复统计检查查询书的；（四）拒绝、阻碍统计调查、统计检查的；（五）转移、隐匿、篡改、毁弃或者拒绝提供原始记录和凭证、统计台账、统计调查表及其他相关证明和资料的。《统计法》第四十二条</w:t>
            </w:r>
            <w:r>
              <w:rPr>
                <w:rFonts w:hint="eastAsia"/>
                <w:color w:val="000000" w:themeColor="text1"/>
                <w:sz w:val="20"/>
                <w:szCs w:val="20"/>
              </w:rPr>
              <w:t xml:space="preserve"> </w:t>
            </w:r>
            <w:r>
              <w:rPr>
                <w:rFonts w:hint="eastAsia"/>
                <w:color w:val="000000" w:themeColor="text1"/>
                <w:sz w:val="20"/>
                <w:szCs w:val="20"/>
              </w:rPr>
              <w:t>第一款</w:t>
            </w:r>
            <w:r>
              <w:rPr>
                <w:rFonts w:hint="eastAsia"/>
                <w:color w:val="000000" w:themeColor="text1"/>
                <w:sz w:val="20"/>
                <w:szCs w:val="20"/>
              </w:rPr>
              <w:t xml:space="preserve"> </w:t>
            </w:r>
            <w:r>
              <w:rPr>
                <w:rFonts w:hint="eastAsia"/>
                <w:color w:val="000000" w:themeColor="text1"/>
                <w:sz w:val="20"/>
                <w:szCs w:val="20"/>
              </w:rPr>
              <w:t>作为统计调查对象的国家机关、企业事业单位或者其他组织迟报统计资料，或者未按照国家有关规定设置原始记录、统计台账的，由县级以上人民政府统计机构责令改正，给予警告。《统计法实施条例》第三十四条</w:t>
            </w:r>
            <w:r>
              <w:rPr>
                <w:rFonts w:hint="eastAsia"/>
                <w:color w:val="000000" w:themeColor="text1"/>
                <w:sz w:val="20"/>
                <w:szCs w:val="20"/>
              </w:rPr>
              <w:t xml:space="preserve"> </w:t>
            </w:r>
            <w:r>
              <w:rPr>
                <w:rFonts w:hint="eastAsia"/>
                <w:color w:val="000000" w:themeColor="text1"/>
                <w:sz w:val="20"/>
                <w:szCs w:val="20"/>
              </w:rPr>
              <w:t>国</w:t>
            </w:r>
            <w:r>
              <w:rPr>
                <w:rFonts w:hint="eastAsia"/>
                <w:color w:val="000000" w:themeColor="text1"/>
                <w:sz w:val="20"/>
                <w:szCs w:val="20"/>
              </w:rPr>
              <w:lastRenderedPageBreak/>
              <w:t>家机关、企业事业单位和其他组织应当加强统计基础工作，为履行法定的统计资料报送义务提供组织、人员和工作条件保障。《统计执法监督检查办法》（国家统计局令第</w:t>
            </w:r>
            <w:r>
              <w:rPr>
                <w:rFonts w:hint="eastAsia"/>
                <w:color w:val="000000" w:themeColor="text1"/>
                <w:sz w:val="20"/>
                <w:szCs w:val="20"/>
              </w:rPr>
              <w:t>28</w:t>
            </w:r>
            <w:r>
              <w:rPr>
                <w:rFonts w:hint="eastAsia"/>
                <w:color w:val="000000" w:themeColor="text1"/>
                <w:sz w:val="20"/>
                <w:szCs w:val="20"/>
              </w:rPr>
              <w:t>号）第十四条</w:t>
            </w:r>
            <w:r>
              <w:rPr>
                <w:rFonts w:hint="eastAsia"/>
                <w:color w:val="000000" w:themeColor="text1"/>
                <w:sz w:val="20"/>
                <w:szCs w:val="20"/>
              </w:rPr>
              <w:t xml:space="preserve"> </w:t>
            </w:r>
            <w:r>
              <w:rPr>
                <w:rFonts w:hint="eastAsia"/>
                <w:color w:val="000000" w:themeColor="text1"/>
                <w:sz w:val="20"/>
                <w:szCs w:val="20"/>
              </w:rPr>
              <w:t>统计执法监督检查事项包括：（四）国家机关、企业事业单位和其他组织以及个体工商户和个人等统计调查对象遵守统计法律法规规章、统计调查制度情况；（六）法律法规规章规定的其他事项。</w:t>
            </w:r>
          </w:p>
        </w:tc>
        <w:tc>
          <w:tcPr>
            <w:tcW w:w="709" w:type="dxa"/>
            <w:tcBorders>
              <w:top w:val="nil"/>
              <w:left w:val="nil"/>
              <w:bottom w:val="single" w:sz="4" w:space="0" w:color="auto"/>
              <w:right w:val="single" w:sz="4" w:space="0" w:color="auto"/>
            </w:tcBorders>
            <w:shd w:val="clear" w:color="auto" w:fill="auto"/>
            <w:vAlign w:val="center"/>
          </w:tcPr>
          <w:p w:rsidR="00C45109" w:rsidRDefault="00C45109" w:rsidP="000C6A5C">
            <w:pPr>
              <w:jc w:val="left"/>
              <w:rPr>
                <w:rFonts w:ascii="宋体" w:eastAsia="宋体" w:hAnsi="宋体" w:cs="宋体"/>
                <w:color w:val="000000" w:themeColor="text1"/>
                <w:sz w:val="20"/>
                <w:szCs w:val="20"/>
              </w:rPr>
            </w:pPr>
            <w:r>
              <w:rPr>
                <w:rFonts w:hint="eastAsia"/>
                <w:color w:val="000000" w:themeColor="text1"/>
                <w:sz w:val="20"/>
                <w:szCs w:val="20"/>
              </w:rPr>
              <w:lastRenderedPageBreak/>
              <w:t>官渡区统计局（</w:t>
            </w:r>
            <w:r>
              <w:rPr>
                <w:rFonts w:hint="eastAsia"/>
                <w:color w:val="000000" w:themeColor="text1"/>
                <w:sz w:val="20"/>
                <w:szCs w:val="20"/>
              </w:rPr>
              <w:t>1</w:t>
            </w:r>
            <w:r>
              <w:rPr>
                <w:rFonts w:hint="eastAsia"/>
                <w:color w:val="000000" w:themeColor="text1"/>
                <w:sz w:val="20"/>
                <w:szCs w:val="20"/>
              </w:rPr>
              <w:t>类</w:t>
            </w:r>
            <w:r>
              <w:rPr>
                <w:rFonts w:hint="eastAsia"/>
                <w:color w:val="000000" w:themeColor="text1"/>
                <w:sz w:val="20"/>
                <w:szCs w:val="20"/>
              </w:rPr>
              <w:t>1</w:t>
            </w:r>
            <w:r>
              <w:rPr>
                <w:rFonts w:hint="eastAsia"/>
                <w:color w:val="000000" w:themeColor="text1"/>
                <w:sz w:val="20"/>
                <w:szCs w:val="20"/>
              </w:rPr>
              <w:t>项）</w:t>
            </w:r>
            <w:r>
              <w:rPr>
                <w:rFonts w:hint="eastAsia"/>
                <w:color w:val="000000" w:themeColor="text1"/>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45109" w:rsidRDefault="00C45109" w:rsidP="000C6A5C">
            <w:pPr>
              <w:widowControl/>
              <w:spacing w:line="240" w:lineRule="exact"/>
              <w:jc w:val="left"/>
              <w:rPr>
                <w:rFonts w:asciiTheme="minorEastAsia" w:hAnsiTheme="minorEastAsia" w:cs="宋体"/>
                <w:color w:val="000000" w:themeColor="text1"/>
                <w:kern w:val="0"/>
                <w:sz w:val="20"/>
                <w:szCs w:val="20"/>
              </w:rPr>
            </w:pPr>
          </w:p>
        </w:tc>
      </w:tr>
    </w:tbl>
    <w:p w:rsidR="00C33662" w:rsidRPr="00B603E9" w:rsidRDefault="00C33662" w:rsidP="000C6A5C">
      <w:pPr>
        <w:jc w:val="left"/>
      </w:pPr>
    </w:p>
    <w:sectPr w:rsidR="00C33662" w:rsidRPr="00B603E9" w:rsidSect="00B603E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27" w:rsidRDefault="00AE1127" w:rsidP="00B603E9">
      <w:r>
        <w:separator/>
      </w:r>
    </w:p>
  </w:endnote>
  <w:endnote w:type="continuationSeparator" w:id="0">
    <w:p w:rsidR="00AE1127" w:rsidRDefault="00AE1127" w:rsidP="00B6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27" w:rsidRDefault="00AE1127" w:rsidP="00B603E9">
      <w:r>
        <w:separator/>
      </w:r>
    </w:p>
  </w:footnote>
  <w:footnote w:type="continuationSeparator" w:id="0">
    <w:p w:rsidR="00AE1127" w:rsidRDefault="00AE1127" w:rsidP="00B60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start w:val="1"/>
      <w:numFmt w:val="decimal"/>
      <w:suff w:val="nothing"/>
      <w:lvlText w:val="%1"/>
      <w:lvlJc w:val="left"/>
      <w:pPr>
        <w:tabs>
          <w:tab w:val="left" w:pos="425"/>
        </w:tabs>
        <w:ind w:left="850"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75"/>
    <w:rsid w:val="000C6A5C"/>
    <w:rsid w:val="0031053E"/>
    <w:rsid w:val="003E79B0"/>
    <w:rsid w:val="00467E7D"/>
    <w:rsid w:val="00474E3A"/>
    <w:rsid w:val="004B37A4"/>
    <w:rsid w:val="007F27BD"/>
    <w:rsid w:val="008D3875"/>
    <w:rsid w:val="00AE1127"/>
    <w:rsid w:val="00B41684"/>
    <w:rsid w:val="00B603E9"/>
    <w:rsid w:val="00C33662"/>
    <w:rsid w:val="00C45109"/>
    <w:rsid w:val="00E0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6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603E9"/>
    <w:rPr>
      <w:sz w:val="18"/>
      <w:szCs w:val="18"/>
    </w:rPr>
  </w:style>
  <w:style w:type="paragraph" w:styleId="a4">
    <w:name w:val="footer"/>
    <w:basedOn w:val="a"/>
    <w:link w:val="Char0"/>
    <w:unhideWhenUsed/>
    <w:qFormat/>
    <w:rsid w:val="00B603E9"/>
    <w:pPr>
      <w:tabs>
        <w:tab w:val="center" w:pos="4153"/>
        <w:tab w:val="right" w:pos="8306"/>
      </w:tabs>
      <w:snapToGrid w:val="0"/>
      <w:jc w:val="left"/>
    </w:pPr>
    <w:rPr>
      <w:sz w:val="18"/>
      <w:szCs w:val="18"/>
    </w:rPr>
  </w:style>
  <w:style w:type="character" w:customStyle="1" w:styleId="Char0">
    <w:name w:val="页脚 Char"/>
    <w:basedOn w:val="a0"/>
    <w:link w:val="a4"/>
    <w:qFormat/>
    <w:rsid w:val="00B603E9"/>
    <w:rPr>
      <w:sz w:val="18"/>
      <w:szCs w:val="18"/>
    </w:rPr>
  </w:style>
  <w:style w:type="paragraph" w:styleId="a5">
    <w:name w:val="Body Text"/>
    <w:basedOn w:val="a"/>
    <w:link w:val="Char1"/>
    <w:qFormat/>
    <w:rsid w:val="00C45109"/>
    <w:pPr>
      <w:autoSpaceDE w:val="0"/>
      <w:autoSpaceDN w:val="0"/>
      <w:jc w:val="left"/>
    </w:pPr>
    <w:rPr>
      <w:rFonts w:ascii="方正仿宋_GBK" w:eastAsia="方正仿宋_GBK" w:hAnsi="方正仿宋_GBK" w:cs="方正仿宋_GBK"/>
      <w:kern w:val="0"/>
      <w:sz w:val="32"/>
      <w:szCs w:val="32"/>
      <w:lang w:val="zh-CN" w:bidi="zh-CN"/>
    </w:rPr>
  </w:style>
  <w:style w:type="character" w:customStyle="1" w:styleId="Char1">
    <w:name w:val="正文文本 Char"/>
    <w:basedOn w:val="a0"/>
    <w:link w:val="a5"/>
    <w:rsid w:val="00C45109"/>
    <w:rPr>
      <w:rFonts w:ascii="方正仿宋_GBK" w:eastAsia="方正仿宋_GBK" w:hAnsi="方正仿宋_GBK" w:cs="方正仿宋_GBK"/>
      <w:kern w:val="0"/>
      <w:sz w:val="32"/>
      <w:szCs w:val="32"/>
      <w:lang w:val="zh-CN" w:bidi="zh-CN"/>
    </w:rPr>
  </w:style>
  <w:style w:type="character" w:customStyle="1" w:styleId="font41">
    <w:name w:val="font41"/>
    <w:basedOn w:val="a0"/>
    <w:qFormat/>
    <w:rsid w:val="00C45109"/>
    <w:rPr>
      <w:rFonts w:ascii="宋体" w:eastAsia="宋体" w:hAnsi="宋体" w:cs="宋体" w:hint="eastAsia"/>
      <w:color w:val="000000"/>
      <w:sz w:val="20"/>
      <w:szCs w:val="20"/>
      <w:u w:val="none"/>
    </w:rPr>
  </w:style>
  <w:style w:type="character" w:customStyle="1" w:styleId="font91">
    <w:name w:val="font91"/>
    <w:basedOn w:val="a0"/>
    <w:qFormat/>
    <w:rsid w:val="00C45109"/>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6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603E9"/>
    <w:rPr>
      <w:sz w:val="18"/>
      <w:szCs w:val="18"/>
    </w:rPr>
  </w:style>
  <w:style w:type="paragraph" w:styleId="a4">
    <w:name w:val="footer"/>
    <w:basedOn w:val="a"/>
    <w:link w:val="Char0"/>
    <w:unhideWhenUsed/>
    <w:qFormat/>
    <w:rsid w:val="00B603E9"/>
    <w:pPr>
      <w:tabs>
        <w:tab w:val="center" w:pos="4153"/>
        <w:tab w:val="right" w:pos="8306"/>
      </w:tabs>
      <w:snapToGrid w:val="0"/>
      <w:jc w:val="left"/>
    </w:pPr>
    <w:rPr>
      <w:sz w:val="18"/>
      <w:szCs w:val="18"/>
    </w:rPr>
  </w:style>
  <w:style w:type="character" w:customStyle="1" w:styleId="Char0">
    <w:name w:val="页脚 Char"/>
    <w:basedOn w:val="a0"/>
    <w:link w:val="a4"/>
    <w:qFormat/>
    <w:rsid w:val="00B603E9"/>
    <w:rPr>
      <w:sz w:val="18"/>
      <w:szCs w:val="18"/>
    </w:rPr>
  </w:style>
  <w:style w:type="paragraph" w:styleId="a5">
    <w:name w:val="Body Text"/>
    <w:basedOn w:val="a"/>
    <w:link w:val="Char1"/>
    <w:qFormat/>
    <w:rsid w:val="00C45109"/>
    <w:pPr>
      <w:autoSpaceDE w:val="0"/>
      <w:autoSpaceDN w:val="0"/>
      <w:jc w:val="left"/>
    </w:pPr>
    <w:rPr>
      <w:rFonts w:ascii="方正仿宋_GBK" w:eastAsia="方正仿宋_GBK" w:hAnsi="方正仿宋_GBK" w:cs="方正仿宋_GBK"/>
      <w:kern w:val="0"/>
      <w:sz w:val="32"/>
      <w:szCs w:val="32"/>
      <w:lang w:val="zh-CN" w:bidi="zh-CN"/>
    </w:rPr>
  </w:style>
  <w:style w:type="character" w:customStyle="1" w:styleId="Char1">
    <w:name w:val="正文文本 Char"/>
    <w:basedOn w:val="a0"/>
    <w:link w:val="a5"/>
    <w:rsid w:val="00C45109"/>
    <w:rPr>
      <w:rFonts w:ascii="方正仿宋_GBK" w:eastAsia="方正仿宋_GBK" w:hAnsi="方正仿宋_GBK" w:cs="方正仿宋_GBK"/>
      <w:kern w:val="0"/>
      <w:sz w:val="32"/>
      <w:szCs w:val="32"/>
      <w:lang w:val="zh-CN" w:bidi="zh-CN"/>
    </w:rPr>
  </w:style>
  <w:style w:type="character" w:customStyle="1" w:styleId="font41">
    <w:name w:val="font41"/>
    <w:basedOn w:val="a0"/>
    <w:qFormat/>
    <w:rsid w:val="00C45109"/>
    <w:rPr>
      <w:rFonts w:ascii="宋体" w:eastAsia="宋体" w:hAnsi="宋体" w:cs="宋体" w:hint="eastAsia"/>
      <w:color w:val="000000"/>
      <w:sz w:val="20"/>
      <w:szCs w:val="20"/>
      <w:u w:val="none"/>
    </w:rPr>
  </w:style>
  <w:style w:type="character" w:customStyle="1" w:styleId="font91">
    <w:name w:val="font91"/>
    <w:basedOn w:val="a0"/>
    <w:qFormat/>
    <w:rsid w:val="00C45109"/>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144</Words>
  <Characters>821</Characters>
  <Application>Microsoft Office Word</Application>
  <DocSecurity>0</DocSecurity>
  <Lines>6</Lines>
  <Paragraphs>1</Paragraphs>
  <ScaleCrop>false</ScaleCrop>
  <Company>国家统计局</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dc:creator>
  <cp:keywords/>
  <dc:description/>
  <cp:lastModifiedBy>czj</cp:lastModifiedBy>
  <cp:revision>7</cp:revision>
  <cp:lastPrinted>2021-10-09T09:27:00Z</cp:lastPrinted>
  <dcterms:created xsi:type="dcterms:W3CDTF">2021-10-09T08:10:00Z</dcterms:created>
  <dcterms:modified xsi:type="dcterms:W3CDTF">2021-10-11T01:35:00Z</dcterms:modified>
</cp:coreProperties>
</file>