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textAlignment w:val="center"/>
        <w:rPr>
          <w:rFonts w:hint="eastAsia" w:ascii="黑体" w:hAnsi="黑体" w:eastAsia="黑体" w:cs="方正黑体_GBK"/>
          <w:color w:val="000000"/>
          <w:kern w:val="0"/>
          <w:sz w:val="32"/>
          <w:szCs w:val="32"/>
        </w:rPr>
      </w:pPr>
      <w:r>
        <w:rPr>
          <w:rFonts w:hint="eastAsia" w:ascii="宋体" w:hAnsi="宋体" w:cs="方正黑体_GBK"/>
          <w:color w:val="000000"/>
          <w:kern w:val="0"/>
          <w:szCs w:val="21"/>
        </w:rPr>
        <w:t>附件2</w:t>
      </w:r>
    </w:p>
    <w:tbl>
      <w:tblPr>
        <w:tblW w:w="145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5"/>
        <w:gridCol w:w="1661"/>
        <w:gridCol w:w="3555"/>
        <w:gridCol w:w="2220"/>
        <w:gridCol w:w="1590"/>
        <w:gridCol w:w="238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blHeader/>
        </w:trPr>
        <w:tc>
          <w:tcPr>
            <w:tcW w:w="14561" w:type="dxa"/>
            <w:gridSpan w:val="7"/>
            <w:vAlign w:val="center"/>
          </w:tcPr>
          <w:p>
            <w:pPr>
              <w:widowControl/>
              <w:jc w:val="center"/>
              <w:textAlignment w:val="center"/>
              <w:rPr>
                <w:rFonts w:hint="eastAsia" w:ascii="黑体" w:hAnsi="黑体" w:eastAsia="黑体" w:cs="方正小标宋简体"/>
                <w:color w:val="000000"/>
                <w:sz w:val="32"/>
                <w:szCs w:val="32"/>
              </w:rPr>
            </w:pPr>
            <w:r>
              <w:rPr>
                <w:rFonts w:hint="eastAsia" w:ascii="黑体" w:hAnsi="黑体" w:eastAsia="黑体" w:cs="方正小标宋简体"/>
                <w:color w:val="000000"/>
                <w:kern w:val="0"/>
                <w:sz w:val="32"/>
                <w:szCs w:val="32"/>
                <w:lang w:eastAsia="zh-CN"/>
              </w:rPr>
              <w:t>官渡区自然资源局</w:t>
            </w:r>
            <w:r>
              <w:rPr>
                <w:rFonts w:hint="eastAsia" w:ascii="黑体" w:hAnsi="黑体" w:eastAsia="黑体" w:cs="方正小标宋简体"/>
                <w:color w:val="000000"/>
                <w:kern w:val="0"/>
                <w:sz w:val="32"/>
                <w:szCs w:val="32"/>
              </w:rPr>
              <w:t>随机联合抽查事项清单（第二版）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blHead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抽查领域</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抽查事项</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检查对象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发起部门</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配合部门</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olor w:val="000000"/>
                <w:szCs w:val="21"/>
              </w:rPr>
              <w:t>林业草原监督检查</w:t>
            </w:r>
          </w:p>
        </w:tc>
        <w:tc>
          <w:tcPr>
            <w:tcW w:w="3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Cs w:val="21"/>
              </w:rPr>
            </w:pPr>
            <w:r>
              <w:rPr>
                <w:rFonts w:hint="eastAsia" w:ascii="宋体" w:hAnsi="宋体"/>
                <w:color w:val="000000"/>
                <w:szCs w:val="21"/>
              </w:rPr>
              <w:t>林木种苗监督检查</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olor w:val="000000"/>
                <w:szCs w:val="21"/>
              </w:rPr>
              <w:t>林木种苗生产经营单位</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olor w:val="000000"/>
                <w:szCs w:val="21"/>
              </w:rPr>
              <w:t>区自然资源局</w:t>
            </w:r>
          </w:p>
        </w:tc>
        <w:tc>
          <w:tcPr>
            <w:tcW w:w="23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olor w:val="000000"/>
                <w:szCs w:val="21"/>
              </w:rPr>
              <w:t>工程建设监管检查</w:t>
            </w:r>
          </w:p>
        </w:tc>
        <w:tc>
          <w:tcPr>
            <w:tcW w:w="35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Cs w:val="21"/>
              </w:rPr>
            </w:pPr>
            <w:r>
              <w:rPr>
                <w:rFonts w:hint="eastAsia" w:ascii="宋体" w:hAnsi="宋体"/>
                <w:color w:val="000000"/>
                <w:szCs w:val="21"/>
              </w:rPr>
              <w:t>区住建局</w:t>
            </w:r>
            <w:r>
              <w:rPr>
                <w:rFonts w:hint="eastAsia" w:ascii="宋体" w:hAnsi="宋体"/>
                <w:b/>
                <w:bCs/>
                <w:color w:val="000000"/>
                <w:szCs w:val="21"/>
              </w:rPr>
              <w:t>：</w:t>
            </w:r>
            <w:r>
              <w:rPr>
                <w:rFonts w:hint="eastAsia" w:ascii="宋体" w:hAnsi="宋体"/>
                <w:color w:val="000000"/>
                <w:szCs w:val="21"/>
              </w:rPr>
              <w:t>对取得施工许可证后不再符合许可条件、延期开工、中止施工等行为进行监督检查。对存在未取得施工许可证擅自施工、以隐瞒有关情况或者提供虚假材料申请施工许可证以及伪造或者涂改施工许可证等违法违规行为的单位及相关责任人，要严格按照《建筑工程施工许可管理办法》（建设部令第18号）的规定进行惩处。</w:t>
            </w:r>
            <w:r>
              <w:rPr>
                <w:rFonts w:hint="eastAsia" w:ascii="宋体" w:hAnsi="宋体"/>
                <w:color w:val="000000"/>
                <w:szCs w:val="21"/>
              </w:rPr>
              <w:br/>
            </w:r>
            <w:r>
              <w:rPr>
                <w:rFonts w:hint="eastAsia" w:ascii="宋体" w:hAnsi="宋体"/>
                <w:color w:val="000000"/>
                <w:szCs w:val="21"/>
              </w:rPr>
              <w:t>区自然资源局：建设项目方案现场公布情况；项目现场实施情况。</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olor w:val="000000"/>
                <w:szCs w:val="21"/>
              </w:rPr>
              <w:t>经行政许可取</w:t>
            </w:r>
            <w:bookmarkStart w:id="0" w:name="_GoBack"/>
            <w:bookmarkEnd w:id="0"/>
            <w:r>
              <w:rPr>
                <w:rFonts w:hint="eastAsia" w:ascii="宋体" w:hAnsi="宋体"/>
                <w:color w:val="000000"/>
                <w:szCs w:val="21"/>
              </w:rPr>
              <w:t>得《建设工程施工许可证》的在建项目企业、单位。</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olor w:val="000000"/>
                <w:szCs w:val="21"/>
              </w:rPr>
              <w:t>区住建局</w:t>
            </w:r>
          </w:p>
        </w:tc>
        <w:tc>
          <w:tcPr>
            <w:tcW w:w="23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olor w:val="000000"/>
                <w:szCs w:val="21"/>
              </w:rPr>
              <w:t>区自然资源局</w:t>
            </w:r>
          </w:p>
        </w:tc>
        <w:tc>
          <w:tcPr>
            <w:tcW w:w="2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bl>
    <w:p>
      <w:pPr>
        <w:rPr>
          <w:rFonts w:hint="eastAsia" w:ascii="宋体" w:hAnsi="宋体"/>
          <w:szCs w:val="21"/>
        </w:rPr>
      </w:pPr>
    </w:p>
    <w:sectPr>
      <w:pgSz w:w="16838" w:h="11906" w:orient="landscape"/>
      <w:pgMar w:top="1814" w:right="1474" w:bottom="1417" w:left="1587"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A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660" w:lineRule="exact"/>
      <w:jc w:val="center"/>
      <w:outlineLvl w:val="0"/>
    </w:pPr>
    <w:rPr>
      <w:rFonts w:eastAsia="方正小标宋_GBK"/>
      <w:kern w:val="44"/>
      <w:sz w:val="44"/>
    </w:rPr>
  </w:style>
  <w:style w:type="character" w:default="1" w:styleId="5">
    <w:name w:val="Default Paragraph Font"/>
    <w:semiHidden/>
    <w:unhideWhenUsed/>
    <w:uiPriority w:val="1"/>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云南省工商行政管理局</Company>
  <Pages>16</Pages>
  <Words>965</Words>
  <Characters>5502</Characters>
  <Lines>45</Lines>
  <Paragraphs>12</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2021-06-08T02:25:00Z</dcterms:created>
  <dc:creator>徐颖梅【信用监督管理处】</dc:creator>
  <cp:lastModifiedBy>Administrator</cp:lastModifiedBy>
  <dcterms:modified xsi:type="dcterms:W3CDTF">2021-10-08T06:32:40Z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