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168" w:type="dxa"/>
        <w:tblInd w:w="-459" w:type="dxa"/>
        <w:tblLayout w:type="fixed"/>
        <w:tblCellMar>
          <w:top w:w="0" w:type="dxa"/>
          <w:left w:w="108" w:type="dxa"/>
          <w:bottom w:w="0" w:type="dxa"/>
          <w:right w:w="108" w:type="dxa"/>
        </w:tblCellMar>
      </w:tblPr>
      <w:tblGrid>
        <w:gridCol w:w="661"/>
        <w:gridCol w:w="2010"/>
        <w:gridCol w:w="2790"/>
        <w:gridCol w:w="885"/>
        <w:gridCol w:w="1305"/>
        <w:gridCol w:w="1125"/>
        <w:gridCol w:w="1080"/>
        <w:gridCol w:w="3705"/>
        <w:gridCol w:w="825"/>
        <w:gridCol w:w="780"/>
        <w:gridCol w:w="2"/>
      </w:tblGrid>
      <w:tr>
        <w:tblPrEx>
          <w:tblLayout w:type="fixed"/>
          <w:tblCellMar>
            <w:top w:w="0" w:type="dxa"/>
            <w:left w:w="108" w:type="dxa"/>
            <w:bottom w:w="0" w:type="dxa"/>
            <w:right w:w="108" w:type="dxa"/>
          </w:tblCellMar>
        </w:tblPrEx>
        <w:trPr>
          <w:trHeight w:val="420" w:hRule="atLeast"/>
          <w:tblHeader/>
        </w:trPr>
        <w:tc>
          <w:tcPr>
            <w:tcW w:w="15168" w:type="dxa"/>
            <w:gridSpan w:val="11"/>
            <w:tcBorders>
              <w:bottom w:val="single" w:color="auto" w:sz="4" w:space="0"/>
            </w:tcBorders>
            <w:shd w:val="clear" w:color="auto" w:fill="auto"/>
            <w:vAlign w:val="center"/>
          </w:tcPr>
          <w:p>
            <w:pPr>
              <w:widowControl/>
              <w:spacing w:line="460" w:lineRule="exact"/>
              <w:jc w:val="center"/>
              <w:rPr>
                <w:rFonts w:hint="eastAsia" w:ascii="方正小标宋_GBK" w:hAnsi="方正小标宋_GBK" w:eastAsia="方正小标宋_GBK" w:cs="方正小标宋_GBK"/>
                <w:color w:val="000000" w:themeColor="text1"/>
                <w:kern w:val="0"/>
                <w:sz w:val="40"/>
                <w:szCs w:val="40"/>
              </w:rPr>
            </w:pPr>
            <w:r>
              <w:rPr>
                <w:rFonts w:hint="eastAsia" w:ascii="方正小标宋_GBK" w:hAnsi="方正小标宋_GBK" w:eastAsia="方正小标宋_GBK" w:cs="方正小标宋_GBK"/>
                <w:color w:val="000000" w:themeColor="text1"/>
                <w:kern w:val="0"/>
                <w:sz w:val="40"/>
                <w:szCs w:val="40"/>
              </w:rPr>
              <w:t>2021年度官渡区商务和投资促进局</w:t>
            </w:r>
            <w:r>
              <w:rPr>
                <w:rFonts w:hint="eastAsia" w:ascii="方正小标宋_GBK" w:hAnsi="方正小标宋_GBK" w:eastAsia="方正小标宋_GBK" w:cs="方正小标宋_GBK"/>
                <w:color w:val="000000" w:themeColor="text1"/>
                <w:kern w:val="0"/>
                <w:sz w:val="40"/>
                <w:szCs w:val="40"/>
              </w:rPr>
              <w:t>市场监管领域随机抽查事项清单</w:t>
            </w:r>
          </w:p>
          <w:p>
            <w:pPr>
              <w:widowControl/>
              <w:spacing w:line="460" w:lineRule="exact"/>
              <w:jc w:val="center"/>
              <w:rPr>
                <w:rFonts w:ascii="方正黑体_GBK" w:hAnsi="宋体" w:eastAsia="方正黑体_GBK" w:cs="宋体"/>
                <w:b/>
                <w:bCs/>
                <w:color w:val="000000" w:themeColor="text1"/>
                <w:kern w:val="0"/>
                <w:sz w:val="22"/>
              </w:rPr>
            </w:pPr>
            <w:r>
              <w:rPr>
                <w:rFonts w:hint="eastAsia" w:ascii="方正小标宋_GBK" w:hAnsi="方正小标宋_GBK" w:eastAsia="方正小标宋_GBK" w:cs="方正小标宋_GBK"/>
                <w:color w:val="000000" w:themeColor="text1"/>
                <w:kern w:val="0"/>
                <w:sz w:val="40"/>
                <w:szCs w:val="40"/>
              </w:rPr>
              <w:t>（第二版）</w:t>
            </w:r>
          </w:p>
        </w:tc>
      </w:tr>
      <w:tr>
        <w:tblPrEx>
          <w:tblLayout w:type="fixed"/>
          <w:tblCellMar>
            <w:top w:w="0" w:type="dxa"/>
            <w:left w:w="108" w:type="dxa"/>
            <w:bottom w:w="0" w:type="dxa"/>
            <w:right w:w="108" w:type="dxa"/>
          </w:tblCellMar>
        </w:tblPrEx>
        <w:trPr>
          <w:trHeight w:val="470" w:hRule="atLeast"/>
          <w:tblHeader/>
        </w:trPr>
        <w:tc>
          <w:tcPr>
            <w:tcW w:w="661"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rPr>
            </w:pPr>
            <w:r>
              <w:rPr>
                <w:rFonts w:hint="eastAsia" w:ascii="方正黑体_GBK" w:hAnsi="宋体" w:eastAsia="方正黑体_GBK" w:cs="宋体"/>
                <w:b/>
                <w:bCs/>
                <w:color w:val="000000" w:themeColor="text1"/>
                <w:kern w:val="0"/>
                <w:sz w:val="22"/>
              </w:rPr>
              <w:t>序号</w:t>
            </w:r>
          </w:p>
        </w:tc>
        <w:tc>
          <w:tcPr>
            <w:tcW w:w="48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rPr>
            </w:pPr>
            <w:r>
              <w:rPr>
                <w:rFonts w:hint="eastAsia" w:ascii="方正黑体_GBK" w:hAnsi="宋体" w:eastAsia="方正黑体_GBK" w:cs="宋体"/>
                <w:b/>
                <w:bCs/>
                <w:color w:val="000000" w:themeColor="text1"/>
                <w:kern w:val="0"/>
                <w:sz w:val="22"/>
              </w:rPr>
              <w:t xml:space="preserve">抽查项目 </w:t>
            </w:r>
          </w:p>
        </w:tc>
        <w:tc>
          <w:tcPr>
            <w:tcW w:w="8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rPr>
            </w:pPr>
            <w:r>
              <w:rPr>
                <w:rFonts w:hint="eastAsia" w:ascii="方正黑体_GBK" w:hAnsi="宋体" w:eastAsia="方正黑体_GBK" w:cs="宋体"/>
                <w:b/>
                <w:bCs/>
                <w:color w:val="000000" w:themeColor="text1"/>
                <w:kern w:val="0"/>
                <w:sz w:val="22"/>
              </w:rPr>
              <w:t>事项类别</w:t>
            </w:r>
          </w:p>
        </w:tc>
        <w:tc>
          <w:tcPr>
            <w:tcW w:w="130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rPr>
            </w:pPr>
            <w:r>
              <w:rPr>
                <w:rFonts w:hint="eastAsia" w:ascii="方正黑体_GBK" w:hAnsi="宋体" w:eastAsia="方正黑体_GBK" w:cs="宋体"/>
                <w:b/>
                <w:bCs/>
                <w:color w:val="000000" w:themeColor="text1"/>
                <w:kern w:val="0"/>
                <w:sz w:val="22"/>
              </w:rPr>
              <w:t>检查对象</w:t>
            </w:r>
          </w:p>
        </w:tc>
        <w:tc>
          <w:tcPr>
            <w:tcW w:w="11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rPr>
            </w:pPr>
            <w:r>
              <w:rPr>
                <w:rFonts w:hint="eastAsia" w:ascii="方正黑体_GBK" w:hAnsi="宋体" w:eastAsia="方正黑体_GBK" w:cs="宋体"/>
                <w:b/>
                <w:bCs/>
                <w:color w:val="000000" w:themeColor="text1"/>
                <w:kern w:val="0"/>
                <w:sz w:val="22"/>
              </w:rPr>
              <w:t>检查方式</w:t>
            </w:r>
          </w:p>
        </w:tc>
        <w:tc>
          <w:tcPr>
            <w:tcW w:w="10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rPr>
            </w:pPr>
            <w:r>
              <w:rPr>
                <w:rFonts w:hint="eastAsia" w:ascii="方正黑体_GBK" w:hAnsi="宋体" w:eastAsia="方正黑体_GBK" w:cs="宋体"/>
                <w:b/>
                <w:bCs/>
                <w:color w:val="000000" w:themeColor="text1"/>
                <w:kern w:val="0"/>
                <w:sz w:val="22"/>
              </w:rPr>
              <w:t>检查主体</w:t>
            </w:r>
          </w:p>
        </w:tc>
        <w:tc>
          <w:tcPr>
            <w:tcW w:w="370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rPr>
            </w:pPr>
            <w:r>
              <w:rPr>
                <w:rFonts w:hint="eastAsia" w:ascii="方正黑体_GBK" w:hAnsi="宋体" w:eastAsia="方正黑体_GBK" w:cs="宋体"/>
                <w:b/>
                <w:bCs/>
                <w:color w:val="000000" w:themeColor="text1"/>
                <w:kern w:val="0"/>
                <w:sz w:val="22"/>
              </w:rPr>
              <w:t>检查依据</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rPr>
            </w:pPr>
            <w:r>
              <w:rPr>
                <w:rFonts w:hint="eastAsia" w:ascii="方正黑体_GBK" w:hAnsi="宋体" w:eastAsia="方正黑体_GBK" w:cs="宋体"/>
                <w:b/>
                <w:bCs/>
                <w:color w:val="000000" w:themeColor="text1"/>
                <w:kern w:val="0"/>
                <w:sz w:val="22"/>
              </w:rPr>
              <w:t>适用区域</w:t>
            </w:r>
          </w:p>
        </w:tc>
        <w:tc>
          <w:tcPr>
            <w:tcW w:w="7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rPr>
            </w:pPr>
            <w:r>
              <w:rPr>
                <w:rFonts w:hint="eastAsia" w:ascii="方正黑体_GBK" w:hAnsi="宋体" w:eastAsia="方正黑体_GBK" w:cs="宋体"/>
                <w:b/>
                <w:bCs/>
                <w:color w:val="000000" w:themeColor="text1"/>
                <w:kern w:val="0"/>
                <w:sz w:val="22"/>
              </w:rPr>
              <w:t>备注</w:t>
            </w:r>
          </w:p>
        </w:tc>
      </w:tr>
      <w:tr>
        <w:tblPrEx>
          <w:tblLayout w:type="fixed"/>
          <w:tblCellMar>
            <w:top w:w="0" w:type="dxa"/>
            <w:left w:w="108" w:type="dxa"/>
            <w:bottom w:w="0" w:type="dxa"/>
            <w:right w:w="108" w:type="dxa"/>
          </w:tblCellMar>
        </w:tblPrEx>
        <w:trPr>
          <w:trHeight w:val="489" w:hRule="atLeast"/>
          <w:tblHeader/>
        </w:trPr>
        <w:tc>
          <w:tcPr>
            <w:tcW w:w="66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rPr>
            </w:pPr>
          </w:p>
        </w:tc>
        <w:tc>
          <w:tcPr>
            <w:tcW w:w="20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黑体_GBK" w:hAnsi="宋体" w:eastAsia="方正黑体_GBK" w:cs="宋体"/>
                <w:b/>
                <w:bCs/>
                <w:color w:val="000000" w:themeColor="text1"/>
                <w:kern w:val="0"/>
                <w:sz w:val="22"/>
              </w:rPr>
            </w:pPr>
            <w:r>
              <w:rPr>
                <w:rFonts w:hint="eastAsia" w:ascii="方正黑体_GBK" w:hAnsi="宋体" w:eastAsia="方正黑体_GBK" w:cs="宋体"/>
                <w:b/>
                <w:bCs/>
                <w:color w:val="000000" w:themeColor="text1"/>
                <w:kern w:val="0"/>
                <w:sz w:val="22"/>
              </w:rPr>
              <w:t>抽查类别</w:t>
            </w:r>
          </w:p>
        </w:tc>
        <w:tc>
          <w:tcPr>
            <w:tcW w:w="2790"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color w:val="000000" w:themeColor="text1"/>
                <w:kern w:val="0"/>
                <w:sz w:val="22"/>
              </w:rPr>
            </w:pPr>
            <w:r>
              <w:rPr>
                <w:rFonts w:hint="eastAsia" w:ascii="方正黑体_GBK" w:hAnsi="宋体" w:eastAsia="方正黑体_GBK" w:cs="宋体"/>
                <w:b/>
                <w:bCs/>
                <w:color w:val="000000" w:themeColor="text1"/>
                <w:kern w:val="0"/>
                <w:sz w:val="22"/>
              </w:rPr>
              <w:t>抽查事项</w:t>
            </w:r>
          </w:p>
        </w:tc>
        <w:tc>
          <w:tcPr>
            <w:tcW w:w="8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rPr>
            </w:pPr>
          </w:p>
        </w:tc>
        <w:tc>
          <w:tcPr>
            <w:tcW w:w="130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rPr>
            </w:pPr>
          </w:p>
        </w:tc>
        <w:tc>
          <w:tcPr>
            <w:tcW w:w="112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rPr>
            </w:pPr>
          </w:p>
        </w:tc>
        <w:tc>
          <w:tcPr>
            <w:tcW w:w="370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rPr>
            </w:pPr>
          </w:p>
        </w:tc>
        <w:tc>
          <w:tcPr>
            <w:tcW w:w="78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rPr>
            </w:pPr>
          </w:p>
        </w:tc>
      </w:tr>
      <w:tr>
        <w:tblPrEx>
          <w:tblLayout w:type="fixed"/>
          <w:tblCellMar>
            <w:top w:w="0" w:type="dxa"/>
            <w:left w:w="108" w:type="dxa"/>
            <w:bottom w:w="0" w:type="dxa"/>
            <w:right w:w="108" w:type="dxa"/>
          </w:tblCellMar>
        </w:tblPrEx>
        <w:trPr>
          <w:trHeight w:val="2151" w:hRule="atLeast"/>
        </w:trPr>
        <w:tc>
          <w:tcPr>
            <w:tcW w:w="66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0"/>
                <w:szCs w:val="20"/>
                <w:lang w:val="en-US" w:eastAsia="zh-CN"/>
              </w:rPr>
            </w:pPr>
            <w:r>
              <w:rPr>
                <w:rFonts w:hint="eastAsia" w:ascii="宋体" w:hAnsi="宋体" w:eastAsia="宋体" w:cs="宋体"/>
                <w:color w:val="000000" w:themeColor="text1"/>
                <w:sz w:val="20"/>
                <w:szCs w:val="20"/>
                <w:lang w:val="en-US" w:eastAsia="zh-CN"/>
              </w:rPr>
              <w:t>1</w:t>
            </w:r>
          </w:p>
        </w:tc>
        <w:tc>
          <w:tcPr>
            <w:tcW w:w="201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监控化学品生产、经营、使用及进出口单位的监控化学品有关情况进行监督检查</w:t>
            </w:r>
          </w:p>
        </w:tc>
        <w:tc>
          <w:tcPr>
            <w:tcW w:w="27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监控化学品生产、经营、使用及进出口单位的监控化学品有关情况进行监督检查</w:t>
            </w:r>
          </w:p>
        </w:tc>
        <w:tc>
          <w:tcPr>
            <w:tcW w:w="8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30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监控化学品生产、经营、使用及进出口单位</w:t>
            </w:r>
          </w:p>
        </w:tc>
        <w:tc>
          <w:tcPr>
            <w:tcW w:w="112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官渡区商务和投资促进局</w:t>
            </w:r>
          </w:p>
        </w:tc>
        <w:tc>
          <w:tcPr>
            <w:tcW w:w="370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《&lt;中华人民共和国监控化学品管理条例&gt;实施细则》第四十四条</w:t>
            </w:r>
          </w:p>
        </w:tc>
        <w:tc>
          <w:tcPr>
            <w:tcW w:w="825" w:type="dxa"/>
            <w:tcBorders>
              <w:top w:val="nil"/>
              <w:left w:val="nil"/>
              <w:bottom w:val="single" w:color="auto" w:sz="4" w:space="0"/>
              <w:right w:val="single" w:color="auto" w:sz="4" w:space="0"/>
            </w:tcBorders>
            <w:shd w:val="clear" w:color="auto" w:fill="auto"/>
            <w:vAlign w:val="center"/>
          </w:tcPr>
          <w:p>
            <w:pPr>
              <w:jc w:val="center"/>
              <w:rPr>
                <w:color w:val="000000" w:themeColor="text1"/>
              </w:rPr>
            </w:pPr>
            <w:r>
              <w:rPr>
                <w:rFonts w:hint="eastAsia"/>
                <w:color w:val="000000" w:themeColor="text1"/>
                <w:sz w:val="20"/>
                <w:szCs w:val="20"/>
              </w:rPr>
              <w:t>全区</w:t>
            </w:r>
          </w:p>
        </w:tc>
        <w:tc>
          <w:tcPr>
            <w:tcW w:w="782"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Layout w:type="fixed"/>
          <w:tblCellMar>
            <w:top w:w="0" w:type="dxa"/>
            <w:left w:w="108" w:type="dxa"/>
            <w:bottom w:w="0" w:type="dxa"/>
            <w:right w:w="108" w:type="dxa"/>
          </w:tblCellMar>
        </w:tblPrEx>
        <w:trPr>
          <w:trHeight w:val="2151" w:hRule="atLeast"/>
        </w:trPr>
        <w:tc>
          <w:tcPr>
            <w:tcW w:w="66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0"/>
                <w:szCs w:val="20"/>
                <w:lang w:val="en-US" w:eastAsia="zh-CN"/>
              </w:rPr>
            </w:pPr>
            <w:r>
              <w:rPr>
                <w:rFonts w:hint="eastAsia" w:ascii="宋体" w:hAnsi="宋体" w:eastAsia="宋体" w:cs="宋体"/>
                <w:color w:val="000000" w:themeColor="text1"/>
                <w:sz w:val="20"/>
                <w:szCs w:val="20"/>
                <w:lang w:val="en-US" w:eastAsia="zh-CN"/>
              </w:rPr>
              <w:t>2</w:t>
            </w:r>
          </w:p>
        </w:tc>
        <w:tc>
          <w:tcPr>
            <w:tcW w:w="201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工业企业节能监督检查</w:t>
            </w:r>
          </w:p>
        </w:tc>
        <w:tc>
          <w:tcPr>
            <w:tcW w:w="27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工业企业节能监督检查</w:t>
            </w:r>
          </w:p>
        </w:tc>
        <w:tc>
          <w:tcPr>
            <w:tcW w:w="8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30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工业企业</w:t>
            </w:r>
          </w:p>
        </w:tc>
        <w:tc>
          <w:tcPr>
            <w:tcW w:w="112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官渡区商务和投资促进局</w:t>
            </w:r>
          </w:p>
        </w:tc>
        <w:tc>
          <w:tcPr>
            <w:tcW w:w="370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《中华人民共和国节约能源法》；</w:t>
            </w:r>
            <w:r>
              <w:rPr>
                <w:rFonts w:hint="eastAsia"/>
                <w:color w:val="000000" w:themeColor="text1"/>
                <w:sz w:val="20"/>
                <w:szCs w:val="20"/>
              </w:rPr>
              <w:br w:type="textWrapping"/>
            </w:r>
            <w:r>
              <w:rPr>
                <w:rFonts w:hint="eastAsia"/>
                <w:color w:val="000000" w:themeColor="text1"/>
                <w:sz w:val="20"/>
                <w:szCs w:val="20"/>
              </w:rPr>
              <w:t>《工业节能管理办法》（国家工业和信息化部令第3</w:t>
            </w:r>
            <w:bookmarkStart w:id="0" w:name="_GoBack"/>
            <w:bookmarkEnd w:id="0"/>
            <w:r>
              <w:rPr>
                <w:rFonts w:hint="eastAsia"/>
                <w:color w:val="000000" w:themeColor="text1"/>
                <w:sz w:val="20"/>
                <w:szCs w:val="20"/>
              </w:rPr>
              <w:t>3号（2016年））相关条款</w:t>
            </w:r>
          </w:p>
        </w:tc>
        <w:tc>
          <w:tcPr>
            <w:tcW w:w="825" w:type="dxa"/>
            <w:tcBorders>
              <w:top w:val="nil"/>
              <w:left w:val="nil"/>
              <w:bottom w:val="single" w:color="auto" w:sz="4" w:space="0"/>
              <w:right w:val="single" w:color="auto" w:sz="4" w:space="0"/>
            </w:tcBorders>
            <w:shd w:val="clear" w:color="auto" w:fill="auto"/>
            <w:vAlign w:val="center"/>
          </w:tcPr>
          <w:p>
            <w:pPr>
              <w:jc w:val="center"/>
              <w:rPr>
                <w:color w:val="000000" w:themeColor="text1"/>
              </w:rPr>
            </w:pPr>
            <w:r>
              <w:rPr>
                <w:rFonts w:hint="eastAsia"/>
                <w:color w:val="000000" w:themeColor="text1"/>
                <w:sz w:val="20"/>
                <w:szCs w:val="20"/>
              </w:rPr>
              <w:t>全区</w:t>
            </w:r>
          </w:p>
        </w:tc>
        <w:tc>
          <w:tcPr>
            <w:tcW w:w="782"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Layout w:type="fixed"/>
          <w:tblCellMar>
            <w:top w:w="0" w:type="dxa"/>
            <w:left w:w="108" w:type="dxa"/>
            <w:bottom w:w="0" w:type="dxa"/>
            <w:right w:w="108" w:type="dxa"/>
          </w:tblCellMar>
        </w:tblPrEx>
        <w:trPr>
          <w:gridAfter w:val="1"/>
          <w:wAfter w:w="2" w:type="dxa"/>
          <w:trHeight w:val="2151" w:hRule="atLeast"/>
        </w:trPr>
        <w:tc>
          <w:tcPr>
            <w:tcW w:w="66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0"/>
                <w:szCs w:val="20"/>
              </w:rPr>
            </w:pPr>
            <w:r>
              <w:rPr>
                <w:rFonts w:hint="eastAsia" w:cs="宋体" w:asciiTheme="minorEastAsia" w:hAnsiTheme="minorEastAsia"/>
                <w:color w:val="000000" w:themeColor="text1"/>
                <w:sz w:val="20"/>
                <w:szCs w:val="20"/>
                <w:lang w:val="en-US" w:eastAsia="zh-CN"/>
              </w:rPr>
              <w:t>3</w:t>
            </w:r>
          </w:p>
        </w:tc>
        <w:tc>
          <w:tcPr>
            <w:tcW w:w="201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报废机动车回收企业的检查</w:t>
            </w:r>
          </w:p>
        </w:tc>
        <w:tc>
          <w:tcPr>
            <w:tcW w:w="27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报废机动车回收企业的检查</w:t>
            </w:r>
          </w:p>
        </w:tc>
        <w:tc>
          <w:tcPr>
            <w:tcW w:w="8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30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报废机动车回收企业</w:t>
            </w:r>
          </w:p>
        </w:tc>
        <w:tc>
          <w:tcPr>
            <w:tcW w:w="112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官渡区商务和投资促进局</w:t>
            </w:r>
          </w:p>
        </w:tc>
        <w:tc>
          <w:tcPr>
            <w:tcW w:w="370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《报废机动车回收管理办法》第四条、第十六条</w:t>
            </w:r>
          </w:p>
        </w:tc>
        <w:tc>
          <w:tcPr>
            <w:tcW w:w="825" w:type="dxa"/>
            <w:tcBorders>
              <w:top w:val="nil"/>
              <w:left w:val="nil"/>
              <w:bottom w:val="single" w:color="auto" w:sz="4" w:space="0"/>
              <w:right w:val="single" w:color="auto" w:sz="4" w:space="0"/>
            </w:tcBorders>
            <w:shd w:val="clear" w:color="auto" w:fill="auto"/>
            <w:vAlign w:val="center"/>
          </w:tcPr>
          <w:p>
            <w:pPr>
              <w:jc w:val="center"/>
              <w:rPr>
                <w:color w:val="000000" w:themeColor="text1"/>
              </w:rPr>
            </w:pPr>
            <w:r>
              <w:rPr>
                <w:rFonts w:hint="eastAsia"/>
                <w:color w:val="000000" w:themeColor="text1"/>
                <w:sz w:val="20"/>
                <w:szCs w:val="20"/>
              </w:rPr>
              <w:t>全区</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Layout w:type="fixed"/>
          <w:tblCellMar>
            <w:top w:w="0" w:type="dxa"/>
            <w:left w:w="108" w:type="dxa"/>
            <w:bottom w:w="0" w:type="dxa"/>
            <w:right w:w="108" w:type="dxa"/>
          </w:tblCellMar>
        </w:tblPrEx>
        <w:trPr>
          <w:gridAfter w:val="1"/>
          <w:wAfter w:w="2" w:type="dxa"/>
          <w:trHeight w:val="2151" w:hRule="atLeast"/>
        </w:trPr>
        <w:tc>
          <w:tcPr>
            <w:tcW w:w="66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0"/>
                <w:szCs w:val="20"/>
                <w:lang w:val="en-US" w:eastAsia="zh-CN"/>
              </w:rPr>
            </w:pPr>
            <w:r>
              <w:rPr>
                <w:rFonts w:hint="eastAsia" w:ascii="宋体" w:hAnsi="宋体" w:eastAsia="宋体" w:cs="宋体"/>
                <w:color w:val="000000" w:themeColor="text1"/>
                <w:sz w:val="20"/>
                <w:szCs w:val="20"/>
                <w:lang w:val="en-US" w:eastAsia="zh-CN"/>
              </w:rPr>
              <w:t>4</w:t>
            </w:r>
          </w:p>
        </w:tc>
        <w:tc>
          <w:tcPr>
            <w:tcW w:w="201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汽车销售及其相关服务活动检查</w:t>
            </w:r>
          </w:p>
        </w:tc>
        <w:tc>
          <w:tcPr>
            <w:tcW w:w="27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汽车销售行为合规检查</w:t>
            </w:r>
          </w:p>
        </w:tc>
        <w:tc>
          <w:tcPr>
            <w:tcW w:w="8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30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汽车销售经销商</w:t>
            </w:r>
          </w:p>
        </w:tc>
        <w:tc>
          <w:tcPr>
            <w:tcW w:w="112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实地检查等</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官渡区商务和投资促进局</w:t>
            </w:r>
          </w:p>
        </w:tc>
        <w:tc>
          <w:tcPr>
            <w:tcW w:w="370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《汽车销售管理办法》（商务部令2017年第1号）第二十九条</w:t>
            </w:r>
          </w:p>
        </w:tc>
        <w:tc>
          <w:tcPr>
            <w:tcW w:w="825" w:type="dxa"/>
            <w:tcBorders>
              <w:top w:val="nil"/>
              <w:left w:val="nil"/>
              <w:bottom w:val="single" w:color="auto" w:sz="4" w:space="0"/>
              <w:right w:val="single" w:color="auto" w:sz="4" w:space="0"/>
            </w:tcBorders>
            <w:shd w:val="clear" w:color="auto" w:fill="auto"/>
            <w:vAlign w:val="center"/>
          </w:tcPr>
          <w:p>
            <w:pPr>
              <w:jc w:val="center"/>
              <w:rPr>
                <w:color w:val="000000" w:themeColor="text1"/>
              </w:rPr>
            </w:pPr>
            <w:r>
              <w:rPr>
                <w:rFonts w:hint="eastAsia"/>
                <w:color w:val="000000" w:themeColor="text1"/>
                <w:sz w:val="20"/>
                <w:szCs w:val="20"/>
              </w:rPr>
              <w:t>全区</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Layout w:type="fixed"/>
          <w:tblCellMar>
            <w:top w:w="0" w:type="dxa"/>
            <w:left w:w="108" w:type="dxa"/>
            <w:bottom w:w="0" w:type="dxa"/>
            <w:right w:w="108" w:type="dxa"/>
          </w:tblCellMar>
        </w:tblPrEx>
        <w:trPr>
          <w:gridAfter w:val="1"/>
          <w:wAfter w:w="2" w:type="dxa"/>
          <w:trHeight w:val="2151" w:hRule="atLeast"/>
        </w:trPr>
        <w:tc>
          <w:tcPr>
            <w:tcW w:w="66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0"/>
                <w:szCs w:val="20"/>
                <w:lang w:val="en-US" w:eastAsia="zh-CN"/>
              </w:rPr>
            </w:pPr>
            <w:r>
              <w:rPr>
                <w:rFonts w:hint="eastAsia" w:ascii="宋体" w:hAnsi="宋体" w:eastAsia="宋体" w:cs="宋体"/>
                <w:color w:val="000000" w:themeColor="text1"/>
                <w:sz w:val="20"/>
                <w:szCs w:val="20"/>
                <w:lang w:val="en-US" w:eastAsia="zh-CN"/>
              </w:rPr>
              <w:t>5</w:t>
            </w:r>
          </w:p>
        </w:tc>
        <w:tc>
          <w:tcPr>
            <w:tcW w:w="201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二手车经营活动检查</w:t>
            </w:r>
          </w:p>
        </w:tc>
        <w:tc>
          <w:tcPr>
            <w:tcW w:w="27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二手车交易行为合规检查</w:t>
            </w:r>
          </w:p>
        </w:tc>
        <w:tc>
          <w:tcPr>
            <w:tcW w:w="8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30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二手车交易市场、二手车经营主体</w:t>
            </w:r>
          </w:p>
        </w:tc>
        <w:tc>
          <w:tcPr>
            <w:tcW w:w="112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实地检查等</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官渡区商务和投资促进局</w:t>
            </w:r>
          </w:p>
        </w:tc>
        <w:tc>
          <w:tcPr>
            <w:tcW w:w="3705"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宋体"/>
                <w:color w:val="000000" w:themeColor="text1"/>
                <w:sz w:val="20"/>
                <w:szCs w:val="20"/>
              </w:rPr>
            </w:pPr>
            <w:r>
              <w:rPr>
                <w:rFonts w:hint="eastAsia"/>
                <w:color w:val="000000" w:themeColor="text1"/>
                <w:sz w:val="20"/>
                <w:szCs w:val="20"/>
              </w:rPr>
              <w:t>1.《二手车流通管理办法》（商务部、公安部、国家工商总局、国家税务总局二OO五年第2号令）第七条；2.《云南省商务厅 公安厅 工商局 国税局 地税局关于进一步贯彻〈二手车流通管理办法〉的实施意见》（云商市〔2011〕178号）第一条</w:t>
            </w:r>
          </w:p>
        </w:tc>
        <w:tc>
          <w:tcPr>
            <w:tcW w:w="825" w:type="dxa"/>
            <w:tcBorders>
              <w:top w:val="nil"/>
              <w:left w:val="nil"/>
              <w:bottom w:val="single" w:color="auto" w:sz="4" w:space="0"/>
              <w:right w:val="single" w:color="auto" w:sz="4" w:space="0"/>
            </w:tcBorders>
            <w:shd w:val="clear" w:color="auto" w:fill="auto"/>
            <w:vAlign w:val="center"/>
          </w:tcPr>
          <w:p>
            <w:pPr>
              <w:jc w:val="center"/>
              <w:rPr>
                <w:color w:val="000000" w:themeColor="text1"/>
              </w:rPr>
            </w:pPr>
            <w:r>
              <w:rPr>
                <w:rFonts w:hint="eastAsia"/>
                <w:color w:val="000000" w:themeColor="text1"/>
                <w:sz w:val="20"/>
                <w:szCs w:val="20"/>
              </w:rPr>
              <w:t>全区</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Layout w:type="fixed"/>
          <w:tblCellMar>
            <w:top w:w="0" w:type="dxa"/>
            <w:left w:w="108" w:type="dxa"/>
            <w:bottom w:w="0" w:type="dxa"/>
            <w:right w:w="108" w:type="dxa"/>
          </w:tblCellMar>
        </w:tblPrEx>
        <w:trPr>
          <w:gridAfter w:val="1"/>
          <w:wAfter w:w="2" w:type="dxa"/>
          <w:trHeight w:val="2151" w:hRule="atLeast"/>
        </w:trPr>
        <w:tc>
          <w:tcPr>
            <w:tcW w:w="66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0"/>
                <w:szCs w:val="20"/>
                <w:lang w:val="en-US" w:eastAsia="zh-CN"/>
              </w:rPr>
            </w:pPr>
            <w:r>
              <w:rPr>
                <w:rFonts w:hint="eastAsia" w:ascii="宋体" w:hAnsi="宋体" w:eastAsia="宋体" w:cs="宋体"/>
                <w:color w:val="000000" w:themeColor="text1"/>
                <w:sz w:val="20"/>
                <w:szCs w:val="20"/>
                <w:lang w:val="en-US" w:eastAsia="zh-CN"/>
              </w:rPr>
              <w:t>6</w:t>
            </w:r>
          </w:p>
        </w:tc>
        <w:tc>
          <w:tcPr>
            <w:tcW w:w="201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对单用途商务预付卡发卡企业的检查</w:t>
            </w:r>
          </w:p>
        </w:tc>
        <w:tc>
          <w:tcPr>
            <w:tcW w:w="2790"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themeColor="text1"/>
                <w:sz w:val="20"/>
                <w:szCs w:val="20"/>
              </w:rPr>
            </w:pPr>
            <w:r>
              <w:rPr>
                <w:rFonts w:hint="eastAsia"/>
                <w:color w:val="000000" w:themeColor="text1"/>
                <w:sz w:val="20"/>
                <w:szCs w:val="20"/>
              </w:rPr>
              <w:t>1.单用途商业预付卡发卡企业是否在开展单用途卡业务后按有关规定向其工商登记注册地人民政府商务主管部门备案； 2.发卡企业是否履行发卡与服务相关义务；3.发卡企业是否违反资金管理的有关规定； 4.发卡企业是否建立业务处理系统及履行技术故障报告义务。</w:t>
            </w:r>
          </w:p>
        </w:tc>
        <w:tc>
          <w:tcPr>
            <w:tcW w:w="8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30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单用途商业预付卡发卡企业</w:t>
            </w:r>
          </w:p>
        </w:tc>
        <w:tc>
          <w:tcPr>
            <w:tcW w:w="112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实地检查、网络系统检查</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官渡区商务和投资促进局</w:t>
            </w:r>
          </w:p>
        </w:tc>
        <w:tc>
          <w:tcPr>
            <w:tcW w:w="370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《单用途商业预付卡管理办法（试行）》（商务部令2012年第9号）第二章第七条、第十二条；第三章第十四至二十二条；第四章第二十四条至二十七条、第二十九条、第三十一条</w:t>
            </w:r>
          </w:p>
        </w:tc>
        <w:tc>
          <w:tcPr>
            <w:tcW w:w="825" w:type="dxa"/>
            <w:tcBorders>
              <w:top w:val="nil"/>
              <w:left w:val="nil"/>
              <w:bottom w:val="single" w:color="auto" w:sz="4" w:space="0"/>
              <w:right w:val="single" w:color="auto" w:sz="4" w:space="0"/>
            </w:tcBorders>
            <w:shd w:val="clear" w:color="auto" w:fill="auto"/>
            <w:vAlign w:val="center"/>
          </w:tcPr>
          <w:p>
            <w:pPr>
              <w:jc w:val="center"/>
              <w:rPr>
                <w:color w:val="000000" w:themeColor="text1"/>
              </w:rPr>
            </w:pPr>
            <w:r>
              <w:rPr>
                <w:rFonts w:hint="eastAsia"/>
                <w:color w:val="000000" w:themeColor="text1"/>
                <w:sz w:val="20"/>
                <w:szCs w:val="20"/>
              </w:rPr>
              <w:t>全区</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Layout w:type="fixed"/>
          <w:tblCellMar>
            <w:top w:w="0" w:type="dxa"/>
            <w:left w:w="108" w:type="dxa"/>
            <w:bottom w:w="0" w:type="dxa"/>
            <w:right w:w="108" w:type="dxa"/>
          </w:tblCellMar>
        </w:tblPrEx>
        <w:trPr>
          <w:gridAfter w:val="1"/>
          <w:wAfter w:w="2" w:type="dxa"/>
          <w:trHeight w:val="2151" w:hRule="atLeast"/>
        </w:trPr>
        <w:tc>
          <w:tcPr>
            <w:tcW w:w="66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0"/>
                <w:szCs w:val="20"/>
                <w:lang w:val="en-US" w:eastAsia="zh-CN"/>
              </w:rPr>
            </w:pPr>
            <w:r>
              <w:rPr>
                <w:rFonts w:hint="eastAsia" w:ascii="宋体" w:hAnsi="宋体" w:eastAsia="宋体" w:cs="宋体"/>
                <w:color w:val="000000" w:themeColor="text1"/>
                <w:sz w:val="20"/>
                <w:szCs w:val="20"/>
                <w:lang w:val="en-US" w:eastAsia="zh-CN"/>
              </w:rPr>
              <w:t>7</w:t>
            </w:r>
          </w:p>
        </w:tc>
        <w:tc>
          <w:tcPr>
            <w:tcW w:w="201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对对外劳务合作企业的检查</w:t>
            </w:r>
          </w:p>
        </w:tc>
        <w:tc>
          <w:tcPr>
            <w:tcW w:w="2790"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themeColor="text1"/>
                <w:sz w:val="20"/>
                <w:szCs w:val="20"/>
              </w:rPr>
            </w:pPr>
            <w:r>
              <w:rPr>
                <w:rFonts w:hint="eastAsia"/>
                <w:color w:val="000000" w:themeColor="text1"/>
                <w:sz w:val="20"/>
                <w:szCs w:val="20"/>
              </w:rPr>
              <w:t>1.是否存在未依法取得对外劳务合作经营资格，从事对外劳务合作的行为；2.是否存在违规组织对外劳务的行为和违规安排随行管理人员的行为。3.是否依照《对外劳务合作管理条例》规定缴存或者补足备用金。4.是否存在（1）未安排劳务人员接受培训，组织劳务人员赴国外工作的行为；（2）未依照《对外劳务合作管理条例》规定为劳务人员购买在国外工作期间的人身意外伤害保险；（3）未依照《对外劳务合作管理条例》规定安排随行管理人员等行为。5.是否存在对外劳务合同违法的行为。6.是否履行备案等相关手续的行为。</w:t>
            </w:r>
          </w:p>
        </w:tc>
        <w:tc>
          <w:tcPr>
            <w:tcW w:w="8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30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对外劳务合作企业</w:t>
            </w:r>
          </w:p>
        </w:tc>
        <w:tc>
          <w:tcPr>
            <w:tcW w:w="112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实地</w:t>
            </w:r>
            <w:r>
              <w:rPr>
                <w:rFonts w:hint="eastAsia"/>
                <w:color w:val="000000" w:themeColor="text1"/>
                <w:sz w:val="20"/>
                <w:szCs w:val="20"/>
              </w:rPr>
              <w:br w:type="textWrapping"/>
            </w:r>
            <w:r>
              <w:rPr>
                <w:rFonts w:hint="eastAsia"/>
                <w:color w:val="000000" w:themeColor="text1"/>
                <w:sz w:val="20"/>
                <w:szCs w:val="20"/>
              </w:rPr>
              <w:t>检查</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官渡区商务和投资促进局</w:t>
            </w:r>
          </w:p>
        </w:tc>
        <w:tc>
          <w:tcPr>
            <w:tcW w:w="370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《对外劳务合作管理条例》（中华人民共和国国务院令第620号）第五章第三十九条、第四十条、第四十一条、四十二条、第四十三条第一款、第四十五条</w:t>
            </w:r>
          </w:p>
        </w:tc>
        <w:tc>
          <w:tcPr>
            <w:tcW w:w="825" w:type="dxa"/>
            <w:tcBorders>
              <w:top w:val="nil"/>
              <w:left w:val="nil"/>
              <w:bottom w:val="single" w:color="auto" w:sz="4" w:space="0"/>
              <w:right w:val="single" w:color="auto" w:sz="4" w:space="0"/>
            </w:tcBorders>
            <w:shd w:val="clear" w:color="auto" w:fill="auto"/>
            <w:vAlign w:val="center"/>
          </w:tcPr>
          <w:p>
            <w:pPr>
              <w:jc w:val="center"/>
              <w:rPr>
                <w:color w:val="000000" w:themeColor="text1"/>
              </w:rPr>
            </w:pPr>
            <w:r>
              <w:rPr>
                <w:rFonts w:hint="eastAsia"/>
                <w:color w:val="000000" w:themeColor="text1"/>
                <w:sz w:val="20"/>
                <w:szCs w:val="20"/>
              </w:rPr>
              <w:t>全区</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bl>
    <w:p>
      <w:pPr>
        <w:rPr>
          <w:color w:val="000000" w:themeColor="text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roma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auto"/>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长城小标宋体">
    <w:panose1 w:val="02010609010101010101"/>
    <w:charset w:val="86"/>
    <w:family w:val="moder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DC74E1D"/>
    <w:rsid w:val="00030F69"/>
    <w:rsid w:val="00034EDC"/>
    <w:rsid w:val="00057CAC"/>
    <w:rsid w:val="00072188"/>
    <w:rsid w:val="00174163"/>
    <w:rsid w:val="002500EC"/>
    <w:rsid w:val="00250286"/>
    <w:rsid w:val="00287575"/>
    <w:rsid w:val="002F051E"/>
    <w:rsid w:val="0030741F"/>
    <w:rsid w:val="00346E43"/>
    <w:rsid w:val="00381BE9"/>
    <w:rsid w:val="003D725C"/>
    <w:rsid w:val="003E6E03"/>
    <w:rsid w:val="003E73C3"/>
    <w:rsid w:val="003F002B"/>
    <w:rsid w:val="00412D5E"/>
    <w:rsid w:val="0045089D"/>
    <w:rsid w:val="00521798"/>
    <w:rsid w:val="00557874"/>
    <w:rsid w:val="0056062C"/>
    <w:rsid w:val="00583535"/>
    <w:rsid w:val="005B7619"/>
    <w:rsid w:val="00677A9D"/>
    <w:rsid w:val="00772011"/>
    <w:rsid w:val="007751DF"/>
    <w:rsid w:val="007D24C2"/>
    <w:rsid w:val="007E2406"/>
    <w:rsid w:val="008973FB"/>
    <w:rsid w:val="009257B0"/>
    <w:rsid w:val="00966E80"/>
    <w:rsid w:val="00983065"/>
    <w:rsid w:val="00993D5F"/>
    <w:rsid w:val="00996C80"/>
    <w:rsid w:val="00A95BF6"/>
    <w:rsid w:val="00B36FA4"/>
    <w:rsid w:val="00B8083A"/>
    <w:rsid w:val="00B930A2"/>
    <w:rsid w:val="00BF41EF"/>
    <w:rsid w:val="00C11547"/>
    <w:rsid w:val="00C20388"/>
    <w:rsid w:val="00C267B5"/>
    <w:rsid w:val="00D02672"/>
    <w:rsid w:val="00DB5037"/>
    <w:rsid w:val="00DE78B2"/>
    <w:rsid w:val="00DF73A1"/>
    <w:rsid w:val="00E635D9"/>
    <w:rsid w:val="00E7578D"/>
    <w:rsid w:val="00E80771"/>
    <w:rsid w:val="00F36786"/>
    <w:rsid w:val="00F75F15"/>
    <w:rsid w:val="00FA4C0A"/>
    <w:rsid w:val="04A004E3"/>
    <w:rsid w:val="06F72626"/>
    <w:rsid w:val="072A5185"/>
    <w:rsid w:val="087C359F"/>
    <w:rsid w:val="08CF4D2C"/>
    <w:rsid w:val="091E7FE8"/>
    <w:rsid w:val="097E282F"/>
    <w:rsid w:val="0CE57CAE"/>
    <w:rsid w:val="0D1F7B15"/>
    <w:rsid w:val="0DAC3EBF"/>
    <w:rsid w:val="0E9E1EF3"/>
    <w:rsid w:val="10B553BA"/>
    <w:rsid w:val="12512503"/>
    <w:rsid w:val="13A22B01"/>
    <w:rsid w:val="15072958"/>
    <w:rsid w:val="1C5203C6"/>
    <w:rsid w:val="1C726B5E"/>
    <w:rsid w:val="1EE27BB0"/>
    <w:rsid w:val="1FE5662E"/>
    <w:rsid w:val="204A438F"/>
    <w:rsid w:val="20514806"/>
    <w:rsid w:val="2A1735F2"/>
    <w:rsid w:val="32C7424B"/>
    <w:rsid w:val="342220D9"/>
    <w:rsid w:val="350A68EF"/>
    <w:rsid w:val="367A550F"/>
    <w:rsid w:val="36BB3F3F"/>
    <w:rsid w:val="38B706F6"/>
    <w:rsid w:val="39A17860"/>
    <w:rsid w:val="3A0B26A0"/>
    <w:rsid w:val="3A6F49C1"/>
    <w:rsid w:val="3B7128E6"/>
    <w:rsid w:val="40CC5087"/>
    <w:rsid w:val="465D1987"/>
    <w:rsid w:val="49A921CC"/>
    <w:rsid w:val="49C97CA8"/>
    <w:rsid w:val="4C232830"/>
    <w:rsid w:val="4FDE4211"/>
    <w:rsid w:val="503373B0"/>
    <w:rsid w:val="51BD4229"/>
    <w:rsid w:val="52C929F2"/>
    <w:rsid w:val="53EA24C8"/>
    <w:rsid w:val="54E14EA8"/>
    <w:rsid w:val="596C243F"/>
    <w:rsid w:val="5BBF7814"/>
    <w:rsid w:val="5C111F3E"/>
    <w:rsid w:val="5C3939BA"/>
    <w:rsid w:val="60560BE9"/>
    <w:rsid w:val="60C57968"/>
    <w:rsid w:val="63065889"/>
    <w:rsid w:val="632B3D56"/>
    <w:rsid w:val="667C32DD"/>
    <w:rsid w:val="69283D7E"/>
    <w:rsid w:val="6A374F7E"/>
    <w:rsid w:val="6AC22CA6"/>
    <w:rsid w:val="6C9B4444"/>
    <w:rsid w:val="6E4F04BB"/>
    <w:rsid w:val="712311CE"/>
    <w:rsid w:val="745A72EC"/>
    <w:rsid w:val="74753989"/>
    <w:rsid w:val="7515721C"/>
    <w:rsid w:val="75FC7ED6"/>
    <w:rsid w:val="77F15D67"/>
    <w:rsid w:val="7A503585"/>
    <w:rsid w:val="7DC74E1D"/>
    <w:rsid w:val="7DF2015A"/>
    <w:rsid w:val="7E7E4E9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方正仿宋_GBK" w:hAnsi="方正仿宋_GBK" w:eastAsia="方正仿宋_GBK" w:cs="方正仿宋_GBK"/>
      <w:kern w:val="0"/>
      <w:sz w:val="32"/>
      <w:szCs w:val="32"/>
      <w:lang w:val="zh-CN" w:bidi="zh-CN"/>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41"/>
    <w:basedOn w:val="5"/>
    <w:qFormat/>
    <w:uiPriority w:val="0"/>
    <w:rPr>
      <w:rFonts w:hint="eastAsia" w:ascii="宋体" w:hAnsi="宋体" w:eastAsia="宋体" w:cs="宋体"/>
      <w:color w:val="000000"/>
      <w:sz w:val="20"/>
      <w:szCs w:val="20"/>
      <w:u w:val="none"/>
    </w:rPr>
  </w:style>
  <w:style w:type="character" w:customStyle="1" w:styleId="8">
    <w:name w:val="font91"/>
    <w:basedOn w:val="5"/>
    <w:qFormat/>
    <w:uiPriority w:val="0"/>
    <w:rPr>
      <w:rFonts w:hint="eastAsia" w:ascii="宋体" w:hAnsi="宋体" w:eastAsia="宋体" w:cs="宋体"/>
      <w:color w:val="000000"/>
      <w:sz w:val="20"/>
      <w:szCs w:val="20"/>
      <w:u w:val="none"/>
    </w:rPr>
  </w:style>
  <w:style w:type="character" w:customStyle="1" w:styleId="9">
    <w:name w:val="页眉 Char"/>
    <w:basedOn w:val="5"/>
    <w:link w:val="4"/>
    <w:qFormat/>
    <w:uiPriority w:val="0"/>
    <w:rPr>
      <w:rFonts w:asciiTheme="minorHAnsi" w:hAnsiTheme="minorHAnsi" w:eastAsiaTheme="minorEastAsia" w:cstheme="minorBidi"/>
      <w:kern w:val="2"/>
      <w:sz w:val="18"/>
      <w:szCs w:val="18"/>
    </w:rPr>
  </w:style>
  <w:style w:type="character" w:customStyle="1" w:styleId="10">
    <w:name w:val="页脚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243</Pages>
  <Words>14763</Words>
  <Characters>84150</Characters>
  <Lines>701</Lines>
  <Paragraphs>197</Paragraphs>
  <ScaleCrop>false</ScaleCrop>
  <LinksUpToDate>false</LinksUpToDate>
  <CharactersWithSpaces>98716</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2021-07-22T03:42:00Z</dcterms:created>
  <dc:creator>NTKO</dc:creator>
  <cp:lastModifiedBy>stj</cp:lastModifiedBy>
  <dcterms:modified xsi:type="dcterms:W3CDTF">2021-10-13T12:01:56Z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