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75"/>
        <w:gridCol w:w="1248"/>
        <w:gridCol w:w="1827"/>
        <w:gridCol w:w="1530"/>
        <w:gridCol w:w="2346"/>
        <w:gridCol w:w="1842"/>
        <w:gridCol w:w="1426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  <w:lang w:val="en-US" w:eastAsia="zh-CN"/>
              </w:rPr>
              <w:t>昆明市官渡区教育体育局市场监管</w:t>
            </w: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领域随机抽查事项清单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部门</w:t>
            </w:r>
          </w:p>
        </w:tc>
        <w:tc>
          <w:tcPr>
            <w:tcW w:w="3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抽查项目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事项类别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检查对象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检查方式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检查主体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抽查类别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  <w:t>抽查事项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 xml:space="preserve">官渡区教育体育局  (2类2项）  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年度检查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区属民办学校、幼儿园检查、评估。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一般检查事项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全区民办学校、幼儿园、培训机构、职业中专学校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现场检查或书面检查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官渡区教育体育局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《中华人民共和国民办教育促进法》第六章 管理与监督第四十一条；《云南省民办教育条例》。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学校安全工作的检查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学校安全工作的检查。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一般检查事项</w:t>
            </w:r>
          </w:p>
        </w:tc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官渡区区属公民办学校、幼儿园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现场检查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官渡区教育体育局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2"/>
              </w:rPr>
              <w:t>《中华人民共和国教育法》第四十五条；《中小学幼儿园安全管理办法》第六条；《云南省学校安全条例》第五条；《昆明市学校安全条例》。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A0D18"/>
    <w:rsid w:val="40EA0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2021-10-18T08:01:00Z</dcterms:created>
  <dc:creator>ACER</dc:creator>
  <cp:lastModifiedBy>ACER</cp:lastModifiedBy>
  <dcterms:modified xsi:type="dcterms:W3CDTF">2021-10-18T08:02:02Z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E6D8DFAD190C46759542014DCD530807</vt:lpwstr>
  </property>
</Properties>
</file>