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附件1.</w:t>
      </w:r>
    </w:p>
    <w:tbl>
      <w:tblPr>
        <w:tblStyle w:val="2"/>
        <w:tblW w:w="1407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35"/>
        <w:gridCol w:w="1373"/>
        <w:gridCol w:w="1784"/>
        <w:gridCol w:w="716"/>
        <w:gridCol w:w="1260"/>
        <w:gridCol w:w="1170"/>
        <w:gridCol w:w="1275"/>
        <w:gridCol w:w="3450"/>
        <w:gridCol w:w="85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tblHeader/>
        </w:trPr>
        <w:tc>
          <w:tcPr>
            <w:tcW w:w="14070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  <w:lang w:val="en-US" w:eastAsia="zh-CN"/>
              </w:rPr>
              <w:t>昆明市官渡区教育体育局市场监管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领域随机抽查事项清单（第二版）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抽查项目 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事项类别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检查主体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检查依据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适用区域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抽查类别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 xml:space="preserve">官渡区教育体育局  (2类2项）  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公示信息检查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区属民办学校、幼儿园检查、评估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一般检查事项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全区民办学校、幼儿园、培训机构、职业中专学校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现场检查或书面检查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官渡区教育体育局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《中华人民共和国民办教育促进法》第六章 管理与监督第四十一条；《云南省民办教育条例》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全区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对学校安全工作的检查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学校安全工作的检查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一般检查事项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官渡区区属公民办学校、幼儿园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官渡区教育体育局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《中华人民共和国教育法》第四十五条；《中小学幼儿园安全管理办法》第六条；《云南省学校安全条例》第五条；《昆明市学校安全条例》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全区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D261B"/>
    <w:rsid w:val="785D2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2021-10-18T07:56:00Z</dcterms:created>
  <dc:creator>ACER</dc:creator>
  <cp:lastModifiedBy>ACER</cp:lastModifiedBy>
  <dcterms:modified xsi:type="dcterms:W3CDTF">2021-10-18T07:57:20Z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0CB4A3BA8BCE4A6997FADF2AC26CAE55</vt:lpwstr>
  </property>
</Properties>
</file>