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olor w:val="000000"/>
          <w:sz w:val="32"/>
          <w:szCs w:val="32"/>
          <w:lang w:eastAsia="zh-CN"/>
        </w:rPr>
        <w:t>主动</w:t>
      </w:r>
      <w:r>
        <w:rPr>
          <w:rFonts w:hint="eastAsia" w:eastAsia="仿宋_GB2312" w:cs="仿宋_GB2312"/>
          <w:color w:val="000000"/>
          <w:sz w:val="32"/>
          <w:szCs w:val="32"/>
          <w:lang w:eastAsia="zh-CN"/>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130</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关于政协官渡区九届五次会议第95</w:t>
      </w:r>
      <w:r>
        <w:rPr>
          <w:rFonts w:hint="eastAsia" w:eastAsia="方正小标宋_GBK" w:cs="Times New Roman"/>
          <w:color w:val="000000"/>
          <w:sz w:val="44"/>
          <w:szCs w:val="44"/>
          <w:lang w:val="en-US" w:eastAsia="zh-CN"/>
        </w:rPr>
        <w:t>025</w:t>
      </w:r>
      <w:r>
        <w:rPr>
          <w:rFonts w:hint="default" w:ascii="Times New Roman" w:hAnsi="Times New Roman" w:eastAsia="方正小标宋_GBK" w:cs="Times New Roman"/>
          <w:color w:val="000000"/>
          <w:sz w:val="44"/>
          <w:szCs w:val="4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提案答复的函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谭文静</w:t>
      </w:r>
      <w:r>
        <w:rPr>
          <w:rFonts w:hint="default" w:ascii="Times New Roman" w:hAnsi="Times New Roman" w:eastAsia="仿宋_GB2312" w:cs="Times New Roman"/>
          <w:color w:val="000000"/>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您们提出的《</w:t>
      </w:r>
      <w:r>
        <w:rPr>
          <w:rFonts w:hint="eastAsia" w:ascii="Times New Roman" w:hAnsi="Times New Roman" w:eastAsia="仿宋_GB2312" w:cs="Times New Roman"/>
          <w:color w:val="000000"/>
          <w:sz w:val="32"/>
          <w:szCs w:val="32"/>
          <w:lang w:eastAsia="zh-CN"/>
        </w:rPr>
        <w:t>关于发展关上片区夜间经济的建议</w:t>
      </w:r>
      <w:r>
        <w:rPr>
          <w:rFonts w:hint="default" w:ascii="Times New Roman" w:hAnsi="Times New Roman" w:eastAsia="仿宋_GB2312" w:cs="Times New Roman"/>
          <w:color w:val="000000"/>
          <w:sz w:val="32"/>
          <w:szCs w:val="32"/>
        </w:rPr>
        <w:t>》提案收悉，现答复如下：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4月15日，云南省人民政府办公厅下发《关于促进夜间经济发展的指导意见》（云政办发〔2020〕20号），根据“市场主导、政府引导、包容多元、彰显特色”原则，坚持以餐饮为基础、以文化为灵魂、以购物为支撑、以旅游为带动、以亮化为辅助、以政策为保障，培育夜间经济发展载体，完善夜间经济保障体系，进一步提升夜间经济对全省消费经济增长的拉动作用。《指导意见》指出，用3年时间在全省打造一批具有鲜明地方特色与浓郁民族风情的夜间经济集聚区，逐步形成布局合理、功能完善、业态多元、管理规范的夜间经济发展格局，围绕“打造夜间经济地标、升级夜间经济商圈、培育夜间经济生活圈”三个工作目标，提出“加强规划引领、丰富消费业态、拓展体育市场、鼓励延时经营、推动数字升级、包容审慎监管、优化交通组织、美化灯光造景”八项主要任务，大力发展夜间经济，激发消费潜力，更好，满足人民群众消费升级需求，促进全省经济社会持续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8月7日，昆明市商务局关于印发《昆明市促进夜间经济发展实施意见》的通知（昆商务〔2020〕63号），按照“历史与现代并融、经济和文化并举、消费和旅游并进”的思路，用3年时间打造15—20个夜间经济集聚区、3条夜间旅游特色线路，打造10个夜旅游项目、10个夜经济文化项目、10个夜经济体育项目，形成有吃头、有玩头、有看头、有文化、有消费的夜经济发展格局。《实施意见》以“打造夜间地标项目、升级夜间经济商圈、提质夜间特色街区”为夜间消费载体，繁荣发展夜间“文化消费、旅游消费、娱乐消费、餐饮消费、体育消费”业态，从“发挥财政政策作用、优化夜间公交服务、优化夜间停车服务、优化夜间营商环境、完善夜间配套设施、完善夜间安全服务、优化夜间数字服务、适当放宽城市管理、加强消费诚信建设”九个方面提供支持措施，打造“历史文化特色鲜明、商业氛围浓厚、宾客游人流连忘返”的城市消费夜经济，使其成为城市发展的新景观、新载体、新名片、新亮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1月18日，官渡区人民政府《关于印发官渡区促进夜间经济发展实施方案的通知》（官政发〔2021〕5号），明确以打造“夜享官渡”为主题，不断丰富“夜购”“夜食”“夜娱”的新业态新模式，不断完善夜间公共服务，优化夜间经济营商环境，切实提升夜间经济活力，积极促进官渡区消费升级，</w:t>
      </w:r>
      <w:r>
        <w:rPr>
          <w:rFonts w:hint="default" w:ascii="Times New Roman" w:hAnsi="Times New Roman" w:eastAsia="仿宋_GB2312" w:cs="Times New Roman"/>
          <w:sz w:val="32"/>
          <w:szCs w:val="32"/>
          <w:lang w:val="en-US" w:eastAsia="zh-CN"/>
        </w:rPr>
        <w:t>基本形成功能完善、业态多样、管理规范</w:t>
      </w:r>
      <w:r>
        <w:rPr>
          <w:rFonts w:hint="eastAsia" w:ascii="Times New Roman" w:hAnsi="Times New Roman" w:eastAsia="仿宋_GB2312" w:cs="Times New Roman"/>
          <w:sz w:val="32"/>
          <w:szCs w:val="32"/>
          <w:lang w:val="en-US" w:eastAsia="zh-CN"/>
        </w:rPr>
        <w:t>、商旅文体深度融合</w:t>
      </w:r>
      <w:r>
        <w:rPr>
          <w:rFonts w:hint="default" w:ascii="Times New Roman" w:hAnsi="Times New Roman" w:eastAsia="仿宋_GB2312" w:cs="Times New Roman"/>
          <w:sz w:val="32"/>
          <w:szCs w:val="32"/>
          <w:lang w:val="en-US" w:eastAsia="zh-CN"/>
        </w:rPr>
        <w:t>的夜间经济发展格局</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snapToGrid w:val="0"/>
          <w:kern w:val="0"/>
          <w:sz w:val="32"/>
          <w:szCs w:val="32"/>
        </w:rPr>
      </w:pPr>
      <w:r>
        <w:rPr>
          <w:rFonts w:eastAsia="仿宋_GB2312"/>
          <w:b/>
          <w:bCs/>
          <w:sz w:val="32"/>
          <w:szCs w:val="32"/>
        </w:rPr>
        <w:t>1.提质夜间古镇特色街区。</w:t>
      </w:r>
      <w:r>
        <w:rPr>
          <w:rFonts w:eastAsia="仿宋_GB2312"/>
          <w:sz w:val="32"/>
          <w:szCs w:val="32"/>
        </w:rPr>
        <w:t>依托官渡古镇特色历史文化资源及</w:t>
      </w:r>
      <w:r>
        <w:rPr>
          <w:rFonts w:eastAsia="仿宋_GB2312"/>
          <w:sz w:val="32"/>
          <w:szCs w:val="32"/>
          <w:lang w:bidi="ar"/>
        </w:rPr>
        <w:t>中国普洱茶中心暨普洱茶博物馆项目建设契机，进一步完善设施、调整业态、提升品质，在设施提升改造中融入“古渡口文化”，结合官渡地域文化故事形成建筑投影灯光秀，拓展普洱茶数字博物馆影响力，调整零售、餐饮、民宿等业态布局，提升业态品质，充分整合金刚塔文物古迹、</w:t>
      </w:r>
      <w:r>
        <w:rPr>
          <w:rFonts w:eastAsia="仿宋_GB2312"/>
          <w:sz w:val="32"/>
          <w:szCs w:val="32"/>
        </w:rPr>
        <w:t>乌铜走银非遗传承、云子围棋特色技艺、古渡梨园滇剧花灯、老字号官渡传统小吃、精品民宿聚集等优势特色资源，</w:t>
      </w:r>
      <w:r>
        <w:rPr>
          <w:rFonts w:hint="eastAsia" w:eastAsia="仿宋_GB2312"/>
          <w:sz w:val="32"/>
          <w:szCs w:val="32"/>
          <w:lang w:bidi="ar"/>
        </w:rPr>
        <w:t>鼓励商家适当延长营业时间1-2小时，</w:t>
      </w:r>
      <w:r>
        <w:rPr>
          <w:rFonts w:eastAsia="仿宋_GB2312"/>
          <w:sz w:val="32"/>
          <w:szCs w:val="32"/>
          <w:lang w:bidi="ar"/>
        </w:rPr>
        <w:t>结</w:t>
      </w:r>
      <w:r>
        <w:rPr>
          <w:rFonts w:eastAsia="仿宋_GB2312"/>
          <w:sz w:val="32"/>
          <w:szCs w:val="32"/>
        </w:rPr>
        <w:t>合元旦、春节、端午、中秋、国庆等传统节日策划各类民俗文化展演、巡演、体验的特色节庆活动，同时延伸茶道、棋艺、禅修</w:t>
      </w:r>
      <w:r>
        <w:rPr>
          <w:rFonts w:hint="eastAsia" w:eastAsia="仿宋_GB2312"/>
          <w:sz w:val="32"/>
          <w:szCs w:val="32"/>
        </w:rPr>
        <w:t>、汉服时装秀</w:t>
      </w:r>
      <w:r>
        <w:rPr>
          <w:rFonts w:eastAsia="仿宋_GB2312"/>
          <w:sz w:val="32"/>
          <w:szCs w:val="32"/>
        </w:rPr>
        <w:t>等活动内容，</w:t>
      </w:r>
      <w:r>
        <w:rPr>
          <w:rFonts w:hint="eastAsia" w:eastAsia="仿宋_GB2312"/>
          <w:sz w:val="32"/>
          <w:szCs w:val="32"/>
        </w:rPr>
        <w:t>形成“本地人常去、外地人必去”的网红打卡</w:t>
      </w:r>
      <w:r>
        <w:rPr>
          <w:rFonts w:eastAsia="仿宋_GB2312"/>
          <w:sz w:val="32"/>
          <w:szCs w:val="32"/>
        </w:rPr>
        <w:t>夜间经济特色街区。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kern w:val="0"/>
          <w:sz w:val="32"/>
          <w:szCs w:val="32"/>
        </w:rPr>
      </w:pPr>
      <w:r>
        <w:rPr>
          <w:rFonts w:eastAsia="仿宋_GB2312"/>
          <w:b/>
          <w:bCs/>
          <w:sz w:val="32"/>
          <w:szCs w:val="32"/>
        </w:rPr>
        <w:t>2.打造夜间经济聚集区域。</w:t>
      </w:r>
      <w:r>
        <w:rPr>
          <w:rFonts w:eastAsia="仿宋_GB2312"/>
          <w:kern w:val="0"/>
          <w:sz w:val="32"/>
          <w:szCs w:val="32"/>
        </w:rPr>
        <w:t>主要以世纪金源购物中心、新亚洲体育城、</w:t>
      </w:r>
      <w:r>
        <w:rPr>
          <w:rFonts w:hint="eastAsia" w:eastAsia="仿宋_GB2312"/>
          <w:kern w:val="0"/>
          <w:sz w:val="32"/>
          <w:szCs w:val="32"/>
        </w:rPr>
        <w:t>俊发</w:t>
      </w:r>
      <w:r>
        <w:rPr>
          <w:rFonts w:hint="eastAsia" w:ascii="仿宋_GB2312" w:hAnsi="仿宋_GB2312" w:eastAsia="仿宋_GB2312" w:cs="仿宋_GB2312"/>
          <w:kern w:val="0"/>
          <w:sz w:val="32"/>
          <w:szCs w:val="32"/>
        </w:rPr>
        <w:t>・</w:t>
      </w:r>
      <w:r>
        <w:rPr>
          <w:rFonts w:hint="eastAsia" w:eastAsia="仿宋_GB2312"/>
          <w:kern w:val="0"/>
          <w:sz w:val="32"/>
          <w:szCs w:val="32"/>
        </w:rPr>
        <w:t>新螺蛳湾国际商贸城、</w:t>
      </w:r>
      <w:r>
        <w:rPr>
          <w:rFonts w:eastAsia="仿宋_GB2312"/>
          <w:kern w:val="0"/>
          <w:sz w:val="32"/>
          <w:szCs w:val="32"/>
        </w:rPr>
        <w:t>大都摩天购物中心、海乐城、王府井奥特莱斯滇池小镇</w:t>
      </w:r>
      <w:r>
        <w:rPr>
          <w:rFonts w:hint="eastAsia" w:eastAsia="仿宋_GB2312"/>
          <w:kern w:val="0"/>
          <w:sz w:val="32"/>
          <w:szCs w:val="32"/>
        </w:rPr>
        <w:t>、</w:t>
      </w:r>
      <w:r>
        <w:rPr>
          <w:rFonts w:eastAsia="仿宋_GB2312"/>
          <w:kern w:val="0"/>
          <w:sz w:val="32"/>
          <w:szCs w:val="32"/>
        </w:rPr>
        <w:t>为重点区域，以昆明国际会展中心、银海清溪渡购物广场、云路中心、铭泰商业广场、银海尚御幸福广场为延伸区域，同时兼顾关上野生菌美食街、珥季路餐饮聚集区以及辖区有条件形成特色夜市的区域，鼓励夜间经济区主办方进一步完善设施、提升品质、调整业态、延长营业时间，支持企业结合自身优势特点打造夜间促进消费活动、特色美食打卡活动、夜间文化娱乐活动、夜间体育健身活动，积极引入深夜食堂、深夜影院、深夜书店、</w:t>
      </w:r>
      <w:r>
        <w:rPr>
          <w:rFonts w:hint="eastAsia" w:eastAsia="仿宋_GB2312"/>
          <w:kern w:val="0"/>
          <w:sz w:val="32"/>
          <w:szCs w:val="32"/>
        </w:rPr>
        <w:t>夜间小型动物园、</w:t>
      </w:r>
      <w:r>
        <w:rPr>
          <w:rFonts w:eastAsia="仿宋_GB2312"/>
          <w:kern w:val="0"/>
          <w:sz w:val="32"/>
          <w:szCs w:val="32"/>
        </w:rPr>
        <w:t>文化市集、后备箱市集、运动公园、小型音乐节、驻场秀、实景演出、移动球场、24小时便利店、24小时健身房等多种元素，创新思路打造官渡区“夜购”“夜食”“夜娱”新兴业态，提升</w:t>
      </w:r>
      <w:r>
        <w:rPr>
          <w:rFonts w:hint="eastAsia" w:eastAsia="仿宋_GB2312"/>
          <w:kern w:val="0"/>
          <w:sz w:val="32"/>
          <w:szCs w:val="32"/>
        </w:rPr>
        <w:t>大众</w:t>
      </w:r>
      <w:r>
        <w:rPr>
          <w:rFonts w:eastAsia="仿宋_GB2312"/>
          <w:kern w:val="0"/>
          <w:sz w:val="32"/>
          <w:szCs w:val="32"/>
        </w:rPr>
        <w:t>夜经济消费体验。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kern w:val="0"/>
          <w:sz w:val="32"/>
          <w:szCs w:val="32"/>
          <w:lang w:eastAsia="zh-CN"/>
        </w:rPr>
        <w:t>同时，从</w:t>
      </w:r>
      <w:r>
        <w:rPr>
          <w:rFonts w:hint="eastAsia" w:ascii="Times New Roman" w:hAnsi="Times New Roman" w:eastAsia="仿宋_GB2312" w:cs="Times New Roman"/>
          <w:sz w:val="32"/>
          <w:szCs w:val="32"/>
          <w:lang w:val="en-US" w:eastAsia="zh-CN"/>
        </w:rPr>
        <w:t>繁荣丰富“夜享购物消费、夜享特色美食、夜享文化艺术、夜享娱乐休闲、夜享体育健身”等方面夜间经济业态，从政策支持、包容审慎监管、完善配套设施优化交通组织、净化消费环境、美化灯光造景、推动数字升级等方面形成部门统筹协调、配合联动，加快促进夜间经济发展，培育辖区经济新增长点。</w:t>
      </w:r>
    </w:p>
    <w:p>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kinsoku/>
        <w:wordWrap/>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keepNext w:val="0"/>
        <w:keepLines w:val="0"/>
        <w:pageBreakBefore w:val="0"/>
        <w:kinsoku/>
        <w:wordWrap/>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（联系人及电话：</w:t>
      </w:r>
      <w:r>
        <w:rPr>
          <w:rFonts w:hint="eastAsia" w:ascii="Times New Roman" w:hAnsi="Times New Roman" w:eastAsia="仿宋_GB2312" w:cs="Times New Roman"/>
          <w:color w:val="000000"/>
          <w:sz w:val="32"/>
          <w:szCs w:val="32"/>
          <w:lang w:eastAsia="zh-CN"/>
        </w:rPr>
        <w:t>周雯俊</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182</w:t>
      </w:r>
      <w:r>
        <w:rPr>
          <w:rFonts w:hint="eastAsia" w:eastAsia="仿宋_GB2312" w:cs="Times New Roman"/>
          <w:color w:val="000000"/>
          <w:sz w:val="32"/>
          <w:szCs w:val="32"/>
          <w:lang w:val="en-US" w:eastAsia="zh-CN"/>
        </w:rPr>
        <w:t>****</w:t>
      </w:r>
      <w:bookmarkStart w:id="0" w:name="_GoBack"/>
      <w:bookmarkEnd w:id="0"/>
      <w:r>
        <w:rPr>
          <w:rFonts w:hint="eastAsia" w:ascii="Times New Roman" w:hAnsi="Times New Roman" w:eastAsia="仿宋_GB2312" w:cs="Times New Roman"/>
          <w:color w:val="000000"/>
          <w:sz w:val="32"/>
          <w:szCs w:val="32"/>
          <w:lang w:val="en-US" w:eastAsia="zh-CN"/>
        </w:rPr>
        <w:t>8473</w:t>
      </w:r>
      <w:r>
        <w:rPr>
          <w:rFonts w:hint="default" w:ascii="Times New Roman" w:hAnsi="Times New Roman" w:eastAsia="仿宋_GB2312" w:cs="Times New Roman"/>
          <w:color w:val="000000"/>
          <w:sz w:val="32"/>
          <w:szCs w:val="32"/>
        </w:rPr>
        <w:t>）</w:t>
      </w:r>
    </w:p>
    <w:p>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日</w:t>
      </w:r>
    </w:p>
    <w:tbl>
      <w:tblPr>
        <w:tblStyle w:val="7"/>
        <w:tblpPr w:leftFromText="180" w:rightFromText="180" w:vertAnchor="text" w:horzAnchor="page" w:tblpX="1663" w:tblpY="403"/>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21</w:t>
            </w:r>
            <w:r>
              <w:rPr>
                <w:rFonts w:eastAsia="仿宋_GB2312"/>
                <w:snapToGrid w:val="0"/>
                <w:sz w:val="28"/>
                <w:szCs w:val="28"/>
              </w:rPr>
              <w:t>日印发</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6EAF6-9F86-4A22-AC7F-4DBF0E0516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B5D481-3C2A-4B87-AE4B-805EE2A3E46E}"/>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42745582-71CA-4F70-A003-F0338A8B256A}"/>
  </w:font>
  <w:font w:name="方正仿宋_GBK">
    <w:altName w:val="微软雅黑"/>
    <w:panose1 w:val="03000509000000000000"/>
    <w:charset w:val="86"/>
    <w:family w:val="script"/>
    <w:pitch w:val="default"/>
    <w:sig w:usb0="00000000" w:usb1="00000000" w:usb2="00000000" w:usb3="00000000" w:csb0="00040000" w:csb1="00000000"/>
    <w:embedRegular r:id="rId4" w:fontKey="{C82F392B-5C21-467F-BEB9-770F5D37F27D}"/>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4DFADCC8-D32B-4C03-A137-5DF0091F2437}"/>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83B23"/>
    <w:rsid w:val="024628FA"/>
    <w:rsid w:val="04BC2A72"/>
    <w:rsid w:val="0D883B23"/>
    <w:rsid w:val="17397720"/>
    <w:rsid w:val="1A4E3B82"/>
    <w:rsid w:val="233D2993"/>
    <w:rsid w:val="267B7718"/>
    <w:rsid w:val="26FE1036"/>
    <w:rsid w:val="3DD516A1"/>
    <w:rsid w:val="3DFD75F1"/>
    <w:rsid w:val="40AB2255"/>
    <w:rsid w:val="42714125"/>
    <w:rsid w:val="598D4112"/>
    <w:rsid w:val="63C17E4E"/>
    <w:rsid w:val="6C2F1A75"/>
    <w:rsid w:val="6FF27272"/>
    <w:rsid w:val="7A7D4632"/>
    <w:rsid w:val="7CA261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firstLine="420"/>
    </w:pPr>
    <w:rPr>
      <w:kern w:val="0"/>
      <w:szCs w:val="21"/>
    </w:rPr>
  </w:style>
  <w:style w:type="paragraph" w:styleId="3">
    <w:name w:val="Body Text Indent"/>
    <w:basedOn w:val="1"/>
    <w:next w:val="2"/>
    <w:qFormat/>
    <w:uiPriority w:val="0"/>
    <w:pPr>
      <w:spacing w:after="120"/>
      <w:ind w:left="420" w:leftChars="200"/>
    </w:pPr>
  </w:style>
  <w:style w:type="paragraph" w:styleId="4">
    <w:name w:val="toa heading"/>
    <w:basedOn w:val="1"/>
    <w:next w:val="1"/>
    <w:qFormat/>
    <w:uiPriority w:val="0"/>
    <w:pPr>
      <w:spacing w:before="120"/>
    </w:pPr>
    <w:rPr>
      <w:rFonts w:ascii="Cambria" w:hAnsi="Cambria" w:cs="Cambria"/>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rPr>
      <w:rFonts w:ascii="Times New Roman" w:hAnsi="Times New Roman" w:eastAsia="宋体" w:cs="Times New Roman"/>
      <w:szCs w:val="20"/>
    </w:rPr>
  </w:style>
  <w:style w:type="paragraph" w:customStyle="1" w:styleId="1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2021-07-05T08:58:00Z</dcterms:created>
  <dc:creator>stj</dc:creator>
  <cp:lastModifiedBy>。。。</cp:lastModifiedBy>
  <dcterms:modified xsi:type="dcterms:W3CDTF">2022-02-22T01:43:15Z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50C83F7CB0494C9AB19883EB80FD6960</vt:lpwstr>
  </property>
</Properties>
</file>