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eastAsia="黑体" w:cs="黑体"/>
          <w:color w:val="000000"/>
          <w:sz w:val="32"/>
          <w:szCs w:val="32"/>
        </w:rPr>
      </w:pPr>
    </w:p>
    <w:p>
      <w:pPr>
        <w:ind w:right="-512" w:rightChars="-244"/>
        <w:rPr>
          <w:rFonts w:eastAsia="方正小标宋_GBK"/>
          <w:color w:val="FF0000"/>
          <w:sz w:val="96"/>
          <w:szCs w:val="96"/>
        </w:rPr>
      </w:pPr>
      <w:r>
        <w:rPr>
          <w:rFonts w:hint="eastAsia" w:ascii="方正小标宋_GBK" w:hAnsi="方正小标宋_GBK" w:eastAsia="方正小标宋_GBK" w:cs="方正小标宋_GBK"/>
          <w:color w:val="FF0000"/>
          <w:w w:val="63"/>
          <w:sz w:val="96"/>
          <w:szCs w:val="96"/>
        </w:rPr>
        <w:t>昆明市官渡区商务和投资促进局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35pt;margin-top:3pt;height:3.45pt;width:446.25pt;z-index:251660288;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0P1G9cAAAAIAQAADwAAAAAAAAABACAAAAAiAAAA&#10;ZHJzL2Rvd25yZXYueG1sUEsBAhQAFAAAAAgAh07iQBIMP/AIAgAAAQQAAA4AAAAAAAAAAQAgAAAA&#10;JgEAAGRycy9lMm9Eb2MueG1sUEsFBgAAAAAGAAYAWQEAAKAFA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A类</w:t>
      </w: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 xml:space="preserve">        </w:t>
      </w:r>
      <w:r>
        <w:rPr>
          <w:rFonts w:hint="eastAsia" w:eastAsia="仿宋_GB2312"/>
          <w:color w:val="000000"/>
          <w:sz w:val="32"/>
          <w:szCs w:val="32"/>
          <w:lang w:eastAsia="zh-CN"/>
        </w:rPr>
        <w:t>主动</w:t>
      </w:r>
      <w:r>
        <w:rPr>
          <w:rFonts w:hint="eastAsia" w:eastAsia="仿宋_GB2312" w:cs="仿宋_GB2312"/>
          <w:color w:val="000000"/>
          <w:sz w:val="32"/>
          <w:szCs w:val="32"/>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rPr>
        <w:t>商投函〔2021〕</w:t>
      </w:r>
      <w:r>
        <w:rPr>
          <w:rFonts w:hint="eastAsia" w:eastAsia="仿宋_GB2312" w:cs="仿宋_GB2312"/>
          <w:color w:val="000000"/>
          <w:sz w:val="32"/>
          <w:szCs w:val="32"/>
          <w:lang w:val="en-US" w:eastAsia="zh-CN"/>
        </w:rPr>
        <w:t>126</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shd w:val="clear"/>
        <w:bidi w:val="0"/>
        <w:spacing w:before="0" w:after="0" w:line="560" w:lineRule="exact"/>
        <w:ind w:left="0" w:right="0" w:firstLine="0"/>
        <w:jc w:val="center"/>
        <w:rPr>
          <w:rFonts w:hint="eastAsia" w:ascii="方正小标宋_GBK" w:hAnsi="方正小标宋_GBK" w:eastAsia="方正小标宋_GBK" w:cs="方正小标宋_GBK"/>
          <w:spacing w:val="0"/>
          <w:w w:val="100"/>
          <w:kern w:val="2"/>
          <w:position w:val="0"/>
          <w:sz w:val="44"/>
          <w:szCs w:val="44"/>
          <w:shd w:val="clear"/>
          <w:lang w:eastAsia="zh-CN" w:bidi="ar-SA"/>
        </w:rPr>
      </w:pPr>
      <w:r>
        <w:rPr>
          <w:rFonts w:hint="eastAsia" w:ascii="方正小标宋_GBK" w:hAnsi="方正小标宋_GBK" w:eastAsia="方正小标宋_GBK" w:cs="方正小标宋_GBK"/>
          <w:spacing w:val="0"/>
          <w:w w:val="100"/>
          <w:kern w:val="2"/>
          <w:position w:val="0"/>
          <w:sz w:val="44"/>
          <w:szCs w:val="44"/>
          <w:shd w:val="clear"/>
          <w:lang w:eastAsia="zh-CN" w:bidi="ar-SA"/>
        </w:rPr>
        <w:t>关于政协官渡区九届五次会议第95103号</w:t>
      </w:r>
    </w:p>
    <w:p>
      <w:pPr>
        <w:keepNext w:val="0"/>
        <w:keepLines w:val="0"/>
        <w:shd w:val="clear"/>
        <w:bidi w:val="0"/>
        <w:spacing w:before="0" w:after="0" w:line="560" w:lineRule="exact"/>
        <w:ind w:left="0" w:right="0" w:firstLine="0"/>
        <w:jc w:val="center"/>
        <w:rPr>
          <w:rFonts w:hint="eastAsia" w:ascii="方正小标宋_GBK" w:hAnsi="方正小标宋_GBK" w:eastAsia="方正小标宋_GBK" w:cs="方正小标宋_GBK"/>
          <w:spacing w:val="0"/>
          <w:w w:val="100"/>
          <w:kern w:val="2"/>
          <w:position w:val="0"/>
          <w:sz w:val="44"/>
          <w:szCs w:val="44"/>
          <w:shd w:val="clear"/>
          <w:lang w:eastAsia="zh-CN" w:bidi="ar-SA"/>
        </w:rPr>
      </w:pPr>
      <w:r>
        <w:rPr>
          <w:rFonts w:hint="eastAsia" w:ascii="方正小标宋_GBK" w:hAnsi="方正小标宋_GBK" w:eastAsia="方正小标宋_GBK" w:cs="方正小标宋_GBK"/>
          <w:spacing w:val="0"/>
          <w:w w:val="100"/>
          <w:kern w:val="2"/>
          <w:position w:val="0"/>
          <w:sz w:val="44"/>
          <w:szCs w:val="44"/>
          <w:shd w:val="clear"/>
          <w:lang w:eastAsia="zh-CN" w:bidi="ar-SA"/>
        </w:rPr>
        <w:t>提案答复的函</w:t>
      </w:r>
    </w:p>
    <w:p>
      <w:pPr>
        <w:keepNext w:val="0"/>
        <w:keepLines w:val="0"/>
        <w:pageBreakBefore w:val="0"/>
        <w:widowControl w:val="0"/>
        <w:kinsoku/>
        <w:overflowPunct/>
        <w:topLinePunct w:val="0"/>
        <w:autoSpaceDE/>
        <w:autoSpaceDN/>
        <w:bidi w:val="0"/>
        <w:adjustRightInd/>
        <w:spacing w:line="560" w:lineRule="exact"/>
        <w:textAlignment w:val="auto"/>
        <w:rPr>
          <w:rFonts w:hint="eastAsia" w:eastAsia="仿宋_GB2312"/>
          <w:color w:val="000000"/>
          <w:sz w:val="32"/>
          <w:szCs w:val="32"/>
          <w:lang w:eastAsia="zh-CN"/>
        </w:rPr>
      </w:pPr>
    </w:p>
    <w:p>
      <w:pPr>
        <w:keepNext w:val="0"/>
        <w:keepLines w:val="0"/>
        <w:pageBreakBefore w:val="0"/>
        <w:widowControl w:val="0"/>
        <w:kinsoku/>
        <w:overflowPunct/>
        <w:topLinePunct w:val="0"/>
        <w:autoSpaceDE/>
        <w:autoSpaceDN/>
        <w:bidi w:val="0"/>
        <w:adjustRightInd/>
        <w:spacing w:line="520" w:lineRule="exact"/>
        <w:textAlignment w:val="auto"/>
        <w:rPr>
          <w:rFonts w:eastAsia="仿宋_GB2312"/>
          <w:color w:val="000000"/>
          <w:sz w:val="32"/>
          <w:szCs w:val="32"/>
        </w:rPr>
      </w:pPr>
      <w:r>
        <w:rPr>
          <w:rFonts w:hint="eastAsia" w:eastAsia="仿宋_GB2312"/>
          <w:color w:val="000000"/>
          <w:sz w:val="32"/>
          <w:szCs w:val="32"/>
          <w:lang w:eastAsia="zh-CN"/>
        </w:rPr>
        <w:t>工商联二组</w:t>
      </w:r>
      <w:r>
        <w:rPr>
          <w:rFonts w:hint="eastAsia" w:eastAsia="仿宋_GB2312"/>
          <w:color w:val="000000"/>
          <w:sz w:val="32"/>
          <w:szCs w:val="32"/>
        </w:rPr>
        <w:t>：</w:t>
      </w:r>
    </w:p>
    <w:p>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 非常感谢</w:t>
      </w:r>
      <w:r>
        <w:rPr>
          <w:rFonts w:hint="eastAsia" w:eastAsia="仿宋_GB2312"/>
          <w:color w:val="000000"/>
          <w:sz w:val="32"/>
          <w:szCs w:val="32"/>
          <w:lang w:eastAsia="zh-CN"/>
        </w:rPr>
        <w:t>贵组</w:t>
      </w:r>
      <w:r>
        <w:rPr>
          <w:rFonts w:hint="eastAsia" w:eastAsia="仿宋_GB2312"/>
          <w:color w:val="000000"/>
          <w:sz w:val="32"/>
          <w:szCs w:val="32"/>
        </w:rPr>
        <w:t>对官渡区经济、社会发展的关心和支持，</w:t>
      </w:r>
      <w:r>
        <w:rPr>
          <w:rFonts w:hint="eastAsia" w:eastAsia="仿宋_GB2312"/>
          <w:color w:val="000000"/>
          <w:sz w:val="32"/>
          <w:szCs w:val="32"/>
          <w:lang w:eastAsia="zh-CN"/>
        </w:rPr>
        <w:t>贵组</w:t>
      </w:r>
      <w:r>
        <w:rPr>
          <w:rFonts w:hint="eastAsia" w:eastAsia="仿宋_GB2312"/>
          <w:color w:val="000000"/>
          <w:sz w:val="32"/>
          <w:szCs w:val="32"/>
        </w:rPr>
        <w:t>在“中国人民政治协商会议昆明市官渡区第九届委员会第五次会议”中提出的《关于巫家坝片区升级改造后对促进经济发展，保民生、保就业的专业市场甄选后尽量留在官渡区的建议》提案（第95</w:t>
      </w:r>
      <w:r>
        <w:rPr>
          <w:rFonts w:hint="eastAsia" w:eastAsia="仿宋_GB2312"/>
          <w:color w:val="000000"/>
          <w:sz w:val="32"/>
          <w:szCs w:val="32"/>
          <w:lang w:val="en-US" w:eastAsia="zh-CN"/>
        </w:rPr>
        <w:t>10</w:t>
      </w:r>
      <w:r>
        <w:rPr>
          <w:rFonts w:hint="eastAsia" w:eastAsia="仿宋_GB2312"/>
          <w:color w:val="000000"/>
          <w:sz w:val="32"/>
          <w:szCs w:val="32"/>
        </w:rPr>
        <w:t>3号）由我局牵头负责办理，经与协办单位共同认真研究，现结合我局职能职责及协办单位意见，对提案中的意见和建议回复如下：</w:t>
      </w:r>
    </w:p>
    <w:p>
      <w:pPr>
        <w:keepNext w:val="0"/>
        <w:keepLines w:val="0"/>
        <w:pageBreakBefore w:val="0"/>
        <w:widowControl w:val="0"/>
        <w:numPr>
          <w:ilvl w:val="0"/>
          <w:numId w:val="1"/>
        </w:numPr>
        <w:kinsoku/>
        <w:overflowPunct/>
        <w:topLinePunct w:val="0"/>
        <w:autoSpaceDE/>
        <w:autoSpaceDN/>
        <w:bidi w:val="0"/>
        <w:adjustRightInd/>
        <w:spacing w:line="520" w:lineRule="exact"/>
        <w:ind w:firstLine="660"/>
        <w:textAlignment w:val="auto"/>
        <w:rPr>
          <w:rFonts w:ascii="黑体" w:hAnsi="黑体" w:eastAsia="黑体" w:cs="黑体"/>
          <w:sz w:val="32"/>
        </w:rPr>
      </w:pPr>
      <w:r>
        <w:rPr>
          <w:rFonts w:hint="eastAsia" w:ascii="黑体" w:hAnsi="黑体" w:eastAsia="黑体" w:cs="黑体"/>
          <w:sz w:val="32"/>
        </w:rPr>
        <w:t>巫家坝片区商品交易市场纾解背景</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巫家坝片区土地一级开发主体为昆明市政府平台公司即昆明市城投公司，该公司取得昆明市政府授权并负责巫家坝片区的开发建设工作。该公司授权开发面积为28.86平方公里，其中核心片区为15.87平方公里，除产业开发建设外，在核心区内规划建设5070亩中央公园。按照当时昆明市统筹规划及安排部署，2016年市商务局</w:t>
      </w:r>
      <w:r>
        <w:rPr>
          <w:rFonts w:eastAsia="仿宋_GB2312"/>
          <w:color w:val="000000"/>
          <w:sz w:val="32"/>
          <w:szCs w:val="32"/>
        </w:rPr>
        <w:t>结合巫家坝、草海、凉亭、五里多等片区开发改造计划，</w:t>
      </w:r>
      <w:r>
        <w:rPr>
          <w:rFonts w:hint="eastAsia" w:eastAsia="仿宋_GB2312"/>
          <w:color w:val="000000"/>
          <w:sz w:val="32"/>
          <w:szCs w:val="32"/>
        </w:rPr>
        <w:t>制定出台了《昆明市人民政府办公厅关于印发昆明市主城区商品交易市场疏解工作实施方案的通知》（昆政办〔2016〕115号）（以下简称“实施方案”），其中，巫家坝片区有39个列入“实施方案”疏解范围的商品交易市场中，涉及五金、建材、机电、灯具、窗帘、大车配件、化工材料等行业，大部分市场集中在巫家坝中央公园规划范围内。</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市级“实施方案”中明确：</w:t>
      </w:r>
      <w:r>
        <w:rPr>
          <w:rFonts w:eastAsia="仿宋_GB2312"/>
          <w:color w:val="000000"/>
          <w:sz w:val="32"/>
          <w:szCs w:val="32"/>
        </w:rPr>
        <w:t>根据目前主城区商品交易市场现状，通过</w:t>
      </w:r>
      <w:r>
        <w:rPr>
          <w:rFonts w:eastAsia="仿宋_GB2312"/>
          <w:b/>
          <w:bCs/>
          <w:color w:val="000000"/>
          <w:sz w:val="32"/>
          <w:szCs w:val="32"/>
        </w:rPr>
        <w:t>征迁腾退、转变业态、改造升级</w:t>
      </w:r>
      <w:r>
        <w:rPr>
          <w:rFonts w:eastAsia="仿宋_GB2312"/>
          <w:color w:val="000000"/>
          <w:sz w:val="32"/>
          <w:szCs w:val="32"/>
        </w:rPr>
        <w:t>三种方式，分类推进商品交易市场疏解工作。对不符合城市片区控制性详细规划、土地利用规划、产业发展规划等规划，不能满足安全生产和消防安全要求，且市场目前所在片区需整体征迁的，结合片区开发，依法依规推进市场的征迁腾退</w:t>
      </w:r>
      <w:r>
        <w:rPr>
          <w:rFonts w:hint="eastAsia" w:eastAsia="仿宋_GB2312"/>
          <w:color w:val="000000"/>
          <w:sz w:val="32"/>
          <w:szCs w:val="32"/>
        </w:rPr>
        <w:t>，巫家坝片区内列入疏解范围的39个商品交易市场均属于征迁腾退范畴。</w:t>
      </w:r>
    </w:p>
    <w:p>
      <w:pPr>
        <w:keepNext w:val="0"/>
        <w:keepLines w:val="0"/>
        <w:pageBreakBefore w:val="0"/>
        <w:widowControl w:val="0"/>
        <w:kinsoku/>
        <w:overflowPunct/>
        <w:topLinePunct w:val="0"/>
        <w:autoSpaceDE/>
        <w:autoSpaceDN/>
        <w:bidi w:val="0"/>
        <w:adjustRightInd/>
        <w:spacing w:line="520" w:lineRule="exact"/>
        <w:textAlignment w:val="auto"/>
        <w:rPr>
          <w:rFonts w:hint="eastAsia" w:ascii="黑体" w:hAnsi="黑体" w:eastAsia="黑体" w:cs="黑体"/>
          <w:color w:val="000000"/>
          <w:sz w:val="32"/>
          <w:szCs w:val="32"/>
        </w:rPr>
      </w:pPr>
      <w:r>
        <w:rPr>
          <w:rFonts w:hint="eastAsia" w:ascii="黑体" w:hAnsi="黑体" w:eastAsia="黑体" w:cs="黑体"/>
          <w:sz w:val="32"/>
        </w:rPr>
        <w:t xml:space="preserve">    </w:t>
      </w:r>
      <w:r>
        <w:rPr>
          <w:rFonts w:hint="eastAsia" w:ascii="黑体" w:hAnsi="黑体" w:eastAsia="黑体" w:cs="黑体"/>
          <w:sz w:val="32"/>
          <w:lang w:eastAsia="zh-CN"/>
        </w:rPr>
        <w:t>二</w:t>
      </w:r>
      <w:r>
        <w:rPr>
          <w:rFonts w:hint="eastAsia" w:ascii="黑体" w:hAnsi="黑体" w:eastAsia="黑体" w:cs="黑体"/>
          <w:sz w:val="32"/>
        </w:rPr>
        <w:t>、巫家坝片区存续</w:t>
      </w:r>
      <w:r>
        <w:rPr>
          <w:rFonts w:hint="eastAsia" w:ascii="黑体" w:hAnsi="黑体" w:eastAsia="黑体" w:cs="黑体"/>
          <w:color w:val="000000"/>
          <w:sz w:val="32"/>
          <w:szCs w:val="32"/>
        </w:rPr>
        <w:t>商品交易市场纾解方向</w:t>
      </w:r>
    </w:p>
    <w:p>
      <w:pPr>
        <w:keepNext w:val="0"/>
        <w:keepLines w:val="0"/>
        <w:pageBreakBefore w:val="0"/>
        <w:widowControl w:val="0"/>
        <w:kinsoku/>
        <w:overflowPunct/>
        <w:topLinePunct w:val="0"/>
        <w:autoSpaceDE/>
        <w:autoSpaceDN/>
        <w:bidi w:val="0"/>
        <w:adjustRightInd/>
        <w:snapToGrid w:val="0"/>
        <w:spacing w:line="520" w:lineRule="exact"/>
        <w:ind w:firstLine="640" w:firstLineChars="200"/>
        <w:textAlignment w:val="auto"/>
        <w:rPr>
          <w:rFonts w:hint="eastAsia" w:eastAsia="仿宋_GB2312"/>
          <w:sz w:val="32"/>
          <w:szCs w:val="32"/>
        </w:rPr>
      </w:pPr>
      <w:r>
        <w:rPr>
          <w:rFonts w:hint="eastAsia" w:eastAsia="仿宋_GB2312"/>
          <w:sz w:val="32"/>
          <w:szCs w:val="32"/>
        </w:rPr>
        <w:t>虽然在巫家坝片区开发建设中暂未大面积开展市场纾解，中央公园建设也暂未涉及部分市场，片区内仍有大量市场存续经营，但按照城市发展规划和片区规划，专业市场必然要向城市外围纾解，按照市城投公司开发建设进度，存续市场也必然会面临征迁腾退。</w:t>
      </w:r>
    </w:p>
    <w:p>
      <w:pPr>
        <w:keepNext w:val="0"/>
        <w:keepLines w:val="0"/>
        <w:pageBreakBefore w:val="0"/>
        <w:widowControl w:val="0"/>
        <w:kinsoku/>
        <w:overflowPunct/>
        <w:topLinePunct w:val="0"/>
        <w:autoSpaceDE/>
        <w:autoSpaceDN/>
        <w:bidi w:val="0"/>
        <w:adjustRightInd/>
        <w:snapToGrid w:val="0"/>
        <w:spacing w:line="520" w:lineRule="exact"/>
        <w:ind w:firstLine="624" w:firstLineChars="200"/>
        <w:textAlignment w:val="auto"/>
        <w:rPr>
          <w:rFonts w:eastAsia="仿宋_GB2312"/>
          <w:color w:val="000000"/>
          <w:sz w:val="32"/>
          <w:szCs w:val="32"/>
        </w:rPr>
      </w:pPr>
      <w:r>
        <w:rPr>
          <w:rFonts w:hint="eastAsia" w:ascii="仿宋_GB2312" w:hAnsi="仿宋" w:eastAsia="仿宋_GB2312"/>
          <w:spacing w:val="-4"/>
          <w:sz w:val="32"/>
          <w:szCs w:val="32"/>
        </w:rPr>
        <w:t>按照市委、市政府的工作部署安排，为优化全市功能布局，实现可持续发展，提高城市品质，改善人居环境，建设美丽现代新昆明，结合官渡区经济发展形式，功能定位等因素，官渡区不再规划预留物流仓储用地，</w:t>
      </w:r>
      <w:r>
        <w:rPr>
          <w:rFonts w:hint="eastAsia" w:eastAsia="仿宋_GB2312"/>
          <w:sz w:val="32"/>
          <w:szCs w:val="32"/>
        </w:rPr>
        <w:t>根据</w:t>
      </w:r>
      <w:r>
        <w:rPr>
          <w:rFonts w:eastAsia="仿宋_GB2312"/>
          <w:sz w:val="32"/>
          <w:szCs w:val="32"/>
        </w:rPr>
        <w:t>全市商业发展布局规划</w:t>
      </w:r>
      <w:r>
        <w:rPr>
          <w:rFonts w:hint="eastAsia" w:eastAsia="仿宋_GB2312"/>
          <w:sz w:val="32"/>
          <w:szCs w:val="32"/>
        </w:rPr>
        <w:t>和</w:t>
      </w:r>
      <w:r>
        <w:rPr>
          <w:rFonts w:eastAsia="仿宋_GB2312"/>
          <w:sz w:val="32"/>
          <w:szCs w:val="32"/>
        </w:rPr>
        <w:t>各县（市）区政府（管委会）商业网点规划</w:t>
      </w:r>
      <w:r>
        <w:rPr>
          <w:rFonts w:hint="eastAsia" w:eastAsia="仿宋_GB2312"/>
          <w:sz w:val="32"/>
          <w:szCs w:val="32"/>
        </w:rPr>
        <w:t>及建设实际</w:t>
      </w:r>
      <w:r>
        <w:rPr>
          <w:rFonts w:eastAsia="仿宋_GB2312"/>
          <w:sz w:val="32"/>
          <w:szCs w:val="32"/>
        </w:rPr>
        <w:t>，</w:t>
      </w:r>
      <w:r>
        <w:rPr>
          <w:rFonts w:hint="eastAsia" w:eastAsia="仿宋_GB2312"/>
          <w:sz w:val="32"/>
          <w:szCs w:val="32"/>
        </w:rPr>
        <w:t>征迁腾退的</w:t>
      </w:r>
      <w:r>
        <w:rPr>
          <w:rFonts w:eastAsia="仿宋_GB2312"/>
          <w:sz w:val="32"/>
          <w:szCs w:val="32"/>
        </w:rPr>
        <w:t>主</w:t>
      </w:r>
      <w:r>
        <w:rPr>
          <w:rFonts w:eastAsia="仿宋_GB2312"/>
          <w:color w:val="000000"/>
          <w:sz w:val="32"/>
          <w:szCs w:val="32"/>
        </w:rPr>
        <w:t>要疏解方向为：晋宁县（昆明工业品交易中心、青山商贸物流园区）、安宁市（太平片区、桃花村片区）、官渡区昆明螺蛳湾国际商贸城和西山区长坡物流片区。其中，水果批发交易业态向云南高原特色农产品交易中心疏解，冷冻品批发交易业态向经开区东盟冷链物流中心</w:t>
      </w:r>
      <w:r>
        <w:rPr>
          <w:rFonts w:hint="eastAsia" w:eastAsia="仿宋_GB2312"/>
          <w:color w:val="000000"/>
          <w:sz w:val="32"/>
          <w:szCs w:val="32"/>
        </w:rPr>
        <w:t>等项目地</w:t>
      </w:r>
      <w:r>
        <w:rPr>
          <w:rFonts w:eastAsia="仿宋_GB2312"/>
          <w:color w:val="000000"/>
          <w:sz w:val="32"/>
          <w:szCs w:val="32"/>
        </w:rPr>
        <w:t>疏解。</w:t>
      </w:r>
    </w:p>
    <w:p>
      <w:pPr>
        <w:keepNext w:val="0"/>
        <w:keepLines w:val="0"/>
        <w:pageBreakBefore w:val="0"/>
        <w:widowControl w:val="0"/>
        <w:kinsoku/>
        <w:overflowPunct/>
        <w:topLinePunct w:val="0"/>
        <w:autoSpaceDE/>
        <w:autoSpaceDN/>
        <w:bidi w:val="0"/>
        <w:adjustRightInd/>
        <w:spacing w:line="520" w:lineRule="exact"/>
        <w:textAlignment w:val="auto"/>
        <w:rPr>
          <w:rFonts w:ascii="黑体" w:hAnsi="黑体" w:eastAsia="黑体" w:cs="黑体"/>
          <w:sz w:val="32"/>
        </w:rPr>
      </w:pPr>
      <w:r>
        <w:rPr>
          <w:rFonts w:hint="eastAsia" w:ascii="黑体" w:hAnsi="黑体" w:eastAsia="黑体" w:cs="黑体"/>
          <w:sz w:val="32"/>
        </w:rPr>
        <w:t xml:space="preserve">    三、官渡区承载搬迁企业经营场地情况</w:t>
      </w:r>
    </w:p>
    <w:p>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eastAsia="仿宋_GB2312" w:cs="仿宋_GB2312"/>
          <w:sz w:val="32"/>
        </w:rPr>
      </w:pPr>
      <w:r>
        <w:rPr>
          <w:rFonts w:hint="eastAsia" w:eastAsia="仿宋_GB2312" w:cs="仿宋_GB2312"/>
          <w:sz w:val="32"/>
        </w:rPr>
        <w:t>考虑到巫家坝片区中需要征迁腾退的市场，大多在官渡区长期经营发展，市场经营户中虽有着较大占比的外来人口，但大多商户长期在官渡区经营发展、安家生活，对官渡区有着深厚的情感，不愿通过疏导搬离官渡这片热土，希望在市场征迁腾退后继续在官渡经营发展，为此，我们积极梳理符合市级纾解方向且在官渡区的承载场地，俊发·新螺蛳湾国际城三期市场可作为纾解商户未来搬迁转型、继续兴业的承接载体。</w:t>
      </w:r>
    </w:p>
    <w:p>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eastAsia="仿宋_GB2312" w:cs="仿宋_GB2312"/>
          <w:sz w:val="32"/>
          <w:lang w:eastAsia="zh-CN"/>
        </w:rPr>
      </w:pPr>
      <w:r>
        <w:rPr>
          <w:rFonts w:hint="eastAsia" w:eastAsia="仿宋_GB2312" w:cs="仿宋_GB2312"/>
          <w:sz w:val="32"/>
        </w:rPr>
        <w:t>巫家坝片区属官渡区六大城市功能区中的巫家坝中央商务区，螺蛳湾片区属螺蛳湾国际商贸区，两大功能区同属昆明市、官渡区最为重要且重点打造的城市发展区域，在城市功能定位中，螺蛳湾片区高度契合腾挪搬迁商户业态</w:t>
      </w:r>
      <w:r>
        <w:rPr>
          <w:rFonts w:hint="eastAsia" w:eastAsia="仿宋_GB2312" w:cs="仿宋_GB2312"/>
          <w:sz w:val="32"/>
          <w:lang w:eastAsia="zh-CN"/>
        </w:rPr>
        <w:t>。同时</w:t>
      </w:r>
      <w:r>
        <w:rPr>
          <w:rFonts w:hint="eastAsia" w:eastAsia="仿宋_GB2312" w:cs="仿宋_GB2312"/>
          <w:b/>
          <w:sz w:val="32"/>
        </w:rPr>
        <w:t>，</w:t>
      </w:r>
      <w:r>
        <w:rPr>
          <w:rFonts w:hint="eastAsia" w:eastAsia="仿宋_GB2312" w:cs="仿宋_GB2312"/>
          <w:sz w:val="32"/>
        </w:rPr>
        <w:t>螺蛳湾片区交通便利，三地铁、五站口快速通达全城。螺蛳湾国际商贸城于2019年划入中国（云南）自由贸易试验区范围，2020年获批全国第五批市场采购贸易方式试点市场，一期市场、二期市场、三期建材家居市场、C4中药材市场、写字楼、专业街等均纳入试点集聚区。自贸区与市场采购贸易试点双重赋能，占据全省独有优势</w:t>
      </w:r>
      <w:r>
        <w:rPr>
          <w:rFonts w:hint="eastAsia" w:eastAsia="仿宋_GB2312" w:cs="仿宋_GB2312"/>
          <w:sz w:val="32"/>
          <w:lang w:eastAsia="zh-CN"/>
        </w:rPr>
        <w:t>。</w:t>
      </w:r>
    </w:p>
    <w:p>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ascii="黑体" w:hAnsi="黑体" w:eastAsia="黑体" w:cs="仿宋_GB2312"/>
          <w:sz w:val="32"/>
          <w:lang w:eastAsia="zh-CN"/>
        </w:rPr>
      </w:pPr>
      <w:r>
        <w:rPr>
          <w:rFonts w:hint="eastAsia" w:ascii="黑体" w:hAnsi="黑体" w:eastAsia="黑体" w:cs="仿宋_GB2312"/>
          <w:sz w:val="32"/>
        </w:rPr>
        <w:t>四、</w:t>
      </w:r>
      <w:r>
        <w:rPr>
          <w:rFonts w:hint="eastAsia" w:ascii="黑体" w:hAnsi="黑体" w:eastAsia="黑体" w:cs="仿宋_GB2312"/>
          <w:sz w:val="32"/>
          <w:lang w:eastAsia="zh-CN"/>
        </w:rPr>
        <w:t>下一步工作计划</w:t>
      </w:r>
    </w:p>
    <w:p>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eastAsia="仿宋_GB2312" w:cs="仿宋_GB2312"/>
          <w:sz w:val="32"/>
        </w:rPr>
      </w:pPr>
      <w:r>
        <w:rPr>
          <w:rFonts w:hint="eastAsia" w:eastAsia="仿宋_GB2312" w:cs="仿宋_GB2312"/>
          <w:sz w:val="32"/>
          <w:lang w:eastAsia="zh-CN"/>
        </w:rPr>
        <w:t>我局</w:t>
      </w:r>
      <w:r>
        <w:rPr>
          <w:rFonts w:hint="eastAsia" w:eastAsia="仿宋_GB2312" w:cs="仿宋_GB2312"/>
          <w:sz w:val="32"/>
        </w:rPr>
        <w:t>经与俊发·新螺蛳湾国际</w:t>
      </w:r>
      <w:r>
        <w:rPr>
          <w:rFonts w:hint="eastAsia" w:eastAsia="仿宋_GB2312" w:cs="仿宋_GB2312"/>
          <w:sz w:val="32"/>
          <w:lang w:eastAsia="zh-CN"/>
        </w:rPr>
        <w:t>商贸</w:t>
      </w:r>
      <w:r>
        <w:rPr>
          <w:rFonts w:hint="eastAsia" w:eastAsia="仿宋_GB2312" w:cs="仿宋_GB2312"/>
          <w:sz w:val="32"/>
        </w:rPr>
        <w:t>城经营主体昆明俊奥商业有限公司对接了解，目前三期建材家居博览城还有建筑面积约25万平方米的体量可以承载巫家坝片区商品交易市场内符合业态的搬迁商户入驻，且俊奥公司非常欢迎意向入驻的搬迁企业，并表态可在二期市场腾挪空间，接纳意向入驻商户，尽最大可能确保承载搬迁商户。</w:t>
      </w:r>
    </w:p>
    <w:p>
      <w:pPr>
        <w:keepNext w:val="0"/>
        <w:keepLines w:val="0"/>
        <w:pageBreakBefore w:val="0"/>
        <w:widowControl w:val="0"/>
        <w:kinsoku/>
        <w:overflowPunct/>
        <w:topLinePunct w:val="0"/>
        <w:autoSpaceDE/>
        <w:autoSpaceDN/>
        <w:bidi w:val="0"/>
        <w:adjustRightInd/>
        <w:spacing w:line="520" w:lineRule="exact"/>
        <w:ind w:firstLine="660"/>
        <w:textAlignment w:val="auto"/>
        <w:rPr>
          <w:rFonts w:eastAsia="仿宋_GB2312"/>
          <w:sz w:val="32"/>
          <w:szCs w:val="32"/>
        </w:rPr>
      </w:pPr>
      <w:r>
        <w:rPr>
          <w:rFonts w:hint="eastAsia" w:eastAsia="仿宋_GB2312" w:cs="仿宋_GB2312"/>
          <w:sz w:val="32"/>
        </w:rPr>
        <w:t>以上是我局对</w:t>
      </w:r>
      <w:r>
        <w:rPr>
          <w:rFonts w:hint="eastAsia" w:eastAsia="仿宋_GB2312"/>
          <w:color w:val="000000"/>
          <w:sz w:val="32"/>
          <w:szCs w:val="32"/>
        </w:rPr>
        <w:t>《关于巫家坝片区升级改造后对促进经济发展，保民生、保就业的专业市场甄选后尽量留在官渡区的建议》提案（第95</w:t>
      </w:r>
      <w:r>
        <w:rPr>
          <w:rFonts w:hint="eastAsia" w:eastAsia="仿宋_GB2312"/>
          <w:color w:val="000000"/>
          <w:sz w:val="32"/>
          <w:szCs w:val="32"/>
          <w:lang w:val="en-US" w:eastAsia="zh-CN"/>
        </w:rPr>
        <w:t>10</w:t>
      </w:r>
      <w:r>
        <w:rPr>
          <w:rFonts w:hint="eastAsia" w:eastAsia="仿宋_GB2312"/>
          <w:color w:val="000000"/>
          <w:sz w:val="32"/>
          <w:szCs w:val="32"/>
        </w:rPr>
        <w:t>3号）</w:t>
      </w:r>
      <w:r>
        <w:rPr>
          <w:rFonts w:hint="eastAsia" w:eastAsia="仿宋_GB2312"/>
          <w:sz w:val="32"/>
          <w:szCs w:val="32"/>
        </w:rPr>
        <w:t>的回复，非常感谢您对我区经济发展的意见和建议，希望今后能够一如既往地关心和支持官渡区发展。</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感谢您对</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工作的关心和支持</w:t>
      </w:r>
      <w:r>
        <w:rPr>
          <w:rFonts w:hint="eastAsia"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lang w:eastAsia="zh-CN"/>
        </w:rPr>
      </w:pPr>
      <w:r>
        <w:rPr>
          <w:rFonts w:hint="eastAsia" w:eastAsia="仿宋_GB2312" w:cs="Times New Roman"/>
          <w:sz w:val="32"/>
          <w:szCs w:val="32"/>
          <w:lang w:eastAsia="zh-CN"/>
        </w:rPr>
        <w:t>以上答复，如有不妥，请批评指正。</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_GB2312" w:eastAsia="仿宋_GB2312"/>
          <w:sz w:val="32"/>
          <w:szCs w:val="32"/>
        </w:rPr>
      </w:pPr>
      <w:r>
        <w:rPr>
          <w:rFonts w:hint="eastAsia" w:ascii="仿宋_GB2312" w:hAnsi="仿宋_GB2312" w:eastAsia="仿宋_GB2312" w:cs="仿宋_GB2312"/>
          <w:b w:val="0"/>
          <w:bCs w:val="0"/>
          <w:color w:val="000000"/>
          <w:spacing w:val="0"/>
          <w:w w:val="100"/>
          <w:position w:val="0"/>
          <w:sz w:val="32"/>
          <w:szCs w:val="32"/>
        </w:rPr>
        <w:t>（联系人</w:t>
      </w:r>
      <w:r>
        <w:rPr>
          <w:rFonts w:hint="eastAsia" w:ascii="仿宋_GB2312" w:hAnsi="仿宋_GB2312" w:eastAsia="仿宋_GB2312" w:cs="仿宋_GB2312"/>
          <w:b w:val="0"/>
          <w:bCs w:val="0"/>
          <w:color w:val="000000"/>
          <w:spacing w:val="0"/>
          <w:w w:val="100"/>
          <w:position w:val="0"/>
          <w:sz w:val="32"/>
          <w:szCs w:val="32"/>
          <w:lang w:eastAsia="zh-CN"/>
        </w:rPr>
        <w:t>及</w:t>
      </w:r>
      <w:r>
        <w:rPr>
          <w:rFonts w:hint="eastAsia" w:ascii="仿宋_GB2312" w:hAnsi="仿宋_GB2312" w:eastAsia="仿宋_GB2312" w:cs="仿宋_GB2312"/>
          <w:b w:val="0"/>
          <w:bCs w:val="0"/>
          <w:color w:val="000000"/>
          <w:spacing w:val="0"/>
          <w:w w:val="100"/>
          <w:position w:val="0"/>
          <w:sz w:val="32"/>
          <w:szCs w:val="32"/>
        </w:rPr>
        <w:t>联系</w:t>
      </w:r>
      <w:r>
        <w:rPr>
          <w:rFonts w:hint="eastAsia" w:ascii="仿宋_GB2312" w:hAnsi="仿宋_GB2312" w:eastAsia="仿宋_GB2312" w:cs="仿宋_GB2312"/>
          <w:b w:val="0"/>
          <w:bCs w:val="0"/>
          <w:color w:val="000000"/>
          <w:spacing w:val="0"/>
          <w:w w:val="100"/>
          <w:position w:val="0"/>
          <w:sz w:val="32"/>
          <w:szCs w:val="32"/>
          <w:lang w:eastAsia="zh-CN"/>
        </w:rPr>
        <w:t>电话：赵珈楠</w:t>
      </w:r>
      <w:r>
        <w:rPr>
          <w:rFonts w:hint="eastAsia" w:ascii="仿宋_GB2312" w:hAnsi="仿宋_GB2312" w:eastAsia="仿宋_GB2312" w:cs="仿宋_GB2312"/>
          <w:b w:val="0"/>
          <w:bCs w:val="0"/>
          <w:color w:val="000000"/>
          <w:spacing w:val="0"/>
          <w:w w:val="100"/>
          <w:position w:val="0"/>
          <w:sz w:val="32"/>
          <w:szCs w:val="32"/>
          <w:lang w:val="en-US" w:eastAsia="zh-CN"/>
        </w:rPr>
        <w:t xml:space="preserve">  0871-67161067，184****</w:t>
      </w:r>
      <w:bookmarkStart w:id="0" w:name="_GoBack"/>
      <w:bookmarkEnd w:id="0"/>
      <w:r>
        <w:rPr>
          <w:rFonts w:hint="eastAsia" w:ascii="仿宋_GB2312" w:hAnsi="仿宋_GB2312" w:eastAsia="仿宋_GB2312" w:cs="仿宋_GB2312"/>
          <w:b w:val="0"/>
          <w:bCs w:val="0"/>
          <w:color w:val="000000"/>
          <w:spacing w:val="0"/>
          <w:w w:val="100"/>
          <w:position w:val="0"/>
          <w:sz w:val="32"/>
          <w:szCs w:val="32"/>
          <w:lang w:val="en-US" w:eastAsia="zh-CN"/>
        </w:rPr>
        <w:t>2721</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eastAsia="仿宋_GB2312"/>
          <w:sz w:val="32"/>
          <w:szCs w:val="32"/>
        </w:rPr>
        <w:t xml:space="preserve">  </w:t>
      </w: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tbl>
      <w:tblPr>
        <w:tblStyle w:val="8"/>
        <w:tblpPr w:leftFromText="180" w:rightFromText="180" w:vertAnchor="text" w:horzAnchor="page" w:tblpX="1690" w:tblpY="504"/>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keepNext w:val="0"/>
              <w:keepLines w:val="0"/>
              <w:pageBreakBefore w:val="0"/>
              <w:kinsoku/>
              <w:wordWrap w:val="0"/>
              <w:overflowPunct/>
              <w:topLinePunct w:val="0"/>
              <w:autoSpaceDE/>
              <w:autoSpaceDN/>
              <w:bidi w:val="0"/>
              <w:adjustRightInd/>
              <w:snapToGrid/>
              <w:spacing w:line="520" w:lineRule="exact"/>
              <w:jc w:val="both"/>
              <w:textAlignment w:val="auto"/>
              <w:rPr>
                <w:rFonts w:eastAsia="仿宋_GB2312"/>
                <w:snapToGrid w:val="0"/>
                <w:sz w:val="28"/>
                <w:szCs w:val="28"/>
              </w:rPr>
            </w:pPr>
            <w:r>
              <w:rPr>
                <w:rFonts w:eastAsia="仿宋_GB2312"/>
                <w:b w:val="0"/>
                <w:bCs w:val="0"/>
                <w:snapToGrid w:val="0"/>
                <w:sz w:val="28"/>
                <w:szCs w:val="28"/>
              </w:rPr>
              <w:t>抄送：区政协提案委，区政府目督办</w:t>
            </w:r>
            <w:r>
              <w:rPr>
                <w:rFonts w:eastAsia="仿宋_GB2312"/>
                <w:b w:val="0"/>
                <w:bCs w:val="0"/>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vAlign w:val="top"/>
          </w:tcPr>
          <w:p>
            <w:pPr>
              <w:keepNext w:val="0"/>
              <w:keepLines w:val="0"/>
              <w:pageBreakBefore w:val="0"/>
              <w:kinsoku/>
              <w:overflowPunct/>
              <w:topLinePunct w:val="0"/>
              <w:autoSpaceDE/>
              <w:autoSpaceDN/>
              <w:bidi w:val="0"/>
              <w:adjustRightInd w:val="0"/>
              <w:snapToGrid w:val="0"/>
              <w:spacing w:line="520" w:lineRule="exact"/>
              <w:textAlignment w:val="auto"/>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16</w:t>
            </w:r>
            <w:r>
              <w:rPr>
                <w:rFonts w:eastAsia="仿宋_GB2312"/>
                <w:snapToGrid w:val="0"/>
                <w:sz w:val="28"/>
                <w:szCs w:val="28"/>
              </w:rPr>
              <w:t>日印发</w:t>
            </w:r>
          </w:p>
        </w:tc>
      </w:tr>
    </w:tbl>
    <w:p>
      <w:pPr>
        <w:pStyle w:val="2"/>
        <w:keepNext w:val="0"/>
        <w:keepLines w:val="0"/>
        <w:pageBreakBefore w:val="0"/>
        <w:kinsoku/>
        <w:overflowPunct/>
        <w:topLinePunct w:val="0"/>
        <w:autoSpaceDE/>
        <w:autoSpaceDN/>
        <w:bidi w:val="0"/>
        <w:spacing w:line="520" w:lineRule="exact"/>
        <w:ind w:left="0" w:leftChars="0" w:firstLine="0" w:firstLineChars="0"/>
        <w:textAlignment w:val="auto"/>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366779-A63B-4BDA-85D7-7206E048BB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9336A9-F1B9-4A68-8DD2-F7FEC9296188}"/>
  </w:font>
  <w:font w:name="仿宋_GB2312">
    <w:panose1 w:val="02010609030101010101"/>
    <w:charset w:val="86"/>
    <w:family w:val="modern"/>
    <w:pitch w:val="default"/>
    <w:sig w:usb0="00000001" w:usb1="080E0000" w:usb2="00000000" w:usb3="00000000" w:csb0="00040000" w:csb1="00000000"/>
    <w:embedRegular r:id="rId3" w:fontKey="{5538DF17-F974-44FA-86D9-45BE47B0DE99}"/>
  </w:font>
  <w:font w:name="方正小标宋_GBK">
    <w:panose1 w:val="02000000000000000000"/>
    <w:charset w:val="86"/>
    <w:family w:val="script"/>
    <w:pitch w:val="default"/>
    <w:sig w:usb0="A00002BF" w:usb1="38CF7CFA" w:usb2="00082016" w:usb3="00000000" w:csb0="00040001" w:csb1="00000000"/>
    <w:embedRegular r:id="rId4" w:fontKey="{DB6550B5-20B6-49C5-BB79-6BFAFEE7B6E3}"/>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F49A0D46-3E18-471B-8B7A-5D615FCB0EF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E7988568-9FBB-42DF-9153-D94861E162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5956300</wp:posOffset>
              </wp:positionH>
              <wp:positionV relativeFrom="page">
                <wp:posOffset>9569450</wp:posOffset>
              </wp:positionV>
              <wp:extent cx="533400" cy="125095"/>
              <wp:effectExtent l="0" t="0" r="0" b="0"/>
              <wp:wrapNone/>
              <wp:docPr id="1" name="Shape 2"/>
              <wp:cNvGraphicFramePr/>
              <a:graphic xmlns:a="http://schemas.openxmlformats.org/drawingml/2006/main">
                <a:graphicData uri="http://schemas.microsoft.com/office/word/2010/wordprocessingShape">
                  <wps:wsp>
                    <wps:cNvSpPr txBox="1"/>
                    <wps:spPr>
                      <a:xfrm>
                        <a:off x="0" y="0"/>
                        <a:ext cx="533400" cy="125095"/>
                      </a:xfrm>
                      <a:prstGeom prst="rect">
                        <a:avLst/>
                      </a:prstGeom>
                      <a:noFill/>
                      <a:ln>
                        <a:noFill/>
                      </a:ln>
                      <a:effectLst/>
                    </wps:spPr>
                    <wps:txbx>
                      <w:txbxContent>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wps:txbx>
                    <wps:bodyPr wrap="none" lIns="0" tIns="0" rIns="0" bIns="0">
                      <a:spAutoFit/>
                    </wps:bodyPr>
                  </wps:wsp>
                </a:graphicData>
              </a:graphic>
            </wp:anchor>
          </w:drawing>
        </mc:Choice>
        <mc:Fallback>
          <w:pict>
            <v:shape id="Shape 2" o:spid="_x0000_s1026" o:spt="202" type="#_x0000_t202" style="position:absolute;left:0pt;margin-left:469pt;margin-top:753.5pt;height:9.85pt;width:42pt;mso-position-horizontal-relative:page;mso-position-vertical-relative:page;mso-wrap-style:none;z-index:-251657216;mso-width-relative:page;mso-height-relative:page;" filled="f" stroked="f" coordsize="21600,21600" o:gfxdata="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ZVn8PWAAAADgEAAA8AAAAAAAAAAQAgAAAAIgAAAGRycy9kb3ducmV2LnhtbFBLAQIUABQA&#10;AAAIAIdO4kCTqvtquQEAAJUDAAAOAAAAAAAAAAEAIAAAACUBAABkcnMvZTJvRG9jLnhtbFBLBQYA&#10;AAAABgAGAFkBAABQ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FD58"/>
    <w:multiLevelType w:val="singleLevel"/>
    <w:tmpl w:val="CCDFFD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823BF"/>
    <w:rsid w:val="001D7BF7"/>
    <w:rsid w:val="005218C2"/>
    <w:rsid w:val="005B3C48"/>
    <w:rsid w:val="008A3855"/>
    <w:rsid w:val="00A641AA"/>
    <w:rsid w:val="00A82F41"/>
    <w:rsid w:val="00B772A2"/>
    <w:rsid w:val="00D22D41"/>
    <w:rsid w:val="00EE1E65"/>
    <w:rsid w:val="02C70E13"/>
    <w:rsid w:val="044A53E8"/>
    <w:rsid w:val="050D5A63"/>
    <w:rsid w:val="0A9C1FFC"/>
    <w:rsid w:val="0AAC7575"/>
    <w:rsid w:val="0BC85492"/>
    <w:rsid w:val="0DF6163B"/>
    <w:rsid w:val="1D6B2DFB"/>
    <w:rsid w:val="1E31681B"/>
    <w:rsid w:val="24B71C84"/>
    <w:rsid w:val="2707640A"/>
    <w:rsid w:val="28A373C3"/>
    <w:rsid w:val="2B580253"/>
    <w:rsid w:val="2C1D3A73"/>
    <w:rsid w:val="2F312D3B"/>
    <w:rsid w:val="36934155"/>
    <w:rsid w:val="3850465D"/>
    <w:rsid w:val="39365B6B"/>
    <w:rsid w:val="3A35412E"/>
    <w:rsid w:val="3A650B9C"/>
    <w:rsid w:val="3D0060AF"/>
    <w:rsid w:val="3E0F52BF"/>
    <w:rsid w:val="43A3619D"/>
    <w:rsid w:val="4B8B5495"/>
    <w:rsid w:val="4B953A1C"/>
    <w:rsid w:val="52B823BF"/>
    <w:rsid w:val="5AE15F6A"/>
    <w:rsid w:val="5B70720E"/>
    <w:rsid w:val="65ED279F"/>
    <w:rsid w:val="69075555"/>
    <w:rsid w:val="6A2845E0"/>
    <w:rsid w:val="6A7C7BC0"/>
    <w:rsid w:val="6EC310BE"/>
    <w:rsid w:val="6FA57A9F"/>
    <w:rsid w:val="70384FF4"/>
    <w:rsid w:val="75F24395"/>
    <w:rsid w:val="777803CC"/>
    <w:rsid w:val="77CB3051"/>
    <w:rsid w:val="79656F05"/>
    <w:rsid w:val="7B070BFB"/>
    <w:rsid w:val="7CCE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szCs w:val="24"/>
    </w:rPr>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pPr>
    <w:rPr>
      <w:kern w:val="0"/>
      <w:szCs w:val="21"/>
    </w:rPr>
  </w:style>
  <w:style w:type="paragraph" w:styleId="3">
    <w:name w:val="Body Text Indent"/>
    <w:basedOn w:val="1"/>
    <w:next w:val="2"/>
    <w:qFormat/>
    <w:uiPriority w:val="0"/>
    <w:pPr>
      <w:spacing w:after="120"/>
      <w:ind w:left="420" w:leftChars="200"/>
    </w:p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5">
    <w:name w:val="Body Text"/>
    <w:basedOn w:val="1"/>
    <w:qFormat/>
    <w:uiPriority w:val="0"/>
    <w:pPr>
      <w:spacing w:after="120" w:afterLines="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 Char Char Char Char Char Char Char Char Char Char"/>
    <w:basedOn w:val="1"/>
    <w:next w:val="4"/>
    <w:link w:val="9"/>
    <w:qFormat/>
    <w:uiPriority w:val="0"/>
    <w:rPr>
      <w:szCs w:val="24"/>
    </w:rPr>
  </w:style>
  <w:style w:type="character" w:styleId="11">
    <w:name w:val="page number"/>
    <w:basedOn w:val="9"/>
    <w:qFormat/>
    <w:uiPriority w:val="0"/>
    <w:rPr>
      <w:rFonts w:ascii="Times New Roman" w:hAnsi="Times New Roman" w:eastAsia="宋体" w:cs="Times New Roman"/>
      <w:szCs w:val="20"/>
    </w:rPr>
  </w:style>
  <w:style w:type="character" w:customStyle="1" w:styleId="12">
    <w:name w:val="页眉 Char"/>
    <w:basedOn w:val="9"/>
    <w:link w:val="7"/>
    <w:qFormat/>
    <w:uiPriority w:val="0"/>
    <w:rPr>
      <w:rFonts w:ascii="Times New Roman" w:hAnsi="Times New Roman" w:eastAsia="宋体" w:cs="Times New Roman"/>
      <w:kern w:val="2"/>
      <w:sz w:val="18"/>
      <w:szCs w:val="18"/>
    </w:rPr>
  </w:style>
  <w:style w:type="character" w:customStyle="1" w:styleId="13">
    <w:name w:val="页脚 Char"/>
    <w:basedOn w:val="9"/>
    <w:link w:val="6"/>
    <w:qFormat/>
    <w:uiPriority w:val="0"/>
    <w:rPr>
      <w:rFonts w:ascii="Times New Roman" w:hAnsi="Times New Roman" w:eastAsia="宋体" w:cs="Times New Roman"/>
      <w:kern w:val="2"/>
      <w:sz w:val="18"/>
      <w:szCs w:val="18"/>
    </w:rPr>
  </w:style>
  <w:style w:type="character" w:customStyle="1" w:styleId="14">
    <w:name w:val="15"/>
    <w:basedOn w:val="9"/>
    <w:qFormat/>
    <w:uiPriority w:val="0"/>
    <w:rPr>
      <w:rFonts w:hint="default" w:ascii="Calibri" w:hAnsi="Calibri" w:eastAsia="仿宋_GB2312"/>
      <w:sz w:val="32"/>
      <w:szCs w:val="32"/>
    </w:rPr>
  </w:style>
  <w:style w:type="paragraph" w:customStyle="1" w:styleId="15">
    <w:name w:val="p0"/>
    <w:basedOn w:val="1"/>
    <w:qFormat/>
    <w:uiPriority w:val="0"/>
    <w:pPr>
      <w:widowControl/>
    </w:pPr>
    <w:rPr>
      <w:kern w:val="0"/>
    </w:rPr>
  </w:style>
  <w:style w:type="paragraph" w:customStyle="1" w:styleId="16">
    <w:name w:val="Picture caption|1"/>
    <w:basedOn w:val="1"/>
    <w:qFormat/>
    <w:uiPriority w:val="0"/>
    <w:pPr>
      <w:widowControl w:val="0"/>
      <w:shd w:val="clear" w:color="auto" w:fill="auto"/>
      <w:ind w:left="-20"/>
      <w:jc w:val="center"/>
    </w:pPr>
    <w:rPr>
      <w:rFonts w:ascii="宋体" w:hAnsi="宋体" w:eastAsia="宋体" w:cs="宋体"/>
      <w:b/>
      <w:bCs/>
      <w:sz w:val="30"/>
      <w:szCs w:val="30"/>
      <w:u w:val="none"/>
      <w:shd w:val="clear" w:color="auto" w:fill="auto"/>
      <w:lang w:val="zh-TW" w:eastAsia="zh-TW" w:bidi="zh-TW"/>
    </w:rPr>
  </w:style>
  <w:style w:type="paragraph" w:customStyle="1" w:styleId="17">
    <w:name w:val="Header or footer|2"/>
    <w:basedOn w:val="1"/>
    <w:qFormat/>
    <w:uiPriority w:val="0"/>
    <w:pPr>
      <w:widowControl w:val="0"/>
      <w:shd w:val="clear" w:color="auto" w:fill="auto"/>
    </w:pPr>
    <w:rPr>
      <w:sz w:val="20"/>
      <w:szCs w:val="20"/>
      <w:u w:val="none"/>
      <w:shd w:val="clear" w:color="auto" w:fill="auto"/>
    </w:rPr>
  </w:style>
  <w:style w:type="character" w:customStyle="1" w:styleId="18">
    <w:name w:val="公文标题"/>
    <w:basedOn w:val="9"/>
    <w:qFormat/>
    <w:uiPriority w:val="0"/>
    <w:rPr>
      <w:rFonts w:ascii="方正小标宋_GBK" w:hAnsi="华文中宋" w:eastAsia="方正小标宋_GBK"/>
      <w:color w:val="000000"/>
      <w:sz w:val="44"/>
      <w:szCs w:val="84"/>
    </w:rPr>
  </w:style>
  <w:style w:type="paragraph" w:customStyle="1" w:styleId="19">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昆明市官渡区党政机关单位</Company>
  <Pages>4</Pages>
  <Words>1572</Words>
  <Characters>198</Characters>
  <Lines>1</Lines>
  <Paragraphs>3</Paragraphs>
  <TotalTime>1</TotalTime>
  <ScaleCrop>false</ScaleCrop>
  <LinksUpToDate>false</LinksUpToDate>
  <CharactersWithSpaces>1767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2021-06-10T06:18:00Z</dcterms:created>
  <dc:creator>stj</dc:creator>
  <cp:lastModifiedBy>。。。</cp:lastModifiedBy>
  <cp:lastPrinted>2021-06-11T03:15:00Z</cp:lastPrinted>
  <dcterms:modified xsi:type="dcterms:W3CDTF">2022-02-22T01:55:58Z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8E18D017D33840EDBD32D60E873E3808</vt:lpwstr>
  </property>
</Properties>
</file>