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olor w:val="000000"/>
          <w:sz w:val="32"/>
          <w:szCs w:val="32"/>
          <w:lang w:eastAsia="zh-CN"/>
        </w:rPr>
        <w:t>主动</w:t>
      </w:r>
      <w:r>
        <w:rPr>
          <w:rFonts w:hint="eastAsia" w:eastAsia="仿宋_GB2312" w:cs="仿宋_GB2312"/>
          <w:color w:val="000000"/>
          <w:sz w:val="32"/>
          <w:szCs w:val="32"/>
          <w:lang w:eastAsia="zh-CN"/>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132</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关于政协官渡区九届五次会议第95</w:t>
      </w:r>
      <w:r>
        <w:rPr>
          <w:rFonts w:hint="eastAsia" w:eastAsia="方正小标宋_GBK" w:cs="Times New Roman"/>
          <w:color w:val="000000"/>
          <w:sz w:val="44"/>
          <w:szCs w:val="44"/>
          <w:lang w:val="en-US" w:eastAsia="zh-CN"/>
        </w:rPr>
        <w:t>105</w:t>
      </w:r>
      <w:r>
        <w:rPr>
          <w:rFonts w:hint="default" w:ascii="Times New Roman" w:hAnsi="Times New Roman" w:eastAsia="方正小标宋_GBK" w:cs="Times New Roman"/>
          <w:color w:val="000000"/>
          <w:sz w:val="44"/>
          <w:szCs w:val="44"/>
        </w:rPr>
        <w:t>号</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李松、范世平、张彦辉、李劲松、胡腾云、刘艳江、吴汉龙、冯志祥、杨金付、梁国平、董建辉、曹洪祥、朱金水、林剑鸿、林敬腾、杨富荣、苏桂如委员：</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您们提出的《</w:t>
      </w:r>
      <w:r>
        <w:rPr>
          <w:rFonts w:hint="eastAsia" w:ascii="Times New Roman" w:hAnsi="Times New Roman" w:eastAsia="仿宋_GB2312" w:cs="Times New Roman"/>
          <w:color w:val="000000"/>
          <w:sz w:val="32"/>
          <w:szCs w:val="32"/>
        </w:rPr>
        <w:t>关于打造全市最大的智能仓储物流体系更好服务自贸区发展的建议</w:t>
      </w:r>
      <w:r>
        <w:rPr>
          <w:rFonts w:hint="default" w:ascii="Times New Roman" w:hAnsi="Times New Roman" w:eastAsia="仿宋_GB2312" w:cs="Times New Roman"/>
          <w:color w:val="000000"/>
          <w:sz w:val="32"/>
          <w:szCs w:val="32"/>
        </w:rPr>
        <w:t>》提案收悉，现答复如下：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rPr>
      </w:pPr>
      <w:r>
        <w:rPr>
          <w:rFonts w:eastAsia="仿宋_GB2312"/>
          <w:color w:val="000000"/>
          <w:sz w:val="32"/>
          <w:szCs w:val="32"/>
        </w:rPr>
        <w:t>按照昆明市城市核心区的城市功能定位，</w:t>
      </w:r>
      <w:r>
        <w:rPr>
          <w:rFonts w:hint="eastAsia" w:eastAsia="仿宋_GB2312"/>
          <w:color w:val="000000"/>
          <w:sz w:val="32"/>
          <w:szCs w:val="32"/>
        </w:rPr>
        <w:t>官渡区</w:t>
      </w:r>
      <w:r>
        <w:rPr>
          <w:rFonts w:eastAsia="仿宋_GB2312"/>
          <w:color w:val="000000"/>
          <w:sz w:val="32"/>
          <w:szCs w:val="32"/>
        </w:rPr>
        <w:t>明确区域开发重点，合理设置城市发展核心轴和功能区。</w:t>
      </w:r>
      <w:r>
        <w:rPr>
          <w:rFonts w:hint="eastAsia" w:eastAsia="仿宋_GB2312"/>
          <w:b/>
          <w:color w:val="000000"/>
          <w:sz w:val="32"/>
          <w:szCs w:val="32"/>
        </w:rPr>
        <w:t>在总体布局方面，</w:t>
      </w:r>
      <w:r>
        <w:rPr>
          <w:rFonts w:eastAsia="仿宋_GB2312"/>
          <w:color w:val="000000"/>
          <w:sz w:val="32"/>
          <w:szCs w:val="32"/>
        </w:rPr>
        <w:t>构建“一轴六片区”的城市功能和产业空间格局。打造飞虎大道昆明城市新中心发展轴，形成巫家坝总部商务功能区、特色文化体验功能区、螺蛳湾国际商贸功能区、滇池生态休闲会展功能区、金马科创健康功能区、都市时尚消费功能区六大功能片区。</w:t>
      </w:r>
      <w:r>
        <w:rPr>
          <w:rFonts w:hint="eastAsia" w:eastAsia="仿宋_GB2312"/>
          <w:b/>
          <w:color w:val="000000"/>
          <w:sz w:val="32"/>
          <w:szCs w:val="32"/>
        </w:rPr>
        <w:t>在重点发展轴和片区布局方面，</w:t>
      </w:r>
      <w:r>
        <w:rPr>
          <w:rFonts w:hint="eastAsia" w:eastAsia="仿宋_GB2312"/>
          <w:sz w:val="32"/>
          <w:szCs w:val="32"/>
        </w:rPr>
        <w:t>以</w:t>
      </w:r>
      <w:r>
        <w:rPr>
          <w:rFonts w:eastAsia="仿宋_GB2312"/>
          <w:sz w:val="32"/>
          <w:szCs w:val="32"/>
        </w:rPr>
        <w:t>飞虎大道昆明城市新中心发展轴</w:t>
      </w:r>
      <w:r>
        <w:rPr>
          <w:rFonts w:hint="eastAsia" w:eastAsia="仿宋_GB2312"/>
          <w:sz w:val="32"/>
          <w:szCs w:val="32"/>
        </w:rPr>
        <w:t>，</w:t>
      </w:r>
      <w:r>
        <w:rPr>
          <w:rFonts w:eastAsia="仿宋_GB2312"/>
          <w:sz w:val="32"/>
          <w:szCs w:val="32"/>
        </w:rPr>
        <w:t>以巫家坝片区开发为契机，沿飞虎大道从西南到东北两端延伸、两侧扩展，联动主城东北部金马科创健康功能区、中部巫家坝总部商务功能区、西南部滇池生态休闲会展功能区。以城市新中心为标准，以打造未来城市内核为目标，以高端载体建设和一流营商环境塑造为切入，瞄准总部经济、数字经济、服务贸易等重点产业，打造总部经济聚集的产业引领轴、地标建筑汇聚的城市风貌轴、公园绿廊串联的生态活力轴，最终构筑昆明城市新中心发展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lang w:eastAsia="zh-CN"/>
        </w:rPr>
        <w:t>目前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昆明市正在加紧</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昆明市“十四五”现代物流业发展规划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国家物流枢纽承载城市建设为契机，构建“通道+枢纽+网络”的现代物流产业体系。依托入围国家流通领域现代供应链体系建设、国家供应链创新与应用试点城市契机，大力发展市域供应链体系。依托中国（云南）自由贸易试验区昆明片区、跨境电商综合试验区和市场采购贸易方式试点，构建昆明以面向南亚东南亚为重点的跨境物流体系。推广运用多式联运、智慧物流，重点支持冷链物流、跨境物流、电商物流、快递物流、干支联运、分拨配送和智能仓储发展，发展枢纽经济。</w:t>
      </w:r>
      <w:r>
        <w:rPr>
          <w:rFonts w:hint="eastAsia" w:ascii="Times New Roman" w:hAnsi="Times New Roman" w:eastAsia="仿宋_GB2312" w:cs="Times New Roman"/>
          <w:b/>
          <w:bCs/>
          <w:sz w:val="32"/>
          <w:szCs w:val="32"/>
          <w:lang w:eastAsia="zh-CN"/>
        </w:rPr>
        <w:t>在物流</w:t>
      </w:r>
      <w:r>
        <w:rPr>
          <w:rFonts w:hint="eastAsia" w:ascii="Times New Roman" w:hAnsi="Times New Roman" w:eastAsia="仿宋_GB2312" w:cs="Times New Roman"/>
          <w:b/>
          <w:bCs/>
          <w:sz w:val="32"/>
          <w:szCs w:val="32"/>
        </w:rPr>
        <w:t>总体</w:t>
      </w:r>
      <w:r>
        <w:rPr>
          <w:rFonts w:hint="default" w:ascii="Times New Roman" w:hAnsi="Times New Roman" w:eastAsia="仿宋_GB2312" w:cs="Times New Roman"/>
          <w:b/>
          <w:bCs/>
          <w:sz w:val="32"/>
          <w:szCs w:val="32"/>
        </w:rPr>
        <w:t>空间布局</w:t>
      </w:r>
      <w:r>
        <w:rPr>
          <w:rFonts w:hint="eastAsia" w:eastAsia="仿宋_GB2312" w:cs="Times New Roman"/>
          <w:b/>
          <w:bCs/>
          <w:sz w:val="32"/>
          <w:szCs w:val="32"/>
          <w:lang w:eastAsia="zh-CN"/>
        </w:rPr>
        <w:t>方面</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物流枢纽布局</w:t>
      </w:r>
      <w:r>
        <w:rPr>
          <w:rFonts w:hint="default" w:ascii="Times New Roman" w:hAnsi="Times New Roman" w:eastAsia="仿宋_GB2312" w:cs="Times New Roman"/>
          <w:sz w:val="32"/>
          <w:szCs w:val="32"/>
          <w:lang w:eastAsia="zh-CN"/>
        </w:rPr>
        <w:t>板块以</w:t>
      </w:r>
      <w:r>
        <w:rPr>
          <w:rFonts w:hint="default" w:ascii="Times New Roman" w:hAnsi="Times New Roman" w:eastAsia="仿宋_GB2312" w:cs="Times New Roman"/>
          <w:sz w:val="32"/>
          <w:szCs w:val="32"/>
        </w:rPr>
        <w:t>建设商贸服务型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“王家营片区”和“晋宁青山片区”两个片区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陆港型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“安宁草铺片区”和“桃花村-读书铺铁路枢纽片区”两个片区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空港型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昆明宝象临空国际产业园、昆明综合保税区物流功能拓展区和空港航空物流园等为主要节点</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3个国家物流枢纽</w:t>
      </w:r>
      <w:r>
        <w:rPr>
          <w:rFonts w:hint="default" w:ascii="Times New Roman" w:hAnsi="Times New Roman" w:eastAsia="仿宋_GB2312" w:cs="Times New Roman"/>
          <w:sz w:val="32"/>
          <w:szCs w:val="32"/>
          <w:lang w:eastAsia="zh-CN"/>
        </w:rPr>
        <w:t>为重点；以</w:t>
      </w:r>
      <w:r>
        <w:rPr>
          <w:rFonts w:hint="default" w:ascii="Times New Roman" w:hAnsi="Times New Roman" w:eastAsia="仿宋_GB2312" w:cs="Times New Roman"/>
          <w:sz w:val="32"/>
          <w:szCs w:val="32"/>
        </w:rPr>
        <w:t>安宁生产服务型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寻甸商贸服务型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宜良商贸服务型</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val="en-US" w:eastAsia="zh-CN"/>
        </w:rPr>
        <w:t>3个</w:t>
      </w:r>
      <w:r>
        <w:rPr>
          <w:rFonts w:hint="default" w:ascii="Times New Roman" w:hAnsi="Times New Roman" w:eastAsia="仿宋_GB2312" w:cs="Times New Roman"/>
          <w:sz w:val="32"/>
          <w:szCs w:val="32"/>
        </w:rPr>
        <w:t>省级物流枢纽</w:t>
      </w:r>
      <w:r>
        <w:rPr>
          <w:rFonts w:hint="default" w:ascii="Times New Roman" w:hAnsi="Times New Roman" w:eastAsia="仿宋_GB2312" w:cs="Times New Roman"/>
          <w:sz w:val="32"/>
          <w:szCs w:val="32"/>
          <w:lang w:eastAsia="zh-CN"/>
        </w:rPr>
        <w:t>板块为培育对象，</w:t>
      </w:r>
      <w:r>
        <w:rPr>
          <w:rFonts w:hint="default" w:ascii="Times New Roman" w:hAnsi="Times New Roman" w:eastAsia="仿宋_GB2312" w:cs="Times New Roman"/>
          <w:sz w:val="32"/>
          <w:szCs w:val="32"/>
        </w:rPr>
        <w:t>以物流枢纽为核心，引导物流业集聚发展，着力打造安宁桃花村</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草铺物流片区、经开区王家营物流片区、空港经济区临空物流片区、晋宁青山物流片区、嵩明杨林物流片区等5个物流集聚区。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官渡区</w:t>
      </w:r>
      <w:r>
        <w:rPr>
          <w:rFonts w:hint="default" w:eastAsia="仿宋_GB2312" w:cs="Times New Roman"/>
          <w:color w:val="000000"/>
          <w:sz w:val="32"/>
          <w:szCs w:val="32"/>
          <w:lang w:val="en-US" w:eastAsia="zh-CN"/>
        </w:rPr>
        <w:t>正在制定</w:t>
      </w:r>
      <w:r>
        <w:rPr>
          <w:rFonts w:hint="eastAsia" w:eastAsia="仿宋_GB2312" w:cs="Times New Roman"/>
          <w:color w:val="000000"/>
          <w:sz w:val="32"/>
          <w:szCs w:val="32"/>
          <w:lang w:val="en-US" w:eastAsia="zh-CN"/>
        </w:rPr>
        <w:t>的《</w:t>
      </w:r>
      <w:r>
        <w:rPr>
          <w:rFonts w:hint="default" w:eastAsia="仿宋_GB2312" w:cs="Times New Roman"/>
          <w:color w:val="000000"/>
          <w:sz w:val="32"/>
          <w:szCs w:val="32"/>
          <w:lang w:val="en-US" w:eastAsia="zh-CN"/>
        </w:rPr>
        <w:t>昆明市官渡区国民经济和社会发展第十四个五年规划和二〇三五年远景目标纲要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按照“突出自贸试验区核心、强化外向型经济、彰显官渡区特色”的思路，加快构建“4321”</w:t>
      </w:r>
      <w:r>
        <w:rPr>
          <w:rFonts w:hint="eastAsia" w:eastAsia="仿宋_GB2312" w:cs="Times New Roman"/>
          <w:color w:val="000000"/>
          <w:sz w:val="32"/>
          <w:szCs w:val="32"/>
          <w:lang w:val="en-US" w:eastAsia="zh-CN"/>
        </w:rPr>
        <w:t>产业体系：</w:t>
      </w:r>
      <w:r>
        <w:rPr>
          <w:rFonts w:hint="default" w:eastAsia="仿宋_GB2312" w:cs="Times New Roman"/>
          <w:color w:val="000000"/>
          <w:sz w:val="32"/>
          <w:szCs w:val="32"/>
          <w:lang w:val="en-US" w:eastAsia="zh-CN"/>
        </w:rPr>
        <w:t>做精地产经济、会展经济、商贸物流、高端智造4个基础产业筑本强基</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做优大健康、文化创意、休闲旅游3个配套产业提质聚力</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做专数字经济、总部经济2个主导产业赋能扩能</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做强服务贸易1个机会产业助推升级</w:t>
      </w:r>
      <w:r>
        <w:rPr>
          <w:rFonts w:hint="eastAsia" w:eastAsia="仿宋_GB2312" w:cs="Times New Roman"/>
          <w:color w:val="000000"/>
          <w:sz w:val="32"/>
          <w:szCs w:val="32"/>
          <w:lang w:val="en-US" w:eastAsia="zh-CN"/>
        </w:rPr>
        <w:t>。</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rPr>
      </w:pPr>
      <w:r>
        <w:rPr>
          <w:rFonts w:hint="eastAsia" w:eastAsia="仿宋_GB2312" w:cs="Times New Roman"/>
          <w:color w:val="000000"/>
          <w:sz w:val="32"/>
          <w:szCs w:val="32"/>
          <w:lang w:val="en-US" w:eastAsia="zh-CN"/>
        </w:rPr>
        <w:t>官渡区在物流仓储相关行业发展的方向从园区建设向总部物流、跨境物流和智慧物流等方向升级，助力官渡区经济社会高质量发展。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（联系人及</w:t>
      </w:r>
      <w:r>
        <w:rPr>
          <w:rFonts w:hint="eastAsia" w:eastAsia="仿宋_GB2312" w:cs="Times New Roman"/>
          <w:color w:val="000000"/>
          <w:sz w:val="32"/>
          <w:szCs w:val="32"/>
          <w:lang w:eastAsia="zh-CN"/>
        </w:rPr>
        <w:t>联系</w:t>
      </w:r>
      <w:r>
        <w:rPr>
          <w:rFonts w:hint="default" w:ascii="Times New Roman" w:hAnsi="Times New Roman" w:eastAsia="仿宋_GB2312" w:cs="Times New Roman"/>
          <w:color w:val="000000"/>
          <w:sz w:val="32"/>
          <w:szCs w:val="32"/>
        </w:rPr>
        <w:t>电话：</w:t>
      </w:r>
      <w:r>
        <w:rPr>
          <w:rFonts w:hint="eastAsia" w:ascii="Times New Roman" w:hAnsi="Times New Roman" w:eastAsia="仿宋_GB2312" w:cs="Times New Roman"/>
          <w:color w:val="000000"/>
          <w:sz w:val="32"/>
          <w:szCs w:val="32"/>
          <w:lang w:eastAsia="zh-CN"/>
        </w:rPr>
        <w:t>周雯俊</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182</w:t>
      </w:r>
      <w:r>
        <w:rPr>
          <w:rFonts w:hint="eastAsia" w:eastAsia="仿宋_GB2312" w:cs="Times New Roman"/>
          <w:color w:val="000000"/>
          <w:sz w:val="32"/>
          <w:szCs w:val="32"/>
          <w:lang w:val="en-US" w:eastAsia="zh-CN"/>
        </w:rPr>
        <w:t>****</w:t>
      </w:r>
      <w:bookmarkStart w:id="0" w:name="_GoBack"/>
      <w:bookmarkEnd w:id="0"/>
      <w:r>
        <w:rPr>
          <w:rFonts w:hint="eastAsia" w:ascii="Times New Roman" w:hAnsi="Times New Roman" w:eastAsia="仿宋_GB2312" w:cs="Times New Roman"/>
          <w:color w:val="000000"/>
          <w:sz w:val="32"/>
          <w:szCs w:val="32"/>
          <w:lang w:val="en-US" w:eastAsia="zh-CN"/>
        </w:rPr>
        <w:t>8473</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w:t>
      </w:r>
    </w:p>
    <w:tbl>
      <w:tblPr>
        <w:tblStyle w:val="4"/>
        <w:tblpPr w:leftFromText="180" w:rightFromText="180" w:vertAnchor="text" w:horzAnchor="page" w:tblpX="1618" w:tblpY="9549"/>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14</w:t>
            </w:r>
            <w:r>
              <w:rPr>
                <w:rFonts w:eastAsia="仿宋_GB2312"/>
                <w:snapToGrid w:val="0"/>
                <w:sz w:val="28"/>
                <w:szCs w:val="28"/>
              </w:rPr>
              <w:t>日印发</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DA62A5-E51A-464D-8C58-9F3DDEAD29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A7A3CD-659A-4FD2-976B-CD195052DDF8}"/>
  </w:font>
  <w:font w:name="方正小标宋_GBK">
    <w:panose1 w:val="02000000000000000000"/>
    <w:charset w:val="86"/>
    <w:family w:val="script"/>
    <w:pitch w:val="default"/>
    <w:sig w:usb0="A00002BF" w:usb1="38CF7CFA" w:usb2="00082016" w:usb3="00000000" w:csb0="00040001" w:csb1="00000000"/>
    <w:embedRegular r:id="rId3" w:fontKey="{BC11919C-5B5B-466F-B944-8E2C8415A3DD}"/>
  </w:font>
  <w:font w:name="方正仿宋_GBK">
    <w:altName w:val="微软雅黑"/>
    <w:panose1 w:val="03000509000000000000"/>
    <w:charset w:val="86"/>
    <w:family w:val="script"/>
    <w:pitch w:val="default"/>
    <w:sig w:usb0="00000000" w:usb1="00000000" w:usb2="00000000" w:usb3="00000000" w:csb0="00040000" w:csb1="00000000"/>
    <w:embedRegular r:id="rId4" w:fontKey="{961AD888-2FE6-4FBB-A79F-89E26E1436BA}"/>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E2CC9C44-47CA-4379-9193-0AC4D30089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10ACA"/>
    <w:rsid w:val="0AA26176"/>
    <w:rsid w:val="14F50E56"/>
    <w:rsid w:val="186B47ED"/>
    <w:rsid w:val="1F521092"/>
    <w:rsid w:val="25BD151C"/>
    <w:rsid w:val="2A2117F8"/>
    <w:rsid w:val="2D806149"/>
    <w:rsid w:val="33C014EF"/>
    <w:rsid w:val="3D874491"/>
    <w:rsid w:val="47502019"/>
    <w:rsid w:val="5F2E7D7D"/>
    <w:rsid w:val="630B7116"/>
    <w:rsid w:val="64710ACA"/>
    <w:rsid w:val="7867383F"/>
    <w:rsid w:val="7BFC4FEF"/>
    <w:rsid w:val="7FE76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pPr>
    <w:rPr>
      <w:kern w:val="0"/>
      <w:szCs w:val="21"/>
    </w:rPr>
  </w:style>
  <w:style w:type="paragraph" w:styleId="3">
    <w:name w:val="Body Text Indent"/>
    <w:basedOn w:val="1"/>
    <w:next w:val="2"/>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2021-07-27T01:06:00Z</dcterms:created>
  <dc:creator>stj</dc:creator>
  <cp:lastModifiedBy>。。。</cp:lastModifiedBy>
  <cp:lastPrinted>2021-07-28T08:47:00Z</cp:lastPrinted>
  <dcterms:modified xsi:type="dcterms:W3CDTF">2022-02-22T01:56:42Z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082B0EF9ADA74B4184E4B3576A933FFD</vt:lpwstr>
  </property>
</Properties>
</file>