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82" w:rsidRDefault="00BB1A82">
      <w:pPr>
        <w:spacing w:line="560" w:lineRule="exact"/>
        <w:rPr>
          <w:rStyle w:val="ae"/>
          <w:rFonts w:eastAsia="黑体"/>
          <w:position w:val="6"/>
        </w:rPr>
      </w:pPr>
    </w:p>
    <w:p w:rsidR="00BB1A82" w:rsidRDefault="00BB1A82">
      <w:pPr>
        <w:spacing w:line="560" w:lineRule="exact"/>
        <w:rPr>
          <w:rStyle w:val="ae"/>
          <w:rFonts w:eastAsia="黑体"/>
        </w:rPr>
      </w:pPr>
    </w:p>
    <w:p w:rsidR="00BB1A82" w:rsidRDefault="00BB1A82">
      <w:pPr>
        <w:spacing w:line="560" w:lineRule="exact"/>
        <w:rPr>
          <w:rStyle w:val="ae"/>
          <w:rFonts w:eastAsia="黑体"/>
        </w:rPr>
      </w:pPr>
    </w:p>
    <w:p w:rsidR="00BB1A82" w:rsidRDefault="00BB1A82">
      <w:pPr>
        <w:spacing w:beforeLines="50" w:line="740" w:lineRule="exact"/>
        <w:jc w:val="center"/>
        <w:rPr>
          <w:rFonts w:eastAsia="方正小标宋简体"/>
          <w:color w:val="FF0000"/>
          <w:sz w:val="72"/>
          <w:szCs w:val="72"/>
        </w:rPr>
      </w:pPr>
      <w:r>
        <w:rPr>
          <w:rFonts w:eastAsia="方正小标宋简体"/>
          <w:color w:val="FF0000"/>
          <w:sz w:val="72"/>
          <w:szCs w:val="72"/>
        </w:rPr>
        <w:t>昆明市官渡区人民政府公告</w:t>
      </w:r>
    </w:p>
    <w:p w:rsidR="00BB1A82" w:rsidRDefault="00BB1A82">
      <w:pPr>
        <w:spacing w:line="560" w:lineRule="exact"/>
        <w:jc w:val="center"/>
        <w:rPr>
          <w:rFonts w:eastAsia="仿宋_GB2312"/>
          <w:sz w:val="32"/>
        </w:rPr>
      </w:pPr>
    </w:p>
    <w:p w:rsidR="00BB1A82" w:rsidRDefault="00BB1A82">
      <w:pPr>
        <w:spacing w:line="560" w:lineRule="exact"/>
        <w:jc w:val="center"/>
        <w:rPr>
          <w:rFonts w:eastAsia="仿宋_GB2312"/>
          <w:sz w:val="32"/>
        </w:rPr>
      </w:pPr>
    </w:p>
    <w:p w:rsidR="00BB1A82" w:rsidRDefault="00BB1A82">
      <w:pPr>
        <w:spacing w:line="560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第</w:t>
      </w:r>
      <w:r w:rsidR="00047C87">
        <w:rPr>
          <w:rFonts w:ascii="方正小标宋简体" w:eastAsia="方正小标宋简体" w:hint="eastAsia"/>
          <w:sz w:val="44"/>
        </w:rPr>
        <w:t>31</w:t>
      </w:r>
      <w:r>
        <w:rPr>
          <w:rFonts w:ascii="方正小标宋简体" w:eastAsia="方正小标宋简体" w:hint="eastAsia"/>
          <w:sz w:val="44"/>
        </w:rPr>
        <w:t>号</w:t>
      </w:r>
    </w:p>
    <w:p w:rsidR="00BB1A82" w:rsidRDefault="00BB1A82">
      <w:pPr>
        <w:spacing w:line="560" w:lineRule="exact"/>
        <w:rPr>
          <w:rFonts w:eastAsia="仿宋_GB2312"/>
          <w:sz w:val="32"/>
        </w:rPr>
      </w:pPr>
    </w:p>
    <w:p w:rsidR="00BB1A82" w:rsidRDefault="00BB1A82" w:rsidP="00BB1A82">
      <w:pPr>
        <w:widowControl/>
        <w:spacing w:line="560" w:lineRule="exact"/>
        <w:ind w:firstLineChars="200" w:firstLine="622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</w:rPr>
        <w:t>根据《中华人民共和国土地管理法》《中华人民共和国</w:t>
      </w:r>
      <w:r>
        <w:rPr>
          <w:rFonts w:eastAsia="仿宋_GB2312" w:hint="eastAsia"/>
          <w:color w:val="000000"/>
          <w:sz w:val="32"/>
          <w:szCs w:val="32"/>
        </w:rPr>
        <w:t>民法典</w:t>
      </w:r>
      <w:r>
        <w:rPr>
          <w:rFonts w:eastAsia="仿宋_GB2312"/>
          <w:color w:val="000000"/>
          <w:sz w:val="32"/>
          <w:szCs w:val="32"/>
        </w:rPr>
        <w:t>》《国有土地上房屋征收与补偿条例》（国务院令第</w:t>
      </w:r>
      <w:r>
        <w:rPr>
          <w:rFonts w:eastAsia="仿宋_GB2312"/>
          <w:color w:val="000000"/>
          <w:sz w:val="32"/>
          <w:szCs w:val="32"/>
        </w:rPr>
        <w:t>590</w:t>
      </w:r>
      <w:r>
        <w:rPr>
          <w:rFonts w:eastAsia="仿宋_GB2312"/>
          <w:color w:val="000000"/>
          <w:sz w:val="32"/>
          <w:szCs w:val="32"/>
        </w:rPr>
        <w:t>号）、</w:t>
      </w:r>
      <w:r>
        <w:rPr>
          <w:rFonts w:eastAsia="仿宋_GB2312" w:hint="eastAsia"/>
          <w:color w:val="000000"/>
          <w:sz w:val="32"/>
          <w:szCs w:val="32"/>
        </w:rPr>
        <w:t>《国有土地上房屋征收评估办法》（建房</w:t>
      </w:r>
      <w:r>
        <w:rPr>
          <w:rFonts w:eastAsia="仿宋_GB2312"/>
          <w:color w:val="000000"/>
          <w:sz w:val="32"/>
          <w:szCs w:val="32"/>
        </w:rPr>
        <w:t>〔</w:t>
      </w:r>
      <w:r>
        <w:rPr>
          <w:rFonts w:eastAsia="仿宋_GB2312"/>
          <w:color w:val="000000"/>
          <w:sz w:val="32"/>
          <w:szCs w:val="32"/>
        </w:rPr>
        <w:t>201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77</w:t>
      </w:r>
      <w:r>
        <w:rPr>
          <w:rFonts w:eastAsia="仿宋_GB2312" w:hint="eastAsia"/>
          <w:color w:val="000000"/>
          <w:sz w:val="32"/>
          <w:szCs w:val="32"/>
        </w:rPr>
        <w:t>号）、</w:t>
      </w:r>
      <w:r>
        <w:rPr>
          <w:rFonts w:eastAsia="仿宋_GB2312"/>
          <w:color w:val="000000"/>
          <w:sz w:val="32"/>
          <w:szCs w:val="32"/>
        </w:rPr>
        <w:t>《云南省国有土地上房屋征收与补偿办法》（云南省人民政府第</w:t>
      </w:r>
      <w:r>
        <w:rPr>
          <w:rFonts w:eastAsia="仿宋_GB2312"/>
          <w:color w:val="000000"/>
          <w:sz w:val="32"/>
          <w:szCs w:val="32"/>
        </w:rPr>
        <w:t>195</w:t>
      </w:r>
      <w:r>
        <w:rPr>
          <w:rFonts w:eastAsia="仿宋_GB2312"/>
          <w:color w:val="000000"/>
          <w:sz w:val="32"/>
          <w:szCs w:val="32"/>
        </w:rPr>
        <w:t>号）、《昆明市国有土地上房屋征收与补偿指导意见》（</w:t>
      </w:r>
      <w:proofErr w:type="gramStart"/>
      <w:r>
        <w:rPr>
          <w:rFonts w:eastAsia="仿宋_GB2312"/>
          <w:color w:val="000000"/>
          <w:sz w:val="32"/>
          <w:szCs w:val="32"/>
        </w:rPr>
        <w:t>昆政办</w:t>
      </w:r>
      <w:proofErr w:type="gramEnd"/>
      <w:r>
        <w:rPr>
          <w:rFonts w:eastAsia="仿宋_GB2312"/>
          <w:color w:val="000000"/>
          <w:sz w:val="32"/>
          <w:szCs w:val="32"/>
        </w:rPr>
        <w:t>〔</w:t>
      </w:r>
      <w:r>
        <w:rPr>
          <w:rFonts w:eastAsia="仿宋_GB2312"/>
          <w:color w:val="000000"/>
          <w:sz w:val="32"/>
          <w:szCs w:val="32"/>
        </w:rPr>
        <w:t>2015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104</w:t>
      </w:r>
      <w:r>
        <w:rPr>
          <w:rFonts w:eastAsia="仿宋_GB2312"/>
          <w:color w:val="000000"/>
          <w:sz w:val="32"/>
          <w:szCs w:val="32"/>
        </w:rPr>
        <w:t>号）等相关法律法规及政策，官渡区昆明（福德立交）至宜良（昆石复线）高速公路（官渡段）建设项目小板桥街道（彩云北路以东）国有土地上房屋征收工作已历经</w:t>
      </w:r>
      <w:r>
        <w:rPr>
          <w:rFonts w:eastAsia="仿宋_GB2312" w:hint="eastAsia"/>
          <w:color w:val="000000"/>
          <w:sz w:val="32"/>
          <w:szCs w:val="32"/>
        </w:rPr>
        <w:t>发布</w:t>
      </w:r>
      <w:r>
        <w:rPr>
          <w:rFonts w:eastAsia="仿宋_GB2312"/>
          <w:color w:val="000000"/>
          <w:sz w:val="32"/>
          <w:szCs w:val="32"/>
        </w:rPr>
        <w:t>房屋征收范围，对征收范围内房屋的权属、区位、用途、建筑面积等情况组织调查登记并公示调查结果，</w:t>
      </w:r>
      <w:r>
        <w:rPr>
          <w:rFonts w:eastAsia="仿宋_GB2312"/>
          <w:bCs/>
          <w:sz w:val="32"/>
          <w:szCs w:val="32"/>
        </w:rPr>
        <w:t>拟定房屋征收补偿方案</w:t>
      </w:r>
      <w:r>
        <w:rPr>
          <w:rFonts w:eastAsia="仿宋_GB2312" w:hint="eastAsia"/>
          <w:bCs/>
          <w:sz w:val="32"/>
          <w:szCs w:val="32"/>
        </w:rPr>
        <w:t>并组织论证、</w:t>
      </w:r>
      <w:r>
        <w:rPr>
          <w:rFonts w:eastAsia="仿宋_GB2312"/>
          <w:bCs/>
          <w:sz w:val="32"/>
          <w:szCs w:val="32"/>
        </w:rPr>
        <w:t>公开征求</w:t>
      </w:r>
      <w:r>
        <w:rPr>
          <w:rFonts w:eastAsia="仿宋_GB2312" w:hint="eastAsia"/>
          <w:bCs/>
          <w:sz w:val="32"/>
          <w:szCs w:val="32"/>
        </w:rPr>
        <w:t>公众</w:t>
      </w:r>
      <w:r>
        <w:rPr>
          <w:rFonts w:eastAsia="仿宋_GB2312"/>
          <w:bCs/>
          <w:sz w:val="32"/>
          <w:szCs w:val="32"/>
        </w:rPr>
        <w:t>意见</w:t>
      </w:r>
      <w:r>
        <w:rPr>
          <w:rFonts w:eastAsia="仿宋_GB2312" w:hint="eastAsia"/>
          <w:bCs/>
          <w:sz w:val="32"/>
          <w:szCs w:val="32"/>
        </w:rPr>
        <w:t>、并及时公布征求意见及修改情况。区政府常务会议审定了</w:t>
      </w:r>
      <w:r>
        <w:rPr>
          <w:rFonts w:eastAsia="仿宋_GB2312"/>
          <w:sz w:val="32"/>
          <w:szCs w:val="32"/>
        </w:rPr>
        <w:t>《官渡区昆明（福德立交）至宜良（昆石复线）高速公路（官渡段）建设项目小板桥街道（彩云北路以东）国有土地及国有土地</w:t>
      </w:r>
      <w:r>
        <w:rPr>
          <w:rFonts w:eastAsia="仿宋_GB2312"/>
          <w:sz w:val="32"/>
          <w:szCs w:val="32"/>
        </w:rPr>
        <w:lastRenderedPageBreak/>
        <w:t>上房屋征收补偿方案》</w:t>
      </w:r>
      <w:r>
        <w:rPr>
          <w:rFonts w:eastAsia="仿宋_GB2312" w:hint="eastAsia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项目社会稳定风险评估</w:t>
      </w:r>
      <w:r>
        <w:rPr>
          <w:rFonts w:eastAsia="仿宋_GB2312" w:hint="eastAsia"/>
          <w:color w:val="000000"/>
          <w:sz w:val="32"/>
          <w:szCs w:val="32"/>
        </w:rPr>
        <w:t>报告</w:t>
      </w:r>
      <w:r>
        <w:rPr>
          <w:rFonts w:eastAsia="仿宋_GB2312"/>
          <w:color w:val="000000"/>
          <w:sz w:val="32"/>
          <w:szCs w:val="32"/>
        </w:rPr>
        <w:t>等程序，程序合法合</w:t>
      </w:r>
      <w:proofErr w:type="gramStart"/>
      <w:r>
        <w:rPr>
          <w:rFonts w:eastAsia="仿宋_GB2312"/>
          <w:color w:val="000000"/>
          <w:sz w:val="32"/>
          <w:szCs w:val="32"/>
        </w:rPr>
        <w:t>规</w:t>
      </w:r>
      <w:proofErr w:type="gramEnd"/>
      <w:r>
        <w:rPr>
          <w:rFonts w:eastAsia="仿宋_GB2312"/>
          <w:color w:val="000000"/>
          <w:sz w:val="32"/>
          <w:szCs w:val="32"/>
          <w:lang w:val="zh-CN"/>
        </w:rPr>
        <w:t>。</w:t>
      </w:r>
    </w:p>
    <w:p w:rsidR="00BB1A82" w:rsidRDefault="00BB1A82" w:rsidP="00BB1A82">
      <w:pPr>
        <w:widowControl/>
        <w:spacing w:line="560" w:lineRule="exact"/>
        <w:ind w:firstLineChars="200" w:firstLine="62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经昆明市官渡区第</w:t>
      </w:r>
      <w:r>
        <w:rPr>
          <w:rFonts w:eastAsia="仿宋_GB2312" w:hint="eastAsia"/>
          <w:color w:val="000000"/>
          <w:sz w:val="32"/>
          <w:szCs w:val="32"/>
        </w:rPr>
        <w:t>十六</w:t>
      </w:r>
      <w:r>
        <w:rPr>
          <w:rFonts w:eastAsia="仿宋_GB2312"/>
          <w:color w:val="000000"/>
          <w:sz w:val="32"/>
          <w:szCs w:val="32"/>
        </w:rPr>
        <w:t>届人民政府第</w:t>
      </w:r>
      <w:r>
        <w:rPr>
          <w:rFonts w:eastAsia="仿宋_GB2312" w:hint="eastAsia"/>
          <w:color w:val="000000"/>
          <w:sz w:val="32"/>
          <w:szCs w:val="32"/>
        </w:rPr>
        <w:t>75</w:t>
      </w:r>
      <w:r>
        <w:rPr>
          <w:rFonts w:eastAsia="仿宋_GB2312"/>
          <w:color w:val="000000"/>
          <w:sz w:val="32"/>
          <w:szCs w:val="32"/>
        </w:rPr>
        <w:t>次常务会议审议研究，决定对官渡区昆明（福德立交）至宜良（昆石复线）高速公路（官渡段）建设项目小板桥街道（彩云北路以东）国有土地上房屋进行征收，国有土地使用权同时收回。现将《</w:t>
      </w:r>
      <w:r>
        <w:rPr>
          <w:rFonts w:eastAsia="仿宋_GB2312"/>
          <w:sz w:val="32"/>
          <w:szCs w:val="32"/>
        </w:rPr>
        <w:t>官渡区昆明（福德立交）至宜良（昆石复线）高速公路（官渡段）建设项目小板桥街道（彩云北路以东）</w:t>
      </w:r>
      <w:r>
        <w:rPr>
          <w:rFonts w:eastAsia="仿宋_GB2312"/>
          <w:bCs/>
          <w:sz w:val="32"/>
          <w:szCs w:val="32"/>
        </w:rPr>
        <w:t>国有土地上房屋征收决定</w:t>
      </w:r>
      <w:r>
        <w:rPr>
          <w:rFonts w:eastAsia="仿宋_GB2312"/>
          <w:color w:val="000000"/>
          <w:sz w:val="32"/>
          <w:szCs w:val="32"/>
        </w:rPr>
        <w:t>》予以公布。《</w:t>
      </w:r>
      <w:r>
        <w:rPr>
          <w:rFonts w:eastAsia="仿宋_GB2312"/>
          <w:sz w:val="32"/>
          <w:szCs w:val="32"/>
        </w:rPr>
        <w:t>官渡区昆明（福德立交）至宜良（昆石复线）高速公路（官渡段）建设项目小板桥街道（彩云北路以东）</w:t>
      </w:r>
      <w:r>
        <w:rPr>
          <w:rFonts w:eastAsia="仿宋_GB2312"/>
          <w:bCs/>
          <w:sz w:val="32"/>
          <w:szCs w:val="32"/>
        </w:rPr>
        <w:t>国有土地上房屋征收决定</w:t>
      </w:r>
      <w:r>
        <w:rPr>
          <w:rFonts w:eastAsia="仿宋_GB2312"/>
          <w:color w:val="000000"/>
          <w:sz w:val="32"/>
          <w:szCs w:val="32"/>
        </w:rPr>
        <w:t>》自公布之日起执行。</w:t>
      </w:r>
    </w:p>
    <w:p w:rsidR="00BB1A82" w:rsidRDefault="00047C87" w:rsidP="00BB1A82">
      <w:pPr>
        <w:widowControl/>
        <w:spacing w:line="560" w:lineRule="exact"/>
        <w:ind w:firstLineChars="200" w:firstLine="622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8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71.25pt;margin-top:16.9pt;width:128pt;height:128pt;z-index:251658240;mso-position-horizontal-relative:text;mso-position-vertical-relative:text" stroked="f">
            <v:imagedata r:id="rId6" o:title=""/>
          </v:shape>
          <w:control r:id="rId7" w:name="Cbcsign1" w:shapeid="_x0000_s1027"/>
        </w:pict>
      </w:r>
      <w:r w:rsidR="00BB1A82">
        <w:rPr>
          <w:rFonts w:eastAsia="仿宋_GB2312"/>
          <w:color w:val="000000"/>
          <w:sz w:val="32"/>
          <w:szCs w:val="32"/>
        </w:rPr>
        <w:t>特此公告</w:t>
      </w:r>
      <w:r w:rsidR="002D1D3B">
        <w:rPr>
          <w:rFonts w:eastAsia="仿宋_GB2312" w:hint="eastAsia"/>
          <w:color w:val="000000"/>
          <w:sz w:val="32"/>
          <w:szCs w:val="32"/>
        </w:rPr>
        <w:t>。</w:t>
      </w:r>
    </w:p>
    <w:p w:rsidR="00BB1A82" w:rsidRDefault="00BB1A82">
      <w:pPr>
        <w:spacing w:line="560" w:lineRule="exact"/>
        <w:rPr>
          <w:rFonts w:eastAsia="仿宋_GB2312"/>
          <w:sz w:val="32"/>
        </w:rPr>
      </w:pPr>
    </w:p>
    <w:p w:rsidR="00BB1A82" w:rsidRDefault="00BB1A82">
      <w:pPr>
        <w:spacing w:line="560" w:lineRule="exact"/>
        <w:rPr>
          <w:rFonts w:eastAsia="仿宋_GB2312"/>
          <w:sz w:val="32"/>
          <w:vertAlign w:val="subscript"/>
        </w:rPr>
      </w:pPr>
      <w:r>
        <w:rPr>
          <w:rFonts w:eastAsia="仿宋_GB2312"/>
          <w:sz w:val="32"/>
        </w:rPr>
        <w:softHyphen/>
      </w:r>
      <w:r>
        <w:rPr>
          <w:rFonts w:eastAsia="仿宋_GB2312"/>
          <w:sz w:val="32"/>
        </w:rPr>
        <w:softHyphen/>
      </w:r>
      <w:r>
        <w:rPr>
          <w:rFonts w:eastAsia="仿宋_GB2312"/>
          <w:sz w:val="32"/>
        </w:rPr>
        <w:softHyphen/>
      </w:r>
      <w:r>
        <w:rPr>
          <w:rFonts w:eastAsia="仿宋_GB2312"/>
          <w:sz w:val="32"/>
        </w:rPr>
        <w:softHyphen/>
      </w:r>
      <w:r>
        <w:rPr>
          <w:rFonts w:eastAsia="仿宋_GB2312"/>
          <w:sz w:val="32"/>
          <w:vertAlign w:val="subscript"/>
        </w:rPr>
        <w:softHyphen/>
      </w:r>
      <w:r>
        <w:rPr>
          <w:rFonts w:eastAsia="仿宋_GB2312"/>
          <w:sz w:val="32"/>
          <w:vertAlign w:val="subscript"/>
        </w:rPr>
        <w:softHyphen/>
      </w:r>
    </w:p>
    <w:p w:rsidR="00BB1A82" w:rsidRDefault="00BB1A82">
      <w:pPr>
        <w:pStyle w:val="a4"/>
        <w:tabs>
          <w:tab w:val="left" w:pos="4830"/>
        </w:tabs>
        <w:snapToGrid w:val="0"/>
        <w:spacing w:after="0" w:line="560" w:lineRule="exact"/>
        <w:ind w:left="0"/>
        <w:rPr>
          <w:rFonts w:eastAsia="仿宋_GB2312"/>
          <w:kern w:val="2"/>
          <w:sz w:val="32"/>
        </w:rPr>
      </w:pPr>
    </w:p>
    <w:p w:rsidR="00BB1A82" w:rsidRDefault="00BB1A82" w:rsidP="00BB1A82">
      <w:pPr>
        <w:spacing w:line="560" w:lineRule="exact"/>
        <w:ind w:rightChars="400" w:right="804"/>
        <w:jc w:val="right"/>
        <w:rPr>
          <w:rFonts w:eastAsia="仿宋_GB2312"/>
          <w:color w:val="000000"/>
          <w:sz w:val="32"/>
          <w:szCs w:val="84"/>
        </w:rPr>
      </w:pPr>
      <w:r>
        <w:rPr>
          <w:rFonts w:eastAsia="仿宋_GB2312"/>
          <w:color w:val="000000"/>
          <w:sz w:val="32"/>
          <w:szCs w:val="84"/>
        </w:rPr>
        <w:t>20</w:t>
      </w:r>
      <w:r>
        <w:rPr>
          <w:rFonts w:eastAsia="仿宋_GB2312" w:hint="eastAsia"/>
          <w:color w:val="000000"/>
          <w:sz w:val="32"/>
          <w:szCs w:val="84"/>
        </w:rPr>
        <w:t>21</w:t>
      </w:r>
      <w:r>
        <w:rPr>
          <w:rFonts w:eastAsia="仿宋_GB2312"/>
          <w:color w:val="000000"/>
          <w:sz w:val="32"/>
          <w:szCs w:val="84"/>
        </w:rPr>
        <w:t>年</w:t>
      </w:r>
      <w:r>
        <w:rPr>
          <w:rFonts w:eastAsia="仿宋_GB2312" w:hint="eastAsia"/>
          <w:color w:val="000000"/>
          <w:sz w:val="32"/>
          <w:szCs w:val="84"/>
        </w:rPr>
        <w:t>10</w:t>
      </w:r>
      <w:r>
        <w:rPr>
          <w:rFonts w:eastAsia="仿宋_GB2312"/>
          <w:color w:val="000000"/>
          <w:sz w:val="32"/>
          <w:szCs w:val="84"/>
        </w:rPr>
        <w:t>月</w:t>
      </w:r>
      <w:r>
        <w:rPr>
          <w:rFonts w:eastAsia="仿宋_GB2312" w:hint="eastAsia"/>
          <w:color w:val="000000"/>
          <w:sz w:val="32"/>
          <w:szCs w:val="84"/>
        </w:rPr>
        <w:t>29</w:t>
      </w:r>
      <w:r>
        <w:rPr>
          <w:rFonts w:eastAsia="仿宋_GB2312"/>
          <w:color w:val="000000"/>
          <w:sz w:val="32"/>
          <w:szCs w:val="84"/>
        </w:rPr>
        <w:t>日</w:t>
      </w:r>
      <w:r>
        <w:rPr>
          <w:color w:val="000000"/>
          <w:szCs w:val="84"/>
        </w:rPr>
        <w:t xml:space="preserve"> </w:t>
      </w:r>
    </w:p>
    <w:p w:rsidR="00BB1A82" w:rsidRDefault="00BB1A82">
      <w:pPr>
        <w:spacing w:line="560" w:lineRule="exact"/>
        <w:jc w:val="left"/>
        <w:rPr>
          <w:rFonts w:eastAsia="方正仿宋_GBK"/>
          <w:sz w:val="32"/>
        </w:rPr>
      </w:pPr>
    </w:p>
    <w:p w:rsidR="00BB1A82" w:rsidRDefault="00BB1A82">
      <w:pPr>
        <w:spacing w:line="560" w:lineRule="exact"/>
        <w:rPr>
          <w:rFonts w:eastAsia="方正仿宋_GBK"/>
          <w:sz w:val="32"/>
        </w:rPr>
      </w:pPr>
    </w:p>
    <w:p w:rsidR="00BB1A82" w:rsidRDefault="00BB1A82">
      <w:pPr>
        <w:pStyle w:val="a4"/>
        <w:snapToGrid w:val="0"/>
        <w:spacing w:after="0" w:line="560" w:lineRule="exact"/>
        <w:ind w:left="0"/>
        <w:jc w:val="left"/>
        <w:rPr>
          <w:rFonts w:eastAsia="方正仿宋_GBK"/>
          <w:sz w:val="32"/>
        </w:rPr>
      </w:pPr>
    </w:p>
    <w:p w:rsidR="00BB1A82" w:rsidRDefault="00BB1A82">
      <w:pPr>
        <w:pStyle w:val="a4"/>
        <w:snapToGrid w:val="0"/>
        <w:spacing w:after="0" w:line="560" w:lineRule="exact"/>
        <w:ind w:left="0"/>
        <w:jc w:val="left"/>
        <w:rPr>
          <w:rFonts w:eastAsia="方正仿宋_GBK"/>
          <w:sz w:val="32"/>
        </w:rPr>
      </w:pPr>
    </w:p>
    <w:p w:rsidR="00BB1A82" w:rsidRDefault="00BB1A82">
      <w:pPr>
        <w:pStyle w:val="a4"/>
        <w:snapToGrid w:val="0"/>
        <w:spacing w:after="0" w:line="560" w:lineRule="exact"/>
        <w:ind w:left="0"/>
        <w:jc w:val="left"/>
        <w:rPr>
          <w:rFonts w:eastAsia="方正仿宋_GBK"/>
          <w:sz w:val="32"/>
        </w:rPr>
      </w:pPr>
    </w:p>
    <w:p w:rsidR="00BB1A82" w:rsidRDefault="00BB1A82" w:rsidP="002D1D3B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/>
        </w:rPr>
      </w:pPr>
    </w:p>
    <w:sectPr w:rsidR="00BB1A82">
      <w:footerReference w:type="even" r:id="rId8"/>
      <w:footerReference w:type="default" r:id="rId9"/>
      <w:pgSz w:w="11907" w:h="16840"/>
      <w:pgMar w:top="2098" w:right="1531" w:bottom="1985" w:left="1503" w:header="851" w:footer="1474" w:gutter="0"/>
      <w:cols w:space="720"/>
      <w:docGrid w:type="linesAndChars" w:linePitch="316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D00" w:rsidRDefault="005A0D00">
      <w:r>
        <w:separator/>
      </w:r>
    </w:p>
  </w:endnote>
  <w:endnote w:type="continuationSeparator" w:id="1">
    <w:p w:rsidR="005A0D00" w:rsidRDefault="005A0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82" w:rsidRDefault="00BB1A82">
    <w:pPr>
      <w:pStyle w:val="a5"/>
      <w:framePr w:wrap="around" w:vAnchor="text" w:hAnchor="margin" w:xAlign="outside" w:y="1"/>
      <w:ind w:leftChars="100" w:left="210"/>
      <w:rPr>
        <w:rStyle w:val="aa"/>
        <w:sz w:val="28"/>
        <w:szCs w:val="28"/>
      </w:rPr>
    </w:pPr>
    <w:r>
      <w:rPr>
        <w:rStyle w:val="aa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aa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aa"/>
        <w:rFonts w:eastAsia="仿宋_GB2312"/>
        <w:sz w:val="28"/>
        <w:szCs w:val="28"/>
        <w:lang w:val="en-US" w:eastAsia="zh-CN"/>
      </w:rPr>
      <w:t>2</w:t>
    </w:r>
    <w:r>
      <w:rPr>
        <w:rFonts w:eastAsia="仿宋_GB2312"/>
        <w:sz w:val="28"/>
        <w:szCs w:val="28"/>
      </w:rPr>
      <w:fldChar w:fldCharType="end"/>
    </w:r>
    <w:r>
      <w:rPr>
        <w:rStyle w:val="aa"/>
        <w:sz w:val="28"/>
        <w:szCs w:val="28"/>
      </w:rPr>
      <w:t xml:space="preserve"> —</w:t>
    </w:r>
  </w:p>
  <w:p w:rsidR="00BB1A82" w:rsidRDefault="00BB1A8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82" w:rsidRDefault="00BB1A82">
    <w:pPr>
      <w:pStyle w:val="a5"/>
      <w:framePr w:wrap="around" w:vAnchor="text" w:hAnchor="margin" w:xAlign="outside" w:y="1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color w:val="FFFFFF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47C87">
      <w:rPr>
        <w:rStyle w:val="aa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  <w:r>
      <w:rPr>
        <w:rStyle w:val="aa"/>
        <w:rFonts w:ascii="宋体" w:hAnsi="宋体" w:hint="eastAsia"/>
        <w:color w:val="FFFFFF"/>
        <w:sz w:val="28"/>
        <w:szCs w:val="28"/>
      </w:rPr>
      <w:t>—</w:t>
    </w:r>
  </w:p>
  <w:p w:rsidR="00BB1A82" w:rsidRDefault="00BB1A82">
    <w:pPr>
      <w:pStyle w:val="a5"/>
      <w:ind w:right="360" w:firstLine="360"/>
    </w:pPr>
    <w:r>
      <w:rPr>
        <w:rStyle w:val="aa"/>
      </w:rPr>
      <w:t xml:space="preserve">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D00" w:rsidRDefault="005A0D00">
      <w:r>
        <w:separator/>
      </w:r>
    </w:p>
  </w:footnote>
  <w:footnote w:type="continuationSeparator" w:id="1">
    <w:p w:rsidR="005A0D00" w:rsidRDefault="005A0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lWkdvcQnYZCX9CL5oR3X1JaOqeo=" w:salt="89v5j/67kHid7ClYbI9BMw=="/>
  <w:defaultTabStop w:val="425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655AD"/>
    <w:rsid w:val="00024134"/>
    <w:rsid w:val="00047C87"/>
    <w:rsid w:val="00062B43"/>
    <w:rsid w:val="00085791"/>
    <w:rsid w:val="000921E6"/>
    <w:rsid w:val="000C5D66"/>
    <w:rsid w:val="000F7CCD"/>
    <w:rsid w:val="00104D71"/>
    <w:rsid w:val="001576D0"/>
    <w:rsid w:val="00163252"/>
    <w:rsid w:val="00176C92"/>
    <w:rsid w:val="00190169"/>
    <w:rsid w:val="001C6EE1"/>
    <w:rsid w:val="001D79D9"/>
    <w:rsid w:val="001F56FF"/>
    <w:rsid w:val="001F7AB1"/>
    <w:rsid w:val="00281F86"/>
    <w:rsid w:val="00295083"/>
    <w:rsid w:val="0029557D"/>
    <w:rsid w:val="002D1D3B"/>
    <w:rsid w:val="002E7479"/>
    <w:rsid w:val="002F2190"/>
    <w:rsid w:val="00301B33"/>
    <w:rsid w:val="0033579A"/>
    <w:rsid w:val="00335D89"/>
    <w:rsid w:val="003F5308"/>
    <w:rsid w:val="0042420E"/>
    <w:rsid w:val="00435DC1"/>
    <w:rsid w:val="00437762"/>
    <w:rsid w:val="004417FE"/>
    <w:rsid w:val="004655AD"/>
    <w:rsid w:val="004C4193"/>
    <w:rsid w:val="005A0D00"/>
    <w:rsid w:val="005C3C91"/>
    <w:rsid w:val="005E3E2F"/>
    <w:rsid w:val="00604C56"/>
    <w:rsid w:val="00613A59"/>
    <w:rsid w:val="006223C7"/>
    <w:rsid w:val="00633B30"/>
    <w:rsid w:val="00652857"/>
    <w:rsid w:val="00664CA3"/>
    <w:rsid w:val="00671580"/>
    <w:rsid w:val="00686473"/>
    <w:rsid w:val="006A7E06"/>
    <w:rsid w:val="006C7EA2"/>
    <w:rsid w:val="0070576E"/>
    <w:rsid w:val="00705A67"/>
    <w:rsid w:val="00734F61"/>
    <w:rsid w:val="007D036D"/>
    <w:rsid w:val="007D2A23"/>
    <w:rsid w:val="00856992"/>
    <w:rsid w:val="008664C7"/>
    <w:rsid w:val="008D0FB6"/>
    <w:rsid w:val="008D6AB6"/>
    <w:rsid w:val="008E1F57"/>
    <w:rsid w:val="008E2223"/>
    <w:rsid w:val="008F0FAE"/>
    <w:rsid w:val="008F2DD5"/>
    <w:rsid w:val="008F5F1C"/>
    <w:rsid w:val="009079CB"/>
    <w:rsid w:val="0094574C"/>
    <w:rsid w:val="00947670"/>
    <w:rsid w:val="00980956"/>
    <w:rsid w:val="00982973"/>
    <w:rsid w:val="00985184"/>
    <w:rsid w:val="009E05E9"/>
    <w:rsid w:val="009E1D31"/>
    <w:rsid w:val="009E7AF6"/>
    <w:rsid w:val="00A00D52"/>
    <w:rsid w:val="00A327FE"/>
    <w:rsid w:val="00A3431F"/>
    <w:rsid w:val="00A82500"/>
    <w:rsid w:val="00AD3C72"/>
    <w:rsid w:val="00B10D4D"/>
    <w:rsid w:val="00B31137"/>
    <w:rsid w:val="00B64A43"/>
    <w:rsid w:val="00BB1A82"/>
    <w:rsid w:val="00BE1D84"/>
    <w:rsid w:val="00C27F32"/>
    <w:rsid w:val="00C3309C"/>
    <w:rsid w:val="00C642EF"/>
    <w:rsid w:val="00C827D8"/>
    <w:rsid w:val="00CB5EFE"/>
    <w:rsid w:val="00CB63A9"/>
    <w:rsid w:val="00CE0C59"/>
    <w:rsid w:val="00CE2800"/>
    <w:rsid w:val="00D12AF4"/>
    <w:rsid w:val="00D2316F"/>
    <w:rsid w:val="00D26BA1"/>
    <w:rsid w:val="00D31734"/>
    <w:rsid w:val="00D570BC"/>
    <w:rsid w:val="00D910B3"/>
    <w:rsid w:val="00DD2190"/>
    <w:rsid w:val="00DE7903"/>
    <w:rsid w:val="00DF65F3"/>
    <w:rsid w:val="00E81F88"/>
    <w:rsid w:val="00EA49BC"/>
    <w:rsid w:val="00EB72D8"/>
    <w:rsid w:val="00ED51DD"/>
    <w:rsid w:val="00F24803"/>
    <w:rsid w:val="00F40039"/>
    <w:rsid w:val="00F524DB"/>
    <w:rsid w:val="00FF5299"/>
    <w:rsid w:val="236372FF"/>
    <w:rsid w:val="35A633AE"/>
    <w:rsid w:val="5990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spacing w:after="120" w:line="312" w:lineRule="atLeast"/>
      <w:textAlignment w:val="baseline"/>
    </w:pPr>
    <w:rPr>
      <w:kern w:val="0"/>
    </w:rPr>
  </w:style>
  <w:style w:type="paragraph" w:styleId="a4">
    <w:name w:val="Body Text Indent"/>
    <w:basedOn w:val="a"/>
    <w:pPr>
      <w:adjustRightInd w:val="0"/>
      <w:spacing w:after="120" w:line="312" w:lineRule="atLeast"/>
      <w:ind w:left="420"/>
      <w:textAlignment w:val="baseline"/>
    </w:pPr>
    <w:rPr>
      <w:kern w:val="0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character" w:customStyle="1" w:styleId="Char">
    <w:name w:val="页脚 Char"/>
    <w:basedOn w:val="a0"/>
    <w:link w:val="a5"/>
    <w:semiHidden/>
    <w:locked/>
    <w:rPr>
      <w:rFonts w:eastAsia="宋体"/>
      <w:sz w:val="18"/>
      <w:lang w:val="en-US" w:eastAsia="zh-CN" w:bidi="ar-SA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qFormat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</w:rPr>
  </w:style>
  <w:style w:type="paragraph" w:styleId="a8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Title"/>
    <w:basedOn w:val="a"/>
    <w:qFormat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</w:rPr>
  </w:style>
  <w:style w:type="character" w:styleId="aa">
    <w:name w:val="page number"/>
    <w:basedOn w:val="a0"/>
  </w:style>
  <w:style w:type="character" w:customStyle="1" w:styleId="ab">
    <w:name w:val="公文拟稿人"/>
    <w:basedOn w:val="a0"/>
    <w:rPr>
      <w:rFonts w:ascii="仿宋_GB2312" w:eastAsia="仿宋_GB2312"/>
      <w:sz w:val="32"/>
    </w:rPr>
  </w:style>
  <w:style w:type="character" w:customStyle="1" w:styleId="ac">
    <w:name w:val="公文校对"/>
    <w:basedOn w:val="ad"/>
    <w:rPr>
      <w:sz w:val="28"/>
    </w:rPr>
  </w:style>
  <w:style w:type="character" w:customStyle="1" w:styleId="ad">
    <w:name w:val="公文签发日期"/>
    <w:basedOn w:val="a0"/>
    <w:rPr>
      <w:rFonts w:eastAsia="仿宋_GB2312"/>
      <w:sz w:val="32"/>
    </w:rPr>
  </w:style>
  <w:style w:type="character" w:customStyle="1" w:styleId="ae">
    <w:name w:val="公文文种"/>
    <w:basedOn w:val="a0"/>
    <w:rPr>
      <w:rFonts w:eastAsia="宋体"/>
      <w:sz w:val="32"/>
    </w:rPr>
  </w:style>
  <w:style w:type="character" w:customStyle="1" w:styleId="af">
    <w:name w:val="公文抄报"/>
    <w:basedOn w:val="a0"/>
    <w:rPr>
      <w:rFonts w:eastAsia="仿宋_GB2312"/>
      <w:sz w:val="28"/>
    </w:rPr>
  </w:style>
  <w:style w:type="character" w:customStyle="1" w:styleId="af0">
    <w:name w:val="公文主送"/>
    <w:basedOn w:val="a0"/>
    <w:rPr>
      <w:rFonts w:eastAsia="仿宋_GB2312"/>
      <w:sz w:val="32"/>
    </w:rPr>
  </w:style>
  <w:style w:type="character" w:customStyle="1" w:styleId="af1">
    <w:name w:val="公文文号"/>
    <w:basedOn w:val="a0"/>
    <w:rPr>
      <w:rFonts w:eastAsia="仿宋_GB2312"/>
      <w:sz w:val="32"/>
    </w:rPr>
  </w:style>
  <w:style w:type="character" w:customStyle="1" w:styleId="af2">
    <w:name w:val="公文标题"/>
    <w:basedOn w:val="a0"/>
    <w:rPr>
      <w:rFonts w:eastAsia="方正小标宋_GBK"/>
      <w:sz w:val="44"/>
    </w:rPr>
  </w:style>
  <w:style w:type="character" w:customStyle="1" w:styleId="af3">
    <w:name w:val="公文正文"/>
    <w:basedOn w:val="a0"/>
    <w:rPr>
      <w:rFonts w:ascii="仿宋_GB2312" w:eastAsia="仿宋_GB2312"/>
      <w:sz w:val="32"/>
    </w:rPr>
  </w:style>
  <w:style w:type="character" w:customStyle="1" w:styleId="af4">
    <w:name w:val="公文打字"/>
    <w:basedOn w:val="ad"/>
    <w:rPr>
      <w:sz w:val="28"/>
    </w:rPr>
  </w:style>
  <w:style w:type="character" w:customStyle="1" w:styleId="af5">
    <w:name w:val="公文发出日期"/>
    <w:basedOn w:val="ad"/>
    <w:rPr>
      <w:sz w:val="28"/>
    </w:rPr>
  </w:style>
  <w:style w:type="character" w:customStyle="1" w:styleId="af6">
    <w:name w:val="公文主题词"/>
    <w:basedOn w:val="ad"/>
    <w:rPr>
      <w:rFonts w:eastAsia="方正小标宋_GBK"/>
    </w:rPr>
  </w:style>
  <w:style w:type="character" w:customStyle="1" w:styleId="af7">
    <w:name w:val="公文份数"/>
    <w:basedOn w:val="ad"/>
    <w:rPr>
      <w:sz w:val="28"/>
    </w:rPr>
  </w:style>
  <w:style w:type="character" w:customStyle="1" w:styleId="af8">
    <w:name w:val="公文抄送"/>
    <w:basedOn w:val="a0"/>
    <w:rPr>
      <w:rFonts w:eastAsia="仿宋_GB2312"/>
      <w:sz w:val="28"/>
    </w:rPr>
  </w:style>
  <w:style w:type="paragraph" w:styleId="af9">
    <w:name w:val="Balloon Text"/>
    <w:basedOn w:val="a"/>
    <w:semiHidden/>
    <w:rsid w:val="002D1D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Normal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B9E48A4-6A50-4A1F-99E8-0A56DF7D94F0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登记编号：云府登×号</dc:title>
  <dc:creator>昆明市人民政府办公厅</dc:creator>
  <cp:lastModifiedBy>赵志俊</cp:lastModifiedBy>
  <cp:revision>2</cp:revision>
  <cp:lastPrinted>2012-07-28T08:39:00Z</cp:lastPrinted>
  <dcterms:created xsi:type="dcterms:W3CDTF">2021-10-29T02:06:00Z</dcterms:created>
  <dcterms:modified xsi:type="dcterms:W3CDTF">2021-10-29T02:06:00Z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3A6C4671E1BA4C08B7AA14ED7D0CA80C</vt:lpwstr>
  </property>
  <property fmtid="{D5CDD505-2E9C-101B-9397-08002B2CF9AE}" pid="4" name="newsealcount">
    <vt:i4>1</vt:i4>
  </property>
  <property fmtid="{D5CDD505-2E9C-101B-9397-08002B2CF9AE}" pid="5" name="docranid">
    <vt:lpwstr>30554F758C594B4AB71F49058662EA6E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