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olor w:val="000000"/>
          <w:spacing w:val="20"/>
          <w:w w:val="105"/>
          <w:sz w:val="52"/>
          <w:szCs w:val="52"/>
        </w:rPr>
      </w:pPr>
      <w:r>
        <w:rPr>
          <w:rFonts w:hint="eastAsia" w:ascii="黑体" w:hAnsi="宋体" w:eastAsia="黑体"/>
          <w:color w:val="000000"/>
          <w:spacing w:val="20"/>
          <w:w w:val="105"/>
          <w:sz w:val="52"/>
          <w:szCs w:val="52"/>
        </w:rPr>
        <w:t>产品质量监督抽查实施细则</w:t>
      </w:r>
    </w:p>
    <w:p>
      <w:pPr>
        <w:rPr>
          <w:rFonts w:ascii="黑体" w:hAnsi="宋体" w:eastAsia="黑体"/>
          <w:color w:val="000000"/>
          <w:spacing w:val="20"/>
          <w:w w:val="105"/>
          <w:sz w:val="28"/>
          <w:szCs w:val="28"/>
        </w:rPr>
      </w:pPr>
    </w:p>
    <w:p>
      <w:pPr>
        <w:wordWrap w:val="0"/>
        <w:spacing w:before="240"/>
        <w:ind w:right="-766"/>
        <w:jc w:val="right"/>
        <w:rPr>
          <w:rFonts w:ascii="黑体" w:hAnsi="宋体" w:eastAsia="黑体"/>
          <w:color w:val="000000"/>
          <w:sz w:val="28"/>
          <w:szCs w:val="28"/>
        </w:rPr>
      </w:pPr>
      <w:r>
        <w:rPr>
          <w:rFonts w:hint="eastAsia" w:ascii="黑体" w:hAnsi="宋体" w:eastAsia="黑体"/>
          <w:color w:val="auto"/>
          <w:sz w:val="28"/>
          <w:szCs w:val="28"/>
        </w:rPr>
        <w:t>GDCCXZ</w:t>
      </w:r>
      <w:r>
        <w:rPr>
          <w:rFonts w:hint="eastAsia" w:ascii="黑体" w:hAnsi="宋体" w:eastAsia="黑体"/>
          <w:color w:val="auto"/>
          <w:sz w:val="28"/>
          <w:szCs w:val="28"/>
          <w:lang w:val="en-US" w:eastAsia="zh-CN"/>
        </w:rPr>
        <w:t>01</w:t>
      </w:r>
      <w:r>
        <w:rPr>
          <w:rFonts w:hint="eastAsia" w:ascii="黑体" w:hAnsi="宋体" w:eastAsia="黑体"/>
          <w:color w:val="auto"/>
          <w:sz w:val="28"/>
          <w:szCs w:val="28"/>
        </w:rPr>
        <w:t>—</w:t>
      </w:r>
      <w:r>
        <w:rPr>
          <w:rFonts w:hint="eastAsia" w:ascii="黑体" w:hAnsi="宋体" w:eastAsia="黑体"/>
          <w:color w:val="000000"/>
          <w:sz w:val="28"/>
          <w:szCs w:val="28"/>
        </w:rPr>
        <w:t>2021</w:t>
      </w:r>
    </w:p>
    <w:p>
      <w:pPr>
        <w:rPr>
          <w:rFonts w:ascii="宋体" w:hAnsi="宋体"/>
          <w:color w:val="000000"/>
          <w:sz w:val="24"/>
          <w:szCs w:val="21"/>
        </w:rPr>
      </w:pPr>
      <w:r>
        <w:rPr>
          <w:rFonts w:ascii="Calibri" w:hAnsi="Calibri"/>
          <w:sz w:val="24"/>
          <w:szCs w:val="22"/>
        </w:rPr>
        <w:pict>
          <v:line id="_x0000_s1028" o:spid="_x0000_s1028" o:spt="20" style="position:absolute;left:0pt;margin-left:30pt;margin-top:0pt;height:0pt;width:423pt;z-index:251657216;mso-width-relative:page;mso-height-relative:page;" stroked="t" coordsize="21600,21600" o:gfxdata="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&#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nKy80gAAAAQBAAAPAAAAAAAAAAEAIAAAACIAAABk&#10;cnMvZG93bnJldi54bWxQSwECFAAUAAAACACHTuJA0FjLa9MBAACcAwAADgAAAAAAAAABACAAAAAh&#10;AQAAZHJzL2Uyb0RvYy54bWxQSwUGAAAAAAYABgBZAQAAZgUAAAAA&#10;">
            <v:path arrowok="t"/>
            <v:fill focussize="0,0"/>
            <v:stroke weight="1pt" color="#800008"/>
            <v:imagedata o:title=""/>
            <o:lock v:ext="edit"/>
          </v:line>
        </w:pic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spacing w:line="440" w:lineRule="exact"/>
        <w:jc w:val="center"/>
        <w:rPr>
          <w:rFonts w:ascii="黑体" w:hAnsi="黑体" w:eastAsia="黑体"/>
          <w:sz w:val="44"/>
          <w:szCs w:val="44"/>
        </w:rPr>
      </w:pPr>
      <w:r>
        <w:rPr>
          <w:rFonts w:hint="eastAsia" w:ascii="黑体" w:hAnsi="黑体" w:eastAsia="黑体"/>
          <w:sz w:val="44"/>
          <w:szCs w:val="44"/>
        </w:rPr>
        <w:t>电动自行车</w:t>
      </w:r>
    </w:p>
    <w:p>
      <w:pPr>
        <w:jc w:val="center"/>
        <w:rPr>
          <w:rFonts w:ascii="宋体" w:hAnsi="宋体"/>
          <w:color w:val="000000"/>
          <w:sz w:val="44"/>
          <w:szCs w:val="44"/>
        </w:rPr>
      </w:pPr>
    </w:p>
    <w:p>
      <w:pPr>
        <w:jc w:val="center"/>
        <w:rPr>
          <w:rFonts w:ascii="宋体" w:hAnsi="宋体"/>
          <w:b/>
          <w:color w:val="000000"/>
          <w:szCs w:val="21"/>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rPr>
          <w:color w:val="000000"/>
        </w:rPr>
      </w:pPr>
    </w:p>
    <w:p>
      <w:pPr>
        <w:ind w:firstLine="140" w:firstLineChars="50"/>
        <w:rPr>
          <w:rFonts w:ascii="黑体" w:hAnsi="宋体" w:eastAsia="黑体"/>
          <w:color w:val="auto"/>
          <w:sz w:val="28"/>
          <w:szCs w:val="28"/>
        </w:rPr>
      </w:pPr>
      <w:r>
        <w:rPr>
          <w:rFonts w:hint="eastAsia" w:ascii="黑体" w:hAnsi="宋体" w:eastAsia="黑体"/>
          <w:color w:val="auto"/>
          <w:sz w:val="28"/>
          <w:szCs w:val="28"/>
        </w:rPr>
        <w:t>2021—03—16发布                        2021—03—16实施</w:t>
      </w:r>
    </w:p>
    <w:p>
      <w:pPr>
        <w:rPr>
          <w:color w:val="000000"/>
          <w:sz w:val="24"/>
          <w:u w:val="single"/>
        </w:rPr>
      </w:pPr>
      <w:r>
        <w:rPr>
          <w:sz w:val="24"/>
        </w:rPr>
        <w:pict>
          <v:line id="_x0000_s1029" o:spid="_x0000_s1029" o:spt="20" style="position:absolute;left:0pt;margin-left:0pt;margin-top:0pt;height:0pt;width:414pt;z-index:251658240;mso-width-relative:page;mso-height-relative:page;" stroked="t" coordsize="21600,21600" o:gfxdata="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RIa50AAAAAIBAAAPAAAAAAAAAAEAIAAAACIAAABkcnMv&#10;ZG93bnJldi54bWxQSwECFAAUAAAACACHTuJAkOuhXtIBAACcAwAADgAAAAAAAAABACAAAAAfAQAA&#10;ZHJzL2Uyb0RvYy54bWxQSwUGAAAAAAYABgBZAQAAYwUAAAAA&#10;">
            <v:path arrowok="t"/>
            <v:fill focussize="0,0"/>
            <v:stroke weight="1pt" color="#800008"/>
            <v:imagedata o:title=""/>
            <o:lock v:ext="edit"/>
          </v:line>
        </w:pict>
      </w:r>
    </w:p>
    <w:p>
      <w:pPr>
        <w:rPr>
          <w:color w:val="000000"/>
          <w:u w:val="single"/>
        </w:rPr>
      </w:pPr>
    </w:p>
    <w:p>
      <w:pPr>
        <w:jc w:val="center"/>
        <w:rPr>
          <w:rFonts w:ascii="黑体" w:eastAsia="黑体"/>
          <w:color w:val="000000"/>
          <w:w w:val="148"/>
          <w:sz w:val="36"/>
          <w:szCs w:val="36"/>
        </w:rPr>
      </w:pPr>
      <w:r>
        <w:rPr>
          <w:rFonts w:hint="eastAsia" w:ascii="黑体" w:eastAsia="黑体"/>
          <w:color w:val="000000"/>
          <w:w w:val="148"/>
          <w:sz w:val="36"/>
          <w:szCs w:val="36"/>
        </w:rPr>
        <w:t>昆明市官渡区市场监督管理局</w:t>
      </w:r>
    </w:p>
    <w:p>
      <w:pPr>
        <w:jc w:val="center"/>
        <w:rPr>
          <w:rFonts w:ascii="黑体" w:hAnsi="黑体" w:eastAsia="黑体"/>
          <w:color w:val="000000"/>
          <w:w w:val="148"/>
          <w:sz w:val="36"/>
          <w:szCs w:val="36"/>
        </w:rPr>
      </w:pPr>
    </w:p>
    <w:p>
      <w:pPr>
        <w:spacing w:line="440" w:lineRule="exact"/>
        <w:jc w:val="center"/>
        <w:rPr>
          <w:rFonts w:ascii="黑体" w:eastAsia="黑体" w:cs="Sim Sun"/>
          <w:kern w:val="0"/>
          <w:sz w:val="30"/>
          <w:szCs w:val="30"/>
        </w:rPr>
      </w:pPr>
      <w:r>
        <w:rPr>
          <w:rFonts w:hint="eastAsia" w:ascii="黑体" w:eastAsia="黑体" w:cs="Sim Sun"/>
          <w:kern w:val="0"/>
          <w:sz w:val="30"/>
          <w:szCs w:val="30"/>
        </w:rPr>
        <w:t>电动自行车产品质量监督抽查实施细则</w:t>
      </w:r>
    </w:p>
    <w:p>
      <w:pPr>
        <w:shd w:val="clear" w:color="auto" w:fill="FFFFFF"/>
        <w:snapToGrid w:val="0"/>
        <w:spacing w:line="440" w:lineRule="exact"/>
        <w:jc w:val="center"/>
        <w:rPr>
          <w:color w:val="000000"/>
        </w:rPr>
      </w:pPr>
    </w:p>
    <w:p>
      <w:pPr>
        <w:snapToGrid w:val="0"/>
        <w:spacing w:line="440" w:lineRule="exact"/>
        <w:rPr>
          <w:rFonts w:ascii="黑体" w:hAnsi="宋体" w:eastAsia="黑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 xml:space="preserve">1 </w:t>
      </w:r>
      <w:r>
        <w:rPr>
          <w:rFonts w:hint="eastAsia" w:ascii="黑体" w:hAnsi="宋体" w:eastAsia="黑体"/>
          <w:color w:val="000000"/>
        </w:rPr>
        <w:t>适用范围</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本细则适用于昆明市官渡区市场监督管理局组织的2021年电动自行车产品质量监督抽查。抽查范围为流通领域销售的</w:t>
      </w:r>
      <w:r>
        <w:rPr>
          <w:rFonts w:hint="eastAsia" w:ascii="宋体" w:hAnsi="宋体"/>
          <w:szCs w:val="21"/>
        </w:rPr>
        <w:t>装配完整的</w:t>
      </w:r>
      <w:r>
        <w:rPr>
          <w:rFonts w:hint="eastAsia" w:ascii="宋体" w:hAnsi="宋体"/>
          <w:color w:val="000000"/>
          <w:szCs w:val="21"/>
        </w:rPr>
        <w:t>电动自行车。本细则内容包括术语和定义、产品分类、检验依据、抽样、检验要求、判定原则及异议处理复检。</w:t>
      </w:r>
    </w:p>
    <w:p>
      <w:pPr>
        <w:snapToGrid w:val="0"/>
        <w:spacing w:line="440" w:lineRule="exact"/>
        <w:ind w:firstLine="420" w:firstLineChars="200"/>
        <w:rPr>
          <w:rFonts w:ascii="宋体" w:hAnsi="宋体"/>
          <w:color w:val="000000"/>
          <w:szCs w:val="21"/>
        </w:rPr>
      </w:pPr>
    </w:p>
    <w:p>
      <w:pPr>
        <w:snapToGrid w:val="0"/>
        <w:spacing w:line="440" w:lineRule="exact"/>
        <w:rPr>
          <w:rFonts w:ascii="黑体" w:hAnsi="宋体" w:eastAsia="黑体"/>
          <w:color w:val="000000"/>
        </w:rPr>
      </w:pPr>
      <w:r>
        <w:rPr>
          <w:rFonts w:hint="eastAsia" w:ascii="黑体" w:hAnsi="宋体" w:eastAsia="黑体"/>
          <w:color w:val="000000"/>
        </w:rPr>
        <w:t>2术语和定义</w:t>
      </w:r>
    </w:p>
    <w:p>
      <w:pPr>
        <w:snapToGrid w:val="0"/>
        <w:spacing w:line="440" w:lineRule="exact"/>
        <w:ind w:firstLine="411" w:firstLineChars="196"/>
        <w:rPr>
          <w:rFonts w:ascii="宋体" w:hAnsi="宋体" w:cs="Sim Sun"/>
          <w:kern w:val="0"/>
        </w:rPr>
      </w:pPr>
      <w:r>
        <w:rPr>
          <w:rFonts w:hint="eastAsia" w:ascii="宋体" w:hAnsi="宋体" w:cs="Arial"/>
          <w:szCs w:val="21"/>
        </w:rPr>
        <w:t>电动自行车：</w:t>
      </w:r>
      <w:r>
        <w:rPr>
          <w:rFonts w:hint="eastAsia" w:ascii="宋体" w:hAnsi="宋体" w:cs="Sim Sun"/>
          <w:kern w:val="0"/>
        </w:rPr>
        <w:t>以车载蓄电池作为辅助能源，具有脚踏行驶能力，能实现电助动或电驱动功能的两轮自行车。</w:t>
      </w:r>
    </w:p>
    <w:p>
      <w:pPr>
        <w:snapToGrid w:val="0"/>
        <w:spacing w:line="440" w:lineRule="exact"/>
        <w:rPr>
          <w:rFonts w:ascii="宋体" w:hAnsi="宋体" w:cs="宋体"/>
          <w:szCs w:val="21"/>
        </w:rPr>
      </w:pPr>
      <w:r>
        <w:rPr>
          <w:rFonts w:hint="eastAsia" w:ascii="宋体" w:hAnsi="宋体" w:cs="宋体"/>
          <w:szCs w:val="21"/>
        </w:rPr>
        <w:t xml:space="preserve">    本细则中未列出的术语和定义同相关引用标准。</w:t>
      </w:r>
    </w:p>
    <w:p>
      <w:pPr>
        <w:snapToGrid w:val="0"/>
        <w:spacing w:line="440" w:lineRule="exact"/>
        <w:rPr>
          <w:rFonts w:ascii="宋体" w:hAnsi="宋体" w:cs="宋体"/>
          <w:color w:val="FF0000"/>
          <w:szCs w:val="21"/>
        </w:rPr>
      </w:pPr>
    </w:p>
    <w:p>
      <w:pPr>
        <w:snapToGrid w:val="0"/>
        <w:spacing w:line="440" w:lineRule="exact"/>
        <w:rPr>
          <w:rFonts w:ascii="宋体" w:hAnsi="宋体"/>
          <w:color w:val="000000"/>
          <w:szCs w:val="21"/>
        </w:rPr>
      </w:pPr>
      <w:r>
        <w:rPr>
          <w:rFonts w:hint="eastAsia" w:ascii="黑体" w:hAnsi="宋体" w:eastAsia="黑体"/>
          <w:color w:val="000000"/>
        </w:rPr>
        <w:t>3 产品分类</w:t>
      </w:r>
    </w:p>
    <w:p>
      <w:pPr>
        <w:pStyle w:val="15"/>
        <w:spacing w:line="440" w:lineRule="exact"/>
        <w:ind w:left="122" w:leftChars="58" w:firstLine="321" w:firstLineChars="150"/>
        <w:rPr>
          <w:rFonts w:ascii="宋体" w:hAnsi="宋体" w:eastAsia="宋体" w:cs="宋体"/>
          <w:kern w:val="2"/>
          <w:sz w:val="21"/>
          <w:szCs w:val="21"/>
        </w:rPr>
      </w:pPr>
      <w:r>
        <w:rPr>
          <w:rFonts w:hint="eastAsia" w:ascii="宋体" w:hAnsi="宋体" w:eastAsia="宋体" w:cs="宋体"/>
          <w:sz w:val="21"/>
          <w:szCs w:val="21"/>
        </w:rPr>
        <w:t>按驱动方式分为电驱动和电助动</w:t>
      </w:r>
      <w:r>
        <w:rPr>
          <w:rFonts w:hint="eastAsia" w:ascii="宋体" w:hAnsi="宋体" w:eastAsia="宋体" w:cs="宋体"/>
          <w:kern w:val="2"/>
          <w:sz w:val="21"/>
          <w:szCs w:val="21"/>
        </w:rPr>
        <w:t>。</w:t>
      </w:r>
    </w:p>
    <w:p>
      <w:pPr>
        <w:snapToGrid w:val="0"/>
        <w:spacing w:line="440" w:lineRule="exact"/>
        <w:rPr>
          <w:rFonts w:ascii="黑体" w:hAnsi="宋体" w:eastAsia="黑体"/>
          <w:color w:val="000000"/>
        </w:rPr>
      </w:pPr>
    </w:p>
    <w:p>
      <w:pPr>
        <w:snapToGrid w:val="0"/>
        <w:spacing w:line="440" w:lineRule="exact"/>
        <w:rPr>
          <w:rFonts w:ascii="宋体" w:hAnsi="宋体"/>
          <w:color w:val="000000"/>
          <w:szCs w:val="21"/>
        </w:rPr>
      </w:pPr>
      <w:r>
        <w:rPr>
          <w:rFonts w:hint="eastAsia" w:ascii="黑体" w:hAnsi="宋体" w:eastAsia="黑体"/>
          <w:color w:val="000000"/>
        </w:rPr>
        <w:t xml:space="preserve">4 </w:t>
      </w:r>
      <w:r>
        <w:rPr>
          <w:rFonts w:hint="eastAsia" w:ascii="黑体" w:hAnsi="黑体" w:eastAsia="黑体"/>
          <w:color w:val="000000"/>
          <w:szCs w:val="21"/>
        </w:rPr>
        <w:t>检验依据</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凡是注明日期的文件，其随后所有的修改单（不包括勘误的内容）或修订版均不适用于本细则。凡是不注日期的文件，其最新版本适用于本细则。</w:t>
      </w:r>
    </w:p>
    <w:p>
      <w:pPr>
        <w:snapToGrid w:val="0"/>
        <w:spacing w:line="440" w:lineRule="exact"/>
        <w:ind w:firstLine="420" w:firstLineChars="200"/>
        <w:rPr>
          <w:rFonts w:ascii="宋体" w:hAnsi="宋体"/>
          <w:color w:val="000000"/>
        </w:rPr>
      </w:pPr>
      <w:r>
        <w:rPr>
          <w:rFonts w:ascii="宋体" w:hAnsi="宋体"/>
          <w:color w:val="000000"/>
        </w:rPr>
        <w:t>GB</w:t>
      </w:r>
      <w:r>
        <w:rPr>
          <w:rFonts w:hint="eastAsia" w:ascii="宋体" w:hAnsi="宋体"/>
          <w:color w:val="000000"/>
        </w:rPr>
        <w:t xml:space="preserve"> 17761-2018</w:t>
      </w:r>
      <w:r>
        <w:rPr>
          <w:rFonts w:ascii="宋体" w:hAnsi="宋体"/>
          <w:color w:val="000000"/>
        </w:rPr>
        <w:t xml:space="preserve">   </w:t>
      </w:r>
      <w:r>
        <w:rPr>
          <w:rFonts w:hint="eastAsia" w:ascii="宋体" w:hAnsi="宋体"/>
          <w:color w:val="000000"/>
        </w:rPr>
        <w:t xml:space="preserve"> 电动自行车安全技术规范</w:t>
      </w:r>
    </w:p>
    <w:p>
      <w:pPr>
        <w:snapToGrid w:val="0"/>
        <w:spacing w:line="440" w:lineRule="exact"/>
        <w:ind w:firstLine="420" w:firstLineChars="200"/>
        <w:rPr>
          <w:rFonts w:ascii="宋体" w:hAnsi="宋体" w:cs="Arial"/>
          <w:color w:val="000000"/>
          <w:szCs w:val="21"/>
        </w:rPr>
      </w:pPr>
      <w:r>
        <w:rPr>
          <w:rFonts w:hint="eastAsia" w:ascii="宋体" w:hAnsi="宋体" w:cs="Arial"/>
          <w:color w:val="000000"/>
          <w:szCs w:val="21"/>
        </w:rPr>
        <w:t>国家相关法律、法规和部门规章制度</w:t>
      </w:r>
    </w:p>
    <w:p>
      <w:pPr>
        <w:snapToGrid w:val="0"/>
        <w:spacing w:line="440" w:lineRule="exact"/>
        <w:ind w:firstLine="420" w:firstLineChars="200"/>
        <w:rPr>
          <w:rFonts w:ascii="宋体" w:hAnsi="宋体"/>
          <w:color w:val="000000"/>
          <w:szCs w:val="21"/>
        </w:rPr>
      </w:pPr>
      <w:r>
        <w:rPr>
          <w:rFonts w:hint="eastAsia" w:ascii="宋体" w:hAnsi="宋体" w:cs="Arial"/>
          <w:color w:val="000000"/>
          <w:szCs w:val="21"/>
        </w:rPr>
        <w:t>经公示的企业标准、团体标准或明示质量要求</w:t>
      </w:r>
    </w:p>
    <w:p>
      <w:pPr>
        <w:snapToGrid w:val="0"/>
        <w:spacing w:line="440" w:lineRule="exact"/>
        <w:rPr>
          <w:rFonts w:ascii="宋体" w:hAnsi="宋体"/>
          <w:color w:val="000000"/>
          <w:szCs w:val="21"/>
        </w:rPr>
      </w:pPr>
    </w:p>
    <w:p>
      <w:pPr>
        <w:snapToGrid w:val="0"/>
        <w:spacing w:line="440" w:lineRule="exact"/>
        <w:rPr>
          <w:rFonts w:ascii="黑体" w:hAnsi="宋体" w:eastAsia="黑体"/>
          <w:color w:val="000000"/>
        </w:rPr>
      </w:pPr>
      <w:r>
        <w:rPr>
          <w:rFonts w:hint="eastAsia" w:ascii="黑体" w:hAnsi="宋体" w:eastAsia="黑体"/>
          <w:color w:val="000000"/>
        </w:rPr>
        <w:t>5 抽样</w:t>
      </w:r>
    </w:p>
    <w:p>
      <w:pPr>
        <w:spacing w:line="440" w:lineRule="exact"/>
        <w:rPr>
          <w:rFonts w:ascii="宋体" w:hAnsi="宋体" w:cs="Arial"/>
          <w:szCs w:val="21"/>
        </w:rPr>
      </w:pPr>
      <w:r>
        <w:rPr>
          <w:rFonts w:hint="eastAsia" w:ascii="宋体" w:hAnsi="宋体" w:cs="Arial"/>
          <w:szCs w:val="21"/>
        </w:rPr>
        <w:t>5.1 抽样方法、基数和数量</w:t>
      </w:r>
    </w:p>
    <w:p>
      <w:pPr>
        <w:snapToGrid w:val="0"/>
        <w:spacing w:line="440" w:lineRule="exact"/>
        <w:rPr>
          <w:rFonts w:ascii="宋体" w:hAnsi="宋体" w:cs="Sim Sun"/>
          <w:bCs/>
          <w:color w:val="000000"/>
          <w:kern w:val="0"/>
          <w:sz w:val="24"/>
        </w:rPr>
      </w:pPr>
      <w:r>
        <w:rPr>
          <w:rFonts w:hint="eastAsia" w:ascii="宋体" w:hAnsi="宋体" w:cs="Sim Sun"/>
          <w:bCs/>
          <w:color w:val="000000"/>
          <w:kern w:val="0"/>
          <w:szCs w:val="21"/>
        </w:rPr>
        <w:t>5.1.1 抽样方法</w:t>
      </w:r>
    </w:p>
    <w:p>
      <w:pPr>
        <w:spacing w:line="440" w:lineRule="exact"/>
        <w:rPr>
          <w:rFonts w:ascii="宋体" w:hAnsi="宋体" w:cs="宋体"/>
          <w:szCs w:val="21"/>
        </w:rPr>
      </w:pPr>
      <w:r>
        <w:rPr>
          <w:rFonts w:hint="eastAsia" w:ascii="宋体" w:hAnsi="宋体" w:cs="Arial"/>
          <w:szCs w:val="21"/>
        </w:rPr>
        <w:t xml:space="preserve">    抽样人员由昆明市官渡区市场监督管理局委托的抽样机构组成，抽样人员不得少于两人，并向被抽样生产者、销售者出示昆明市官渡区市场监督管理局出具的监督抽查通知书、抽样人员身份证明。同时还应当出示昆明市官渡区市场监督管理局出具的授权委托书复印件、相关</w:t>
      </w:r>
      <w:r>
        <w:rPr>
          <w:rFonts w:hint="eastAsia" w:ascii="宋体" w:hAnsi="宋体"/>
          <w:szCs w:val="21"/>
        </w:rPr>
        <w:t>任务文件</w:t>
      </w:r>
      <w:r>
        <w:rPr>
          <w:rFonts w:hint="eastAsia" w:ascii="宋体" w:hAnsi="宋体" w:cs="Arial"/>
          <w:szCs w:val="21"/>
        </w:rPr>
        <w:t>。抽样人员应当告知被抽样生产者、销售者抽查产品范围、抽样方法等。样品应当由抽样人员在被抽样生产者、销售者待销的具有质量合格证明或者以其他形式表明合格的产品中随机抽取，不得由被抽样生产者、销售者自行抽样。抽取的样品应为同一生产者按照同一标准生产的同一商标、同一规格型号的市场主导产品（以下简称“同一产品”）。</w:t>
      </w:r>
      <w:r>
        <w:rPr>
          <w:rFonts w:hint="eastAsia" w:ascii="宋体" w:hAnsi="宋体" w:cs="宋体"/>
          <w:szCs w:val="21"/>
        </w:rPr>
        <w:t xml:space="preserve"> </w:t>
      </w:r>
    </w:p>
    <w:p>
      <w:pPr>
        <w:snapToGrid w:val="0"/>
        <w:spacing w:line="440" w:lineRule="exact"/>
        <w:rPr>
          <w:rFonts w:ascii="宋体" w:hAnsi="宋体" w:cs="Sim Sun"/>
          <w:bCs/>
          <w:color w:val="000000"/>
          <w:kern w:val="0"/>
          <w:szCs w:val="21"/>
        </w:rPr>
      </w:pPr>
      <w:r>
        <w:rPr>
          <w:rFonts w:hint="eastAsia" w:ascii="宋体" w:hAnsi="宋体" w:cs="Sim Sun"/>
          <w:bCs/>
          <w:color w:val="000000"/>
          <w:kern w:val="0"/>
          <w:szCs w:val="21"/>
        </w:rPr>
        <w:t>5.1.2 抽样基数和抽样数量</w:t>
      </w:r>
    </w:p>
    <w:p>
      <w:pPr>
        <w:snapToGrid w:val="0"/>
        <w:spacing w:line="440" w:lineRule="exact"/>
        <w:ind w:firstLine="405"/>
        <w:rPr>
          <w:rFonts w:ascii="宋体" w:hAnsi="宋体" w:cs="Sim Sun"/>
          <w:bCs/>
          <w:color w:val="000000"/>
          <w:kern w:val="0"/>
          <w:szCs w:val="21"/>
        </w:rPr>
      </w:pPr>
      <w:r>
        <w:rPr>
          <w:rFonts w:hint="eastAsia" w:ascii="宋体" w:hAnsi="宋体" w:cs="Sim Sun"/>
          <w:bCs/>
          <w:color w:val="000000"/>
          <w:kern w:val="0"/>
          <w:szCs w:val="21"/>
        </w:rPr>
        <w:t>详见表1所示：</w:t>
      </w:r>
    </w:p>
    <w:p>
      <w:pPr>
        <w:snapToGrid w:val="0"/>
        <w:spacing w:line="440" w:lineRule="exact"/>
        <w:ind w:firstLine="405"/>
        <w:jc w:val="center"/>
        <w:rPr>
          <w:rFonts w:ascii="黑体" w:hAnsi="黑体" w:eastAsia="黑体" w:cs="Sim Sun"/>
          <w:bCs/>
          <w:color w:val="000000"/>
          <w:kern w:val="0"/>
          <w:szCs w:val="21"/>
        </w:rPr>
      </w:pPr>
      <w:r>
        <w:rPr>
          <w:rFonts w:hint="eastAsia" w:ascii="黑体" w:hAnsi="黑体" w:eastAsia="黑体" w:cs="Sim Sun"/>
          <w:bCs/>
          <w:color w:val="000000"/>
          <w:kern w:val="0"/>
          <w:szCs w:val="21"/>
        </w:rPr>
        <w:t>表1  抽样基数和抽样数量</w:t>
      </w:r>
    </w:p>
    <w:tbl>
      <w:tblPr>
        <w:tblStyle w:val="9"/>
        <w:tblW w:w="94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35"/>
        <w:gridCol w:w="3135"/>
        <w:gridCol w:w="3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 w:hRule="atLeast"/>
        </w:trPr>
        <w:tc>
          <w:tcPr>
            <w:tcW w:w="3135" w:type="dxa"/>
          </w:tcPr>
          <w:p>
            <w:pPr>
              <w:snapToGrid w:val="0"/>
              <w:spacing w:line="440" w:lineRule="exact"/>
              <w:jc w:val="center"/>
              <w:rPr>
                <w:rFonts w:ascii="宋体" w:hAnsi="宋体" w:cs="Sim Sun"/>
                <w:bCs/>
                <w:color w:val="000000"/>
                <w:kern w:val="0"/>
                <w:sz w:val="18"/>
                <w:szCs w:val="18"/>
              </w:rPr>
            </w:pPr>
            <w:r>
              <w:rPr>
                <w:rFonts w:hint="eastAsia" w:ascii="宋体" w:hAnsi="宋体" w:cs="Sim Sun"/>
                <w:bCs/>
                <w:color w:val="000000"/>
                <w:kern w:val="0"/>
                <w:sz w:val="18"/>
                <w:szCs w:val="18"/>
              </w:rPr>
              <w:t>产品名称</w:t>
            </w:r>
          </w:p>
        </w:tc>
        <w:tc>
          <w:tcPr>
            <w:tcW w:w="3135" w:type="dxa"/>
          </w:tcPr>
          <w:p>
            <w:pPr>
              <w:snapToGrid w:val="0"/>
              <w:spacing w:line="440" w:lineRule="exact"/>
              <w:jc w:val="center"/>
              <w:rPr>
                <w:rFonts w:ascii="宋体" w:hAnsi="宋体" w:cs="Sim Sun"/>
                <w:bCs/>
                <w:color w:val="000000"/>
                <w:kern w:val="0"/>
                <w:sz w:val="18"/>
                <w:szCs w:val="18"/>
              </w:rPr>
            </w:pPr>
            <w:r>
              <w:rPr>
                <w:rFonts w:hint="eastAsia" w:ascii="宋体" w:hAnsi="宋体" w:cs="Sim Sun"/>
                <w:bCs/>
                <w:color w:val="000000"/>
                <w:kern w:val="0"/>
                <w:sz w:val="18"/>
                <w:szCs w:val="18"/>
              </w:rPr>
              <w:t>抽样基数</w:t>
            </w:r>
          </w:p>
        </w:tc>
        <w:tc>
          <w:tcPr>
            <w:tcW w:w="3136" w:type="dxa"/>
          </w:tcPr>
          <w:p>
            <w:pPr>
              <w:snapToGrid w:val="0"/>
              <w:spacing w:line="440" w:lineRule="exact"/>
              <w:jc w:val="center"/>
              <w:rPr>
                <w:rFonts w:ascii="宋体" w:hAnsi="宋体" w:cs="Sim Sun"/>
                <w:bCs/>
                <w:color w:val="000000"/>
                <w:kern w:val="0"/>
                <w:sz w:val="18"/>
                <w:szCs w:val="18"/>
              </w:rPr>
            </w:pPr>
            <w:r>
              <w:rPr>
                <w:rFonts w:hint="eastAsia" w:ascii="宋体" w:hAnsi="宋体" w:cs="Sim Sun"/>
                <w:bCs/>
                <w:color w:val="000000"/>
                <w:kern w:val="0"/>
                <w:sz w:val="18"/>
                <w:szCs w:val="18"/>
              </w:rPr>
              <w:t>抽样数量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6" w:hRule="atLeast"/>
        </w:trPr>
        <w:tc>
          <w:tcPr>
            <w:tcW w:w="3135" w:type="dxa"/>
            <w:vAlign w:val="center"/>
          </w:tcPr>
          <w:p>
            <w:pPr>
              <w:jc w:val="center"/>
              <w:rPr>
                <w:rFonts w:ascii="宋体" w:hAnsi="宋体" w:cs="Sim Sun"/>
                <w:bCs/>
                <w:color w:val="000000"/>
                <w:kern w:val="0"/>
                <w:sz w:val="18"/>
                <w:szCs w:val="18"/>
              </w:rPr>
            </w:pPr>
            <w:r>
              <w:rPr>
                <w:rFonts w:hint="eastAsia" w:ascii="宋体" w:hAnsi="宋体" w:cs="Arial"/>
                <w:color w:val="000000"/>
                <w:sz w:val="18"/>
                <w:szCs w:val="18"/>
              </w:rPr>
              <w:t>电动自行车</w:t>
            </w:r>
          </w:p>
        </w:tc>
        <w:tc>
          <w:tcPr>
            <w:tcW w:w="3135" w:type="dxa"/>
            <w:vAlign w:val="center"/>
          </w:tcPr>
          <w:p>
            <w:pPr>
              <w:jc w:val="center"/>
              <w:rPr>
                <w:rFonts w:ascii="宋体" w:hAnsi="宋体" w:cs="Sim Sun"/>
                <w:bCs/>
                <w:kern w:val="0"/>
                <w:sz w:val="18"/>
                <w:szCs w:val="18"/>
              </w:rPr>
            </w:pPr>
            <w:r>
              <w:rPr>
                <w:rFonts w:hint="eastAsia" w:ascii="宋体" w:hAnsi="宋体" w:cs="Arial"/>
                <w:sz w:val="18"/>
                <w:szCs w:val="18"/>
              </w:rPr>
              <w:t xml:space="preserve">  </w:t>
            </w:r>
            <w:r>
              <w:rPr>
                <w:rFonts w:hint="eastAsia" w:ascii="宋体" w:hAnsi="宋体"/>
                <w:sz w:val="18"/>
                <w:szCs w:val="18"/>
              </w:rPr>
              <w:t>抽样基数以实际生产销售数量计，最低基数满足抽样数量即可</w:t>
            </w:r>
          </w:p>
        </w:tc>
        <w:tc>
          <w:tcPr>
            <w:tcW w:w="3136" w:type="dxa"/>
            <w:vAlign w:val="center"/>
          </w:tcPr>
          <w:p>
            <w:pPr>
              <w:ind w:firstLine="270" w:firstLineChars="150"/>
              <w:jc w:val="left"/>
              <w:rPr>
                <w:rFonts w:ascii="宋体" w:hAnsi="宋体" w:cs="Sim Sun"/>
                <w:bCs/>
                <w:kern w:val="0"/>
                <w:sz w:val="18"/>
                <w:szCs w:val="18"/>
              </w:rPr>
            </w:pPr>
            <w:r>
              <w:rPr>
                <w:rFonts w:hint="eastAsia" w:ascii="宋体" w:hAnsi="宋体" w:cs="Arial"/>
                <w:sz w:val="18"/>
                <w:szCs w:val="18"/>
              </w:rPr>
              <w:t>优先抽取具有代表性的规格型号产品，每种产品共抽取2辆，1辆作为检样，1辆作为备样。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4" w:hRule="atLeast"/>
        </w:trPr>
        <w:tc>
          <w:tcPr>
            <w:tcW w:w="9406" w:type="dxa"/>
            <w:gridSpan w:val="3"/>
            <w:vAlign w:val="center"/>
          </w:tcPr>
          <w:p>
            <w:pPr>
              <w:snapToGrid w:val="0"/>
              <w:ind w:firstLine="270" w:firstLineChars="150"/>
              <w:rPr>
                <w:rFonts w:ascii="宋体" w:hAnsi="宋体" w:cs="Arial"/>
                <w:sz w:val="18"/>
                <w:szCs w:val="18"/>
              </w:rPr>
            </w:pPr>
            <w:r>
              <w:rPr>
                <w:rFonts w:hint="eastAsia" w:ascii="宋体" w:hAnsi="宋体" w:cs="Arial"/>
                <w:sz w:val="18"/>
                <w:szCs w:val="18"/>
              </w:rPr>
              <w:t>注：</w:t>
            </w:r>
            <w:r>
              <w:rPr>
                <w:rFonts w:hint="eastAsia" w:ascii="宋体" w:hAnsi="宋体"/>
                <w:sz w:val="18"/>
                <w:szCs w:val="18"/>
              </w:rPr>
              <w:t>所抽样车应为经销售商确认装配完整的电动自行车，即配备有为其使用目的所必需的全部部件（含说明书、合格证中明示的所有配件，包括但不限于充电器、电池、脚蹬等）的电动自行车。</w:t>
            </w:r>
          </w:p>
        </w:tc>
      </w:tr>
    </w:tbl>
    <w:p/>
    <w:p>
      <w:pPr>
        <w:snapToGrid w:val="0"/>
        <w:spacing w:line="440" w:lineRule="exact"/>
        <w:rPr>
          <w:rFonts w:ascii="宋体" w:hAnsi="宋体" w:cs="Sim Sun"/>
          <w:bCs/>
          <w:color w:val="000000"/>
          <w:kern w:val="0"/>
          <w:szCs w:val="21"/>
        </w:rPr>
      </w:pPr>
      <w:r>
        <w:rPr>
          <w:rFonts w:hint="eastAsia" w:ascii="宋体" w:hAnsi="宋体" w:cs="Sim Sun"/>
          <w:bCs/>
          <w:color w:val="000000"/>
          <w:kern w:val="0"/>
          <w:szCs w:val="21"/>
        </w:rPr>
        <w:t>5.2 抽样文书</w:t>
      </w:r>
    </w:p>
    <w:p>
      <w:pPr>
        <w:snapToGrid w:val="0"/>
        <w:spacing w:line="440" w:lineRule="exact"/>
        <w:rPr>
          <w:rFonts w:ascii="宋体" w:hAnsi="宋体" w:cs="Arial"/>
          <w:color w:val="000000"/>
          <w:szCs w:val="21"/>
        </w:rPr>
      </w:pPr>
      <w:r>
        <w:rPr>
          <w:rFonts w:hint="eastAsia" w:ascii="宋体" w:hAnsi="宋体" w:cs="Arial"/>
          <w:color w:val="000000"/>
          <w:szCs w:val="21"/>
        </w:rPr>
        <w:t>5.2.1 抽样单按组织机构要求由抽样人员填写，</w:t>
      </w:r>
      <w:r>
        <w:rPr>
          <w:rFonts w:ascii="宋体" w:hAnsi="宋体" w:cs="Arial"/>
          <w:color w:val="000000"/>
          <w:szCs w:val="21"/>
        </w:rPr>
        <w:t>样品及抽样单内容经受检单位代表（经手人）确认无误后，由抽样人员与受检单位代表（经手人）在抽样单上签字、盖章</w:t>
      </w:r>
      <w:r>
        <w:rPr>
          <w:rFonts w:hint="eastAsia" w:ascii="宋体" w:hAnsi="宋体" w:cs="Arial"/>
          <w:color w:val="000000"/>
          <w:szCs w:val="21"/>
        </w:rPr>
        <w:t>。</w:t>
      </w:r>
    </w:p>
    <w:p>
      <w:pPr>
        <w:snapToGrid w:val="0"/>
        <w:spacing w:line="440" w:lineRule="exact"/>
        <w:rPr>
          <w:rFonts w:ascii="宋体" w:hAnsi="宋体" w:cs="Arial"/>
          <w:color w:val="000000"/>
          <w:szCs w:val="21"/>
        </w:rPr>
      </w:pPr>
      <w:r>
        <w:rPr>
          <w:rFonts w:hint="eastAsia" w:ascii="宋体" w:hAnsi="宋体" w:cs="Arial"/>
          <w:color w:val="000000"/>
          <w:szCs w:val="21"/>
        </w:rPr>
        <w:t>5.2.2 抽样文书应当经抽样人员和被抽样生产者、销售者签字确认。抽样文书确需更正或者补充的，应当由被抽样生产者、销售者在更正或者补充处以签名、盖章等方式予以确认。</w:t>
      </w:r>
    </w:p>
    <w:p>
      <w:pPr>
        <w:snapToGrid w:val="0"/>
        <w:spacing w:line="440" w:lineRule="exact"/>
        <w:rPr>
          <w:rFonts w:ascii="宋体" w:hAnsi="宋体"/>
          <w:color w:val="000000"/>
          <w:szCs w:val="21"/>
        </w:rPr>
      </w:pPr>
      <w:r>
        <w:rPr>
          <w:rFonts w:hint="eastAsia" w:ascii="宋体" w:hAnsi="宋体"/>
          <w:color w:val="000000"/>
          <w:szCs w:val="21"/>
        </w:rPr>
        <w:t>5.3 样品处置</w:t>
      </w:r>
    </w:p>
    <w:p>
      <w:pPr>
        <w:snapToGrid w:val="0"/>
        <w:spacing w:line="440" w:lineRule="exact"/>
        <w:rPr>
          <w:rFonts w:ascii="宋体" w:hAnsi="宋体" w:cs="Arial"/>
          <w:szCs w:val="21"/>
        </w:rPr>
      </w:pPr>
      <w:r>
        <w:rPr>
          <w:rFonts w:hint="eastAsia" w:ascii="宋体" w:hAnsi="宋体" w:cs="Arial"/>
          <w:color w:val="000000"/>
          <w:szCs w:val="21"/>
        </w:rPr>
        <w:t>5.3.1 抽样人员应当采取有效的防拆封措施，对检验样品和备用样品分别封样，并由抽样人员和被抽样生产者、销售者签字确认。</w:t>
      </w:r>
      <w:r>
        <w:rPr>
          <w:rFonts w:ascii="宋体" w:hAnsi="宋体" w:cs="Arial"/>
          <w:color w:val="000000"/>
          <w:szCs w:val="21"/>
        </w:rPr>
        <w:t>当场封存样品，加贴封条，封条上应有受检单位代表</w:t>
      </w:r>
      <w:r>
        <w:rPr>
          <w:rFonts w:ascii="宋体" w:hAnsi="宋体" w:cs="Arial"/>
          <w:szCs w:val="21"/>
        </w:rPr>
        <w:t>（经手人）签名、抽样人员签名、抽样单位盖章、抽样日期及抽样编号</w:t>
      </w:r>
      <w:r>
        <w:rPr>
          <w:rFonts w:hint="eastAsia" w:ascii="宋体" w:hAnsi="宋体" w:cs="Arial"/>
          <w:szCs w:val="21"/>
        </w:rPr>
        <w:t>。</w:t>
      </w:r>
    </w:p>
    <w:p>
      <w:pPr>
        <w:snapToGrid w:val="0"/>
        <w:spacing w:line="440" w:lineRule="exact"/>
        <w:rPr>
          <w:rFonts w:ascii="宋体" w:hAnsi="宋体"/>
          <w:szCs w:val="21"/>
        </w:rPr>
      </w:pPr>
      <w:r>
        <w:rPr>
          <w:rFonts w:hint="eastAsia" w:ascii="宋体" w:hAnsi="宋体" w:cs="Arial"/>
          <w:szCs w:val="21"/>
        </w:rPr>
        <w:t>5.3.2 检验样品应当由抽样人员携带或者寄递至检验机构进行检验，备用样品封存于被抽样生产者处或销售者处。</w:t>
      </w:r>
    </w:p>
    <w:p>
      <w:pPr>
        <w:snapToGrid w:val="0"/>
        <w:spacing w:line="440" w:lineRule="exact"/>
        <w:rPr>
          <w:rFonts w:ascii="宋体" w:hAnsi="宋体" w:cs="Arial"/>
          <w:color w:val="000000"/>
          <w:szCs w:val="21"/>
        </w:rPr>
      </w:pPr>
      <w:r>
        <w:rPr>
          <w:rFonts w:hint="eastAsia" w:ascii="宋体" w:hAnsi="宋体" w:cs="Arial"/>
          <w:szCs w:val="21"/>
        </w:rPr>
        <w:t>5.3.3 样品需要先行存放在被抽样生产者、销售者处的，应当予以封存，并加施封存标识。被</w:t>
      </w:r>
      <w:r>
        <w:rPr>
          <w:rFonts w:hint="eastAsia" w:ascii="宋体" w:hAnsi="宋体" w:cs="Arial"/>
          <w:color w:val="000000"/>
          <w:szCs w:val="21"/>
        </w:rPr>
        <w:t>抽样生产者、销售者应当妥善保管封存的样品，不得隐匿、转移、变卖、损毁。</w:t>
      </w:r>
    </w:p>
    <w:p>
      <w:pPr>
        <w:snapToGrid w:val="0"/>
        <w:spacing w:line="440" w:lineRule="exact"/>
        <w:rPr>
          <w:rFonts w:ascii="宋体" w:hAnsi="宋体"/>
          <w:color w:val="000000"/>
          <w:szCs w:val="21"/>
        </w:rPr>
      </w:pPr>
      <w:r>
        <w:rPr>
          <w:rFonts w:hint="eastAsia" w:ascii="宋体" w:hAnsi="宋体"/>
          <w:color w:val="000000"/>
          <w:szCs w:val="21"/>
        </w:rPr>
        <w:t>5.4 抽样注意事项</w:t>
      </w:r>
    </w:p>
    <w:p>
      <w:pPr>
        <w:snapToGrid w:val="0"/>
        <w:spacing w:line="440" w:lineRule="exact"/>
        <w:rPr>
          <w:rFonts w:ascii="宋体" w:hAnsi="宋体" w:cs="Arial"/>
          <w:color w:val="000000"/>
          <w:szCs w:val="21"/>
        </w:rPr>
      </w:pPr>
      <w:r>
        <w:rPr>
          <w:rFonts w:hint="eastAsia" w:ascii="宋体" w:hAnsi="宋体" w:cs="Arial"/>
          <w:color w:val="000000"/>
          <w:szCs w:val="21"/>
        </w:rPr>
        <w:t xml:space="preserve">5.4.1 </w:t>
      </w:r>
      <w:r>
        <w:rPr>
          <w:rFonts w:hint="eastAsia" w:ascii="宋体" w:hAnsi="宋体" w:cs="Arial"/>
          <w:szCs w:val="21"/>
        </w:rPr>
        <w:t>同一市场监督管理部门</w:t>
      </w:r>
      <w:r>
        <w:rPr>
          <w:rFonts w:hint="eastAsia" w:ascii="宋体" w:hAnsi="宋体" w:cs="Arial"/>
          <w:color w:val="000000"/>
          <w:szCs w:val="21"/>
        </w:rPr>
        <w:t>不得在六个月内对同一生产者按照同一标准生产的同一商标、同一规格型号的产品进行两次以上监督抽查。</w:t>
      </w:r>
    </w:p>
    <w:p>
      <w:pPr>
        <w:snapToGrid w:val="0"/>
        <w:spacing w:line="440" w:lineRule="exact"/>
        <w:rPr>
          <w:rFonts w:ascii="宋体" w:hAnsi="宋体" w:cs="Arial"/>
          <w:color w:val="000000"/>
          <w:szCs w:val="21"/>
        </w:rPr>
      </w:pPr>
      <w:r>
        <w:rPr>
          <w:rFonts w:hint="eastAsia" w:ascii="宋体" w:hAnsi="宋体" w:cs="Arial"/>
          <w:color w:val="000000"/>
          <w:szCs w:val="21"/>
        </w:rPr>
        <w:t>5.4.2 有下列情形之一的，抽样人员不得抽样：</w:t>
      </w:r>
    </w:p>
    <w:p>
      <w:pPr>
        <w:snapToGrid w:val="0"/>
        <w:spacing w:line="440" w:lineRule="exact"/>
        <w:rPr>
          <w:rFonts w:ascii="宋体" w:hAnsi="宋体" w:cs="Arial"/>
          <w:color w:val="000000"/>
          <w:szCs w:val="21"/>
        </w:rPr>
      </w:pPr>
      <w:r>
        <w:rPr>
          <w:rFonts w:hint="eastAsia" w:ascii="宋体" w:hAnsi="宋体" w:cs="Arial"/>
          <w:color w:val="000000"/>
          <w:szCs w:val="21"/>
        </w:rPr>
        <w:t xml:space="preserve">    （1）待销产品数量不符合监督抽查实施细则要求的；</w:t>
      </w:r>
    </w:p>
    <w:p>
      <w:pPr>
        <w:snapToGrid w:val="0"/>
        <w:spacing w:line="440" w:lineRule="exact"/>
        <w:rPr>
          <w:rFonts w:ascii="宋体" w:hAnsi="宋体" w:cs="Arial"/>
          <w:color w:val="000000"/>
          <w:szCs w:val="21"/>
        </w:rPr>
      </w:pPr>
      <w:r>
        <w:rPr>
          <w:rFonts w:hint="eastAsia" w:ascii="宋体" w:hAnsi="宋体" w:cs="Arial"/>
          <w:color w:val="000000"/>
          <w:szCs w:val="21"/>
        </w:rPr>
        <w:t xml:space="preserve">    （2）有充分证据表明拟抽样产品不用于销售，或者只用于出口并且出口合同对产品质量另有约定的；</w:t>
      </w:r>
    </w:p>
    <w:p>
      <w:pPr>
        <w:snapToGrid w:val="0"/>
        <w:spacing w:line="440" w:lineRule="exact"/>
        <w:rPr>
          <w:rFonts w:ascii="宋体" w:hAnsi="宋体" w:cs="Arial"/>
          <w:color w:val="000000"/>
          <w:szCs w:val="21"/>
        </w:rPr>
      </w:pPr>
      <w:r>
        <w:rPr>
          <w:rFonts w:hint="eastAsia" w:ascii="宋体" w:hAnsi="宋体" w:cs="Arial"/>
          <w:color w:val="000000"/>
          <w:szCs w:val="21"/>
        </w:rPr>
        <w:t xml:space="preserve">    （3）产品或者其包装上标注“试制”、“处理”、“样品”等字样的。</w:t>
      </w:r>
    </w:p>
    <w:p>
      <w:pPr>
        <w:snapToGrid w:val="0"/>
        <w:spacing w:line="440" w:lineRule="exact"/>
        <w:rPr>
          <w:rFonts w:ascii="宋体" w:hAnsi="宋体" w:cs="Arial"/>
          <w:szCs w:val="21"/>
        </w:rPr>
      </w:pPr>
      <w:r>
        <w:rPr>
          <w:rFonts w:hint="eastAsia" w:ascii="宋体" w:hAnsi="宋体" w:cs="Arial"/>
          <w:szCs w:val="21"/>
        </w:rPr>
        <w:t>5.4.3 终止抽样的情形：</w:t>
      </w:r>
    </w:p>
    <w:p>
      <w:pPr>
        <w:snapToGrid w:val="0"/>
        <w:spacing w:line="440" w:lineRule="exact"/>
        <w:ind w:firstLine="315" w:firstLineChars="150"/>
        <w:rPr>
          <w:rFonts w:ascii="宋体" w:hAnsi="宋体" w:cs="Arial"/>
          <w:color w:val="000000" w:themeColor="text1"/>
          <w:szCs w:val="21"/>
          <w14:textFill>
            <w14:solidFill>
              <w14:schemeClr w14:val="tx1"/>
            </w14:solidFill>
          </w14:textFill>
        </w:rPr>
      </w:pPr>
      <w:r>
        <w:rPr>
          <w:rFonts w:hint="eastAsia" w:ascii="宋体" w:hAnsi="宋体" w:cs="Arial"/>
          <w:szCs w:val="21"/>
        </w:rPr>
        <w:t>抽样人员发现被抽样生产者、销售者涉嫌存在无证无照等（含”三无”产品）无需检验即可判定违法的情形的，应当终止抽样，立即报告昆明</w:t>
      </w:r>
      <w:bookmarkStart w:id="0" w:name="_GoBack"/>
      <w:bookmarkEnd w:id="0"/>
      <w:r>
        <w:rPr>
          <w:rFonts w:hint="eastAsia" w:ascii="宋体" w:hAnsi="宋体" w:cs="Arial"/>
          <w:szCs w:val="21"/>
        </w:rPr>
        <w:t>市官渡区市场监督管理局，并同时报告涉嫌违法的被抽样生产者、销售</w:t>
      </w:r>
      <w:r>
        <w:rPr>
          <w:rFonts w:hint="eastAsia" w:ascii="宋体" w:hAnsi="宋体" w:cs="Arial"/>
          <w:color w:val="000000" w:themeColor="text1"/>
          <w:szCs w:val="21"/>
          <w14:textFill>
            <w14:solidFill>
              <w14:schemeClr w14:val="tx1"/>
            </w14:solidFill>
          </w14:textFill>
        </w:rPr>
        <w:t>者所在地市场监督管理部门。</w:t>
      </w:r>
    </w:p>
    <w:p>
      <w:pPr>
        <w:snapToGrid w:val="0"/>
        <w:spacing w:line="440" w:lineRule="exact"/>
        <w:rPr>
          <w:rFonts w:ascii="宋体" w:hAnsi="宋体"/>
          <w:color w:val="000000"/>
          <w:szCs w:val="21"/>
        </w:rPr>
      </w:pPr>
      <w:r>
        <w:rPr>
          <w:rFonts w:hint="eastAsia" w:ascii="宋体" w:hAnsi="宋体" w:cs="Arial"/>
          <w:color w:val="000000"/>
          <w:szCs w:val="21"/>
        </w:rPr>
        <w:t>5.4.4 抽样人员应对抽样场所、贮存环境、被抽样产品的标识、库存数量、抽样过程等通过拍照和录像的方式留存证据。</w:t>
      </w:r>
    </w:p>
    <w:p>
      <w:pPr>
        <w:snapToGrid w:val="0"/>
        <w:spacing w:line="440" w:lineRule="exact"/>
        <w:rPr>
          <w:rFonts w:ascii="宋体" w:hAnsi="宋体"/>
          <w:color w:val="000000"/>
          <w:szCs w:val="21"/>
        </w:rPr>
      </w:pPr>
      <w:r>
        <w:rPr>
          <w:rFonts w:hint="eastAsia" w:ascii="宋体" w:hAnsi="宋体"/>
          <w:color w:val="000000"/>
          <w:szCs w:val="21"/>
        </w:rPr>
        <w:t>5.5 购样</w:t>
      </w:r>
    </w:p>
    <w:p>
      <w:pPr>
        <w:snapToGrid w:val="0"/>
        <w:spacing w:line="440" w:lineRule="exact"/>
        <w:rPr>
          <w:rFonts w:ascii="宋体" w:hAnsi="宋体"/>
          <w:szCs w:val="21"/>
        </w:rPr>
      </w:pPr>
      <w:r>
        <w:rPr>
          <w:rFonts w:hint="eastAsia" w:ascii="宋体" w:hAnsi="宋体"/>
          <w:szCs w:val="21"/>
        </w:rPr>
        <w:t>5.5.1 抽样人员应当购买检验样品。购买检验样品的价格以生产、销售产品的标价为准；没有标价的，以同类产品的市场价格为准。</w:t>
      </w:r>
    </w:p>
    <w:p>
      <w:pPr>
        <w:snapToGrid w:val="0"/>
        <w:spacing w:line="440" w:lineRule="exact"/>
        <w:rPr>
          <w:rFonts w:ascii="宋体" w:hAnsi="宋体"/>
          <w:color w:val="000000"/>
          <w:szCs w:val="21"/>
        </w:rPr>
      </w:pPr>
      <w:r>
        <w:rPr>
          <w:rFonts w:hint="eastAsia" w:ascii="宋体" w:hAnsi="宋体"/>
          <w:color w:val="000000"/>
          <w:szCs w:val="21"/>
        </w:rPr>
        <w:t>5.5.2 备用样品由被抽样生产者、销售者先行无偿提供。检验结论为合格并且属于无偿提供的样品，昆明市官渡区市场监督管理局在提出异议处理申请期限届满后及时退还。</w:t>
      </w:r>
    </w:p>
    <w:p>
      <w:pPr>
        <w:snapToGrid w:val="0"/>
        <w:spacing w:line="440" w:lineRule="exact"/>
        <w:rPr>
          <w:rFonts w:ascii="宋体" w:hAnsi="宋体"/>
          <w:szCs w:val="21"/>
        </w:rPr>
      </w:pPr>
      <w:r>
        <w:rPr>
          <w:rFonts w:hint="eastAsia" w:ascii="宋体" w:hAnsi="宋体"/>
          <w:szCs w:val="21"/>
        </w:rPr>
        <w:t>5.5.3 本细则中电动自行车检验样品和备用样品被抽样生产者、销售者先行无偿提供，检验结论为合格并且属于无偿提供的样品，昆明市官渡区市场监督管理局在提出异议处理申请期限届满后及时退还。其中，检验样品中涉及破坏性试验的防火性能零配件（充电器）需购买，购买的充电器不进行退样。</w:t>
      </w:r>
    </w:p>
    <w:p>
      <w:pPr>
        <w:snapToGrid w:val="0"/>
        <w:spacing w:line="440" w:lineRule="exact"/>
        <w:ind w:firstLine="420" w:firstLineChars="200"/>
        <w:rPr>
          <w:rFonts w:ascii="宋体" w:hAnsi="宋体"/>
          <w:szCs w:val="21"/>
        </w:rPr>
      </w:pPr>
    </w:p>
    <w:p>
      <w:pPr>
        <w:snapToGrid w:val="0"/>
        <w:spacing w:line="440" w:lineRule="exact"/>
        <w:rPr>
          <w:rFonts w:ascii="宋体" w:hAnsi="宋体"/>
          <w:szCs w:val="21"/>
        </w:rPr>
      </w:pPr>
      <w:r>
        <w:rPr>
          <w:rFonts w:hint="eastAsia" w:ascii="黑体" w:hAnsi="宋体" w:eastAsia="黑体"/>
          <w:color w:val="000000"/>
        </w:rPr>
        <w:t>6 检验要求</w:t>
      </w:r>
    </w:p>
    <w:p>
      <w:pPr>
        <w:snapToGrid w:val="0"/>
        <w:spacing w:line="440" w:lineRule="exact"/>
        <w:rPr>
          <w:rFonts w:ascii="宋体" w:hAnsi="宋体"/>
          <w:szCs w:val="21"/>
        </w:rPr>
      </w:pPr>
      <w:r>
        <w:rPr>
          <w:rFonts w:hint="eastAsia" w:ascii="宋体" w:hAnsi="宋体"/>
          <w:szCs w:val="21"/>
        </w:rPr>
        <w:t>6.1 检验项目及重要程度分类</w:t>
      </w:r>
    </w:p>
    <w:p>
      <w:pPr>
        <w:snapToGrid w:val="0"/>
        <w:spacing w:line="440" w:lineRule="exact"/>
        <w:rPr>
          <w:rFonts w:ascii="宋体" w:hAnsi="宋体"/>
          <w:szCs w:val="21"/>
        </w:rPr>
      </w:pPr>
      <w:r>
        <w:rPr>
          <w:rFonts w:hint="eastAsia" w:ascii="宋体" w:hAnsi="宋体"/>
          <w:szCs w:val="21"/>
        </w:rPr>
        <w:t xml:space="preserve">    详见表2所示：</w:t>
      </w:r>
    </w:p>
    <w:p>
      <w:pPr>
        <w:snapToGrid w:val="0"/>
        <w:spacing w:line="440" w:lineRule="exact"/>
        <w:jc w:val="center"/>
        <w:rPr>
          <w:rFonts w:ascii="黑体" w:hAnsi="黑体" w:eastAsia="黑体"/>
          <w:szCs w:val="21"/>
        </w:rPr>
      </w:pPr>
      <w:r>
        <w:rPr>
          <w:rFonts w:hint="eastAsia" w:ascii="黑体" w:hAnsi="黑体" w:eastAsia="黑体"/>
          <w:szCs w:val="21"/>
        </w:rPr>
        <w:t>表2  电动自行车检验项目及重要程度分类</w:t>
      </w:r>
    </w:p>
    <w:tbl>
      <w:tblPr>
        <w:tblStyle w:val="9"/>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1715"/>
        <w:gridCol w:w="1843"/>
        <w:gridCol w:w="1858"/>
        <w:gridCol w:w="576"/>
        <w:gridCol w:w="576"/>
        <w:gridCol w:w="57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blHeader/>
          <w:jc w:val="center"/>
        </w:trPr>
        <w:tc>
          <w:tcPr>
            <w:tcW w:w="567" w:type="dxa"/>
            <w:vMerge w:val="restart"/>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序号</w:t>
            </w:r>
          </w:p>
        </w:tc>
        <w:tc>
          <w:tcPr>
            <w:tcW w:w="2282"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检验项目</w:t>
            </w:r>
          </w:p>
        </w:tc>
        <w:tc>
          <w:tcPr>
            <w:tcW w:w="1843" w:type="dxa"/>
            <w:vMerge w:val="restart"/>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依据标准</w:t>
            </w:r>
          </w:p>
        </w:tc>
        <w:tc>
          <w:tcPr>
            <w:tcW w:w="1858" w:type="dxa"/>
            <w:vMerge w:val="restart"/>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检测方法</w:t>
            </w:r>
          </w:p>
        </w:tc>
        <w:tc>
          <w:tcPr>
            <w:tcW w:w="1729" w:type="dxa"/>
            <w:gridSpan w:val="3"/>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重要程度分类</w:t>
            </w:r>
          </w:p>
        </w:tc>
        <w:tc>
          <w:tcPr>
            <w:tcW w:w="1189" w:type="dxa"/>
            <w:vMerge w:val="restart"/>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blHeader/>
          <w:jc w:val="center"/>
        </w:trPr>
        <w:tc>
          <w:tcPr>
            <w:tcW w:w="567" w:type="dxa"/>
            <w:vMerge w:val="continue"/>
            <w:tcBorders>
              <w:left w:val="single" w:color="auto" w:sz="4" w:space="0"/>
              <w:right w:val="single" w:color="auto" w:sz="4" w:space="0"/>
            </w:tcBorders>
            <w:vAlign w:val="center"/>
          </w:tcPr>
          <w:p>
            <w:pPr>
              <w:jc w:val="center"/>
              <w:rPr>
                <w:rFonts w:ascii="宋体" w:hAnsi="宋体" w:cs="Arial"/>
                <w:sz w:val="18"/>
                <w:szCs w:val="18"/>
              </w:rPr>
            </w:pPr>
          </w:p>
        </w:tc>
        <w:tc>
          <w:tcPr>
            <w:tcW w:w="2282" w:type="dxa"/>
            <w:gridSpan w:val="2"/>
            <w:vMerge w:val="continue"/>
            <w:tcBorders>
              <w:left w:val="single" w:color="auto" w:sz="4" w:space="0"/>
              <w:right w:val="single" w:color="auto" w:sz="4" w:space="0"/>
            </w:tcBorders>
            <w:vAlign w:val="center"/>
          </w:tcPr>
          <w:p>
            <w:pPr>
              <w:jc w:val="center"/>
              <w:rPr>
                <w:rFonts w:ascii="宋体" w:hAnsi="宋体" w:cs="Arial"/>
                <w:sz w:val="18"/>
                <w:szCs w:val="18"/>
              </w:rPr>
            </w:pPr>
          </w:p>
        </w:tc>
        <w:tc>
          <w:tcPr>
            <w:tcW w:w="1843" w:type="dxa"/>
            <w:vMerge w:val="continue"/>
            <w:tcBorders>
              <w:left w:val="single" w:color="auto" w:sz="4" w:space="0"/>
              <w:right w:val="single" w:color="auto" w:sz="4" w:space="0"/>
            </w:tcBorders>
            <w:vAlign w:val="center"/>
          </w:tcPr>
          <w:p>
            <w:pPr>
              <w:jc w:val="center"/>
              <w:rPr>
                <w:rFonts w:ascii="宋体" w:hAnsi="宋体" w:cs="Arial"/>
                <w:sz w:val="18"/>
                <w:szCs w:val="18"/>
              </w:rPr>
            </w:pPr>
          </w:p>
        </w:tc>
        <w:tc>
          <w:tcPr>
            <w:tcW w:w="1858" w:type="dxa"/>
            <w:vMerge w:val="continue"/>
            <w:tcBorders>
              <w:left w:val="single" w:color="auto" w:sz="4" w:space="0"/>
              <w:right w:val="single" w:color="auto" w:sz="4" w:space="0"/>
            </w:tcBorders>
            <w:vAlign w:val="center"/>
          </w:tcPr>
          <w:p>
            <w:pPr>
              <w:jc w:val="center"/>
              <w:rPr>
                <w:rFonts w:ascii="宋体" w:hAnsi="宋体" w:cs="Arial"/>
                <w:sz w:val="18"/>
                <w:szCs w:val="18"/>
              </w:rPr>
            </w:pPr>
          </w:p>
        </w:tc>
        <w:tc>
          <w:tcPr>
            <w:tcW w:w="576"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A类</w:t>
            </w:r>
          </w:p>
        </w:tc>
        <w:tc>
          <w:tcPr>
            <w:tcW w:w="576"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B类</w:t>
            </w:r>
          </w:p>
        </w:tc>
        <w:tc>
          <w:tcPr>
            <w:tcW w:w="577"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C类</w:t>
            </w:r>
          </w:p>
        </w:tc>
        <w:tc>
          <w:tcPr>
            <w:tcW w:w="1189" w:type="dxa"/>
            <w:vMerge w:val="continue"/>
            <w:tcBorders>
              <w:left w:val="single" w:color="auto" w:sz="4" w:space="0"/>
              <w:right w:val="single" w:color="auto" w:sz="4" w:space="0"/>
            </w:tcBorders>
            <w:vAlign w:val="center"/>
          </w:tcPr>
          <w:p>
            <w:pPr>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1</w:t>
            </w:r>
          </w:p>
        </w:tc>
        <w:tc>
          <w:tcPr>
            <w:tcW w:w="567" w:type="dxa"/>
            <w:vMerge w:val="restart"/>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整车标志</w:t>
            </w:r>
          </w:p>
        </w:tc>
        <w:tc>
          <w:tcPr>
            <w:tcW w:w="1715"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铭牌</w:t>
            </w:r>
          </w:p>
        </w:tc>
        <w:tc>
          <w:tcPr>
            <w:tcW w:w="1843"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tc>
        <w:tc>
          <w:tcPr>
            <w:tcW w:w="1858"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第5条</w:t>
            </w:r>
          </w:p>
        </w:tc>
        <w:tc>
          <w:tcPr>
            <w:tcW w:w="576"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p>
        </w:tc>
        <w:tc>
          <w:tcPr>
            <w:tcW w:w="576"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p>
        </w:tc>
        <w:tc>
          <w:tcPr>
            <w:tcW w:w="577"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1189"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2</w:t>
            </w:r>
          </w:p>
        </w:tc>
        <w:tc>
          <w:tcPr>
            <w:tcW w:w="567" w:type="dxa"/>
            <w:vMerge w:val="continue"/>
            <w:tcBorders>
              <w:left w:val="single" w:color="auto" w:sz="4" w:space="0"/>
              <w:right w:val="single" w:color="auto" w:sz="4" w:space="0"/>
            </w:tcBorders>
            <w:vAlign w:val="center"/>
          </w:tcPr>
          <w:p>
            <w:pPr>
              <w:jc w:val="center"/>
              <w:rPr>
                <w:rFonts w:ascii="宋体" w:hAnsi="宋体" w:cs="Arial"/>
                <w:sz w:val="18"/>
                <w:szCs w:val="18"/>
              </w:rPr>
            </w:pPr>
          </w:p>
        </w:tc>
        <w:tc>
          <w:tcPr>
            <w:tcW w:w="1715"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整车编码</w:t>
            </w:r>
          </w:p>
        </w:tc>
        <w:tc>
          <w:tcPr>
            <w:tcW w:w="1843" w:type="dxa"/>
            <w:vMerge w:val="continue"/>
            <w:tcBorders>
              <w:left w:val="single" w:color="auto" w:sz="4" w:space="0"/>
              <w:right w:val="single" w:color="auto" w:sz="4" w:space="0"/>
            </w:tcBorders>
            <w:vAlign w:val="center"/>
          </w:tcPr>
          <w:p>
            <w:pPr>
              <w:spacing w:line="320" w:lineRule="exact"/>
              <w:jc w:val="center"/>
              <w:rPr>
                <w:rFonts w:ascii="宋体" w:hAnsi="宋体" w:cs="Arial"/>
                <w:sz w:val="18"/>
                <w:szCs w:val="18"/>
              </w:rPr>
            </w:pPr>
          </w:p>
        </w:tc>
        <w:tc>
          <w:tcPr>
            <w:tcW w:w="1858" w:type="dxa"/>
            <w:vMerge w:val="continue"/>
            <w:tcBorders>
              <w:left w:val="single" w:color="auto" w:sz="4" w:space="0"/>
              <w:right w:val="single" w:color="auto" w:sz="4" w:space="0"/>
            </w:tcBorders>
            <w:vAlign w:val="center"/>
          </w:tcPr>
          <w:p>
            <w:pPr>
              <w:jc w:val="center"/>
              <w:rPr>
                <w:rFonts w:ascii="宋体" w:hAnsi="宋体" w:cs="Arial"/>
                <w:sz w:val="18"/>
                <w:szCs w:val="18"/>
              </w:rPr>
            </w:pPr>
          </w:p>
        </w:tc>
        <w:tc>
          <w:tcPr>
            <w:tcW w:w="576"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p>
        </w:tc>
        <w:tc>
          <w:tcPr>
            <w:tcW w:w="576"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p>
        </w:tc>
        <w:tc>
          <w:tcPr>
            <w:tcW w:w="577"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1189"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3</w:t>
            </w:r>
          </w:p>
        </w:tc>
        <w:tc>
          <w:tcPr>
            <w:tcW w:w="567" w:type="dxa"/>
            <w:vMerge w:val="continue"/>
            <w:tcBorders>
              <w:left w:val="single" w:color="auto" w:sz="4" w:space="0"/>
              <w:right w:val="single" w:color="auto" w:sz="4" w:space="0"/>
            </w:tcBorders>
            <w:vAlign w:val="center"/>
          </w:tcPr>
          <w:p>
            <w:pPr>
              <w:jc w:val="center"/>
              <w:rPr>
                <w:rFonts w:ascii="宋体" w:hAnsi="宋体" w:cs="Arial"/>
                <w:sz w:val="18"/>
                <w:szCs w:val="18"/>
              </w:rPr>
            </w:pPr>
          </w:p>
        </w:tc>
        <w:tc>
          <w:tcPr>
            <w:tcW w:w="1715"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电动机编码</w:t>
            </w:r>
          </w:p>
        </w:tc>
        <w:tc>
          <w:tcPr>
            <w:tcW w:w="1843" w:type="dxa"/>
            <w:vMerge w:val="continue"/>
            <w:tcBorders>
              <w:left w:val="single" w:color="auto" w:sz="4" w:space="0"/>
              <w:right w:val="single" w:color="auto" w:sz="4" w:space="0"/>
            </w:tcBorders>
            <w:vAlign w:val="center"/>
          </w:tcPr>
          <w:p>
            <w:pPr>
              <w:spacing w:line="320" w:lineRule="exact"/>
              <w:jc w:val="center"/>
              <w:rPr>
                <w:rFonts w:ascii="宋体" w:hAnsi="宋体" w:cs="Arial"/>
                <w:sz w:val="18"/>
                <w:szCs w:val="18"/>
              </w:rPr>
            </w:pPr>
          </w:p>
        </w:tc>
        <w:tc>
          <w:tcPr>
            <w:tcW w:w="1858" w:type="dxa"/>
            <w:vMerge w:val="continue"/>
            <w:tcBorders>
              <w:left w:val="single" w:color="auto" w:sz="4" w:space="0"/>
              <w:right w:val="single" w:color="auto" w:sz="4" w:space="0"/>
            </w:tcBorders>
            <w:vAlign w:val="center"/>
          </w:tcPr>
          <w:p>
            <w:pPr>
              <w:jc w:val="center"/>
              <w:rPr>
                <w:rFonts w:ascii="宋体" w:hAnsi="宋体" w:cs="Arial"/>
                <w:sz w:val="18"/>
                <w:szCs w:val="18"/>
              </w:rPr>
            </w:pPr>
          </w:p>
        </w:tc>
        <w:tc>
          <w:tcPr>
            <w:tcW w:w="576"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p>
        </w:tc>
        <w:tc>
          <w:tcPr>
            <w:tcW w:w="576"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p>
        </w:tc>
        <w:tc>
          <w:tcPr>
            <w:tcW w:w="577"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1189"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4</w:t>
            </w:r>
          </w:p>
        </w:tc>
        <w:tc>
          <w:tcPr>
            <w:tcW w:w="567" w:type="dxa"/>
            <w:vMerge w:val="continue"/>
            <w:tcBorders>
              <w:left w:val="single" w:color="auto" w:sz="4" w:space="0"/>
              <w:right w:val="single" w:color="auto" w:sz="4" w:space="0"/>
            </w:tcBorders>
            <w:vAlign w:val="center"/>
          </w:tcPr>
          <w:p>
            <w:pPr>
              <w:jc w:val="center"/>
              <w:rPr>
                <w:rFonts w:ascii="宋体" w:hAnsi="宋体" w:cs="Arial"/>
                <w:sz w:val="18"/>
                <w:szCs w:val="18"/>
              </w:rPr>
            </w:pPr>
          </w:p>
        </w:tc>
        <w:tc>
          <w:tcPr>
            <w:tcW w:w="1715"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号牌安装位置</w:t>
            </w:r>
          </w:p>
        </w:tc>
        <w:tc>
          <w:tcPr>
            <w:tcW w:w="1843" w:type="dxa"/>
            <w:vMerge w:val="continue"/>
            <w:tcBorders>
              <w:left w:val="single" w:color="auto" w:sz="4" w:space="0"/>
              <w:right w:val="single" w:color="auto" w:sz="4" w:space="0"/>
            </w:tcBorders>
            <w:vAlign w:val="center"/>
          </w:tcPr>
          <w:p>
            <w:pPr>
              <w:spacing w:line="320" w:lineRule="exact"/>
              <w:jc w:val="center"/>
              <w:rPr>
                <w:rFonts w:ascii="宋体" w:hAnsi="宋体" w:cs="Arial"/>
                <w:sz w:val="18"/>
                <w:szCs w:val="18"/>
              </w:rPr>
            </w:pPr>
          </w:p>
        </w:tc>
        <w:tc>
          <w:tcPr>
            <w:tcW w:w="1858" w:type="dxa"/>
            <w:vMerge w:val="continue"/>
            <w:tcBorders>
              <w:left w:val="single" w:color="auto" w:sz="4" w:space="0"/>
              <w:right w:val="single" w:color="auto" w:sz="4" w:space="0"/>
            </w:tcBorders>
            <w:vAlign w:val="center"/>
          </w:tcPr>
          <w:p>
            <w:pPr>
              <w:jc w:val="center"/>
              <w:rPr>
                <w:rFonts w:ascii="宋体" w:hAnsi="宋体" w:cs="Arial"/>
                <w:sz w:val="18"/>
                <w:szCs w:val="18"/>
              </w:rPr>
            </w:pPr>
          </w:p>
        </w:tc>
        <w:tc>
          <w:tcPr>
            <w:tcW w:w="576"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p>
        </w:tc>
        <w:tc>
          <w:tcPr>
            <w:tcW w:w="576"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p>
        </w:tc>
        <w:tc>
          <w:tcPr>
            <w:tcW w:w="577"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1189"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5</w:t>
            </w:r>
          </w:p>
        </w:tc>
        <w:tc>
          <w:tcPr>
            <w:tcW w:w="567" w:type="dxa"/>
            <w:vMerge w:val="continue"/>
            <w:tcBorders>
              <w:left w:val="single" w:color="auto" w:sz="4" w:space="0"/>
              <w:right w:val="single" w:color="auto" w:sz="4" w:space="0"/>
            </w:tcBorders>
            <w:vAlign w:val="center"/>
          </w:tcPr>
          <w:p>
            <w:pPr>
              <w:jc w:val="center"/>
              <w:rPr>
                <w:rFonts w:ascii="宋体" w:hAnsi="宋体" w:cs="Arial"/>
                <w:sz w:val="18"/>
                <w:szCs w:val="18"/>
              </w:rPr>
            </w:pPr>
          </w:p>
        </w:tc>
        <w:tc>
          <w:tcPr>
            <w:tcW w:w="1715"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产品合格证</w:t>
            </w:r>
          </w:p>
        </w:tc>
        <w:tc>
          <w:tcPr>
            <w:tcW w:w="1843"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p>
        </w:tc>
        <w:tc>
          <w:tcPr>
            <w:tcW w:w="1858" w:type="dxa"/>
            <w:vMerge w:val="continue"/>
            <w:tcBorders>
              <w:left w:val="single" w:color="auto" w:sz="4" w:space="0"/>
              <w:bottom w:val="single" w:color="auto" w:sz="4" w:space="0"/>
              <w:right w:val="single" w:color="auto" w:sz="4" w:space="0"/>
            </w:tcBorders>
            <w:vAlign w:val="center"/>
          </w:tcPr>
          <w:p>
            <w:pPr>
              <w:jc w:val="center"/>
              <w:rPr>
                <w:rFonts w:ascii="宋体" w:hAnsi="宋体" w:cs="Arial"/>
                <w:sz w:val="18"/>
                <w:szCs w:val="18"/>
              </w:rPr>
            </w:pPr>
          </w:p>
        </w:tc>
        <w:tc>
          <w:tcPr>
            <w:tcW w:w="576"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p>
        </w:tc>
        <w:tc>
          <w:tcPr>
            <w:tcW w:w="576"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p>
        </w:tc>
        <w:tc>
          <w:tcPr>
            <w:tcW w:w="577"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1189" w:type="dxa"/>
            <w:tcBorders>
              <w:top w:val="single" w:color="auto" w:sz="4" w:space="0"/>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6</w:t>
            </w:r>
          </w:p>
        </w:tc>
        <w:tc>
          <w:tcPr>
            <w:tcW w:w="567" w:type="dxa"/>
            <w:vMerge w:val="restart"/>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车速限值</w:t>
            </w:r>
          </w:p>
        </w:tc>
        <w:tc>
          <w:tcPr>
            <w:tcW w:w="1715" w:type="dxa"/>
            <w:tcBorders>
              <w:left w:val="single" w:color="auto" w:sz="4" w:space="0"/>
              <w:right w:val="single" w:color="auto" w:sz="4" w:space="0"/>
            </w:tcBorders>
            <w:vAlign w:val="bottom"/>
          </w:tcPr>
          <w:p>
            <w:pPr>
              <w:jc w:val="center"/>
              <w:rPr>
                <w:rFonts w:ascii="宋体" w:hAnsi="宋体" w:cs="Arial"/>
                <w:sz w:val="18"/>
                <w:szCs w:val="18"/>
              </w:rPr>
            </w:pPr>
            <w:r>
              <w:rPr>
                <w:rFonts w:hint="eastAsia" w:ascii="宋体" w:hAnsi="宋体" w:cs="Arial"/>
                <w:sz w:val="18"/>
                <w:szCs w:val="18"/>
              </w:rPr>
              <w:t>车速限制</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第7.2.1.2条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tcPr>
          <w:p>
            <w:pPr>
              <w:jc w:val="center"/>
              <w:rPr>
                <w:rFonts w:ascii="宋体" w:hAnsi="宋体" w:cs="Arial"/>
                <w:sz w:val="18"/>
                <w:szCs w:val="18"/>
              </w:rPr>
            </w:pP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7</w:t>
            </w:r>
          </w:p>
        </w:tc>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Arial"/>
                <w:sz w:val="18"/>
                <w:szCs w:val="18"/>
              </w:rPr>
            </w:pPr>
          </w:p>
        </w:tc>
        <w:tc>
          <w:tcPr>
            <w:tcW w:w="1715"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防速度篡改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 w:val="18"/>
                <w:szCs w:val="18"/>
              </w:rPr>
            </w:pPr>
            <w:r>
              <w:rPr>
                <w:rFonts w:hint="eastAsia" w:ascii="宋体" w:hAnsi="宋体" w:cs="Arial"/>
                <w:sz w:val="18"/>
                <w:szCs w:val="18"/>
              </w:rPr>
              <w:t>GB 17761-2018</w:t>
            </w:r>
          </w:p>
          <w:p>
            <w:pPr>
              <w:spacing w:line="280" w:lineRule="exact"/>
              <w:jc w:val="center"/>
              <w:rPr>
                <w:rFonts w:ascii="宋体" w:hAnsi="宋体" w:cs="Arial"/>
                <w:sz w:val="18"/>
                <w:szCs w:val="18"/>
              </w:rPr>
            </w:pPr>
            <w:r>
              <w:rPr>
                <w:rFonts w:hint="eastAsia" w:ascii="宋体" w:hAnsi="宋体" w:cs="Arial"/>
                <w:sz w:val="18"/>
                <w:szCs w:val="18"/>
              </w:rPr>
              <w:t>第7.2.1.3条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tcPr>
          <w:p>
            <w:pPr>
              <w:jc w:val="center"/>
              <w:rPr>
                <w:rFonts w:ascii="宋体" w:hAnsi="宋体" w:cs="Arial"/>
                <w:sz w:val="18"/>
                <w:szCs w:val="18"/>
              </w:rPr>
            </w:pP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8</w:t>
            </w:r>
          </w:p>
        </w:tc>
        <w:tc>
          <w:tcPr>
            <w:tcW w:w="2282" w:type="dxa"/>
            <w:gridSpan w:val="2"/>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制动性能（干态）</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第7.2.2条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tcPr>
          <w:p>
            <w:pPr>
              <w:jc w:val="center"/>
              <w:rPr>
                <w:rFonts w:ascii="宋体" w:hAnsi="宋体" w:cs="Arial"/>
                <w:sz w:val="18"/>
                <w:szCs w:val="18"/>
              </w:rPr>
            </w:pP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9</w:t>
            </w:r>
          </w:p>
        </w:tc>
        <w:tc>
          <w:tcPr>
            <w:tcW w:w="2282" w:type="dxa"/>
            <w:gridSpan w:val="2"/>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整车质量</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第7.2.3条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tcPr>
          <w:p>
            <w:pPr>
              <w:jc w:val="center"/>
              <w:rPr>
                <w:rFonts w:ascii="宋体" w:hAnsi="宋体" w:cs="Arial"/>
                <w:sz w:val="18"/>
                <w:szCs w:val="18"/>
              </w:rPr>
            </w:pP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10</w:t>
            </w:r>
          </w:p>
        </w:tc>
        <w:tc>
          <w:tcPr>
            <w:tcW w:w="2282" w:type="dxa"/>
            <w:gridSpan w:val="2"/>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尺寸限值</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第7.2.5条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tcPr>
          <w:p>
            <w:pPr>
              <w:jc w:val="center"/>
              <w:rPr>
                <w:rFonts w:ascii="宋体" w:hAnsi="宋体" w:cs="Arial"/>
                <w:sz w:val="18"/>
                <w:szCs w:val="18"/>
              </w:rPr>
            </w:pP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11</w:t>
            </w:r>
          </w:p>
        </w:tc>
        <w:tc>
          <w:tcPr>
            <w:tcW w:w="567" w:type="dxa"/>
            <w:vMerge w:val="restart"/>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结构</w:t>
            </w:r>
          </w:p>
        </w:tc>
        <w:tc>
          <w:tcPr>
            <w:tcW w:w="1715" w:type="dxa"/>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脚蹬间隙</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第7.2.6.1条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tcPr>
          <w:p>
            <w:pPr>
              <w:jc w:val="center"/>
              <w:rPr>
                <w:rFonts w:ascii="宋体" w:hAnsi="宋体" w:cs="Arial"/>
                <w:sz w:val="18"/>
                <w:szCs w:val="18"/>
              </w:rPr>
            </w:pP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12</w:t>
            </w:r>
          </w:p>
        </w:tc>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Arial"/>
                <w:sz w:val="18"/>
                <w:szCs w:val="18"/>
              </w:rPr>
            </w:pPr>
          </w:p>
        </w:tc>
        <w:tc>
          <w:tcPr>
            <w:tcW w:w="1715" w:type="dxa"/>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突出物</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第7.2.6.2条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tcPr>
          <w:p>
            <w:pPr>
              <w:jc w:val="center"/>
              <w:rPr>
                <w:rFonts w:ascii="宋体" w:hAnsi="宋体" w:cs="Arial"/>
                <w:sz w:val="18"/>
                <w:szCs w:val="18"/>
              </w:rPr>
            </w:pP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13</w:t>
            </w:r>
          </w:p>
        </w:tc>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Arial"/>
                <w:sz w:val="18"/>
                <w:szCs w:val="18"/>
              </w:rPr>
            </w:pPr>
          </w:p>
        </w:tc>
        <w:tc>
          <w:tcPr>
            <w:tcW w:w="1715" w:type="dxa"/>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防碰擦</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第7.2.6.3条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tcPr>
          <w:p>
            <w:pPr>
              <w:jc w:val="center"/>
              <w:rPr>
                <w:rFonts w:ascii="宋体" w:hAnsi="宋体" w:cs="Arial"/>
                <w:sz w:val="18"/>
                <w:szCs w:val="18"/>
              </w:rPr>
            </w:pP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14</w:t>
            </w:r>
          </w:p>
        </w:tc>
        <w:tc>
          <w:tcPr>
            <w:tcW w:w="567" w:type="dxa"/>
            <w:vMerge w:val="restart"/>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电器装置</w:t>
            </w:r>
          </w:p>
        </w:tc>
        <w:tc>
          <w:tcPr>
            <w:tcW w:w="1715" w:type="dxa"/>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导线布线安装</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第7.4.1.1条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tcPr>
          <w:p>
            <w:pPr>
              <w:jc w:val="center"/>
              <w:rPr>
                <w:rFonts w:ascii="宋体" w:hAnsi="宋体" w:cs="Arial"/>
                <w:sz w:val="18"/>
                <w:szCs w:val="18"/>
              </w:rPr>
            </w:pP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15</w:t>
            </w:r>
          </w:p>
        </w:tc>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Arial"/>
                <w:sz w:val="18"/>
                <w:szCs w:val="18"/>
              </w:rPr>
            </w:pPr>
          </w:p>
        </w:tc>
        <w:tc>
          <w:tcPr>
            <w:tcW w:w="1715" w:type="dxa"/>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短路保护</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第7.4.1.2条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tcPr>
          <w:p>
            <w:pPr>
              <w:jc w:val="center"/>
              <w:rPr>
                <w:rFonts w:ascii="宋体" w:hAnsi="宋体" w:cs="Arial"/>
                <w:sz w:val="18"/>
                <w:szCs w:val="18"/>
              </w:rPr>
            </w:pP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16</w:t>
            </w:r>
          </w:p>
        </w:tc>
        <w:tc>
          <w:tcPr>
            <w:tcW w:w="567" w:type="dxa"/>
            <w:vMerge w:val="restart"/>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控制系统</w:t>
            </w:r>
          </w:p>
        </w:tc>
        <w:tc>
          <w:tcPr>
            <w:tcW w:w="1715" w:type="dxa"/>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制动断电功能</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第7.4.2.1条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tcPr>
          <w:p>
            <w:pPr>
              <w:jc w:val="center"/>
              <w:rPr>
                <w:rFonts w:ascii="宋体" w:hAnsi="宋体" w:cs="Arial"/>
                <w:sz w:val="18"/>
                <w:szCs w:val="18"/>
              </w:rPr>
            </w:pP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17</w:t>
            </w:r>
          </w:p>
        </w:tc>
        <w:tc>
          <w:tcPr>
            <w:tcW w:w="567" w:type="dxa"/>
            <w:vMerge w:val="continue"/>
            <w:tcBorders>
              <w:left w:val="single" w:color="auto" w:sz="4" w:space="0"/>
              <w:right w:val="single" w:color="auto" w:sz="4" w:space="0"/>
            </w:tcBorders>
            <w:vAlign w:val="center"/>
          </w:tcPr>
          <w:p>
            <w:pPr>
              <w:jc w:val="center"/>
              <w:rPr>
                <w:rFonts w:ascii="宋体" w:hAnsi="宋体" w:cs="Arial"/>
                <w:sz w:val="18"/>
                <w:szCs w:val="18"/>
              </w:rPr>
            </w:pPr>
          </w:p>
        </w:tc>
        <w:tc>
          <w:tcPr>
            <w:tcW w:w="1715"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过流保护功能</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spacing w:line="320" w:lineRule="exact"/>
              <w:jc w:val="center"/>
              <w:rPr>
                <w:rFonts w:ascii="宋体" w:hAnsi="宋体" w:cs="Arial"/>
                <w:sz w:val="18"/>
                <w:szCs w:val="18"/>
              </w:rPr>
            </w:pPr>
            <w:r>
              <w:rPr>
                <w:rFonts w:hint="eastAsia" w:ascii="宋体" w:hAnsi="宋体" w:cs="Arial"/>
                <w:sz w:val="18"/>
                <w:szCs w:val="18"/>
              </w:rPr>
              <w:t>第7.4.2.2条</w:t>
            </w:r>
          </w:p>
        </w:tc>
        <w:tc>
          <w:tcPr>
            <w:tcW w:w="576" w:type="dxa"/>
            <w:tcBorders>
              <w:left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spacing w:line="320" w:lineRule="exact"/>
              <w:jc w:val="center"/>
              <w:rPr>
                <w:rFonts w:ascii="宋体" w:hAnsi="宋体" w:cs="Arial"/>
                <w:sz w:val="18"/>
                <w:szCs w:val="18"/>
              </w:rPr>
            </w:pPr>
          </w:p>
        </w:tc>
        <w:tc>
          <w:tcPr>
            <w:tcW w:w="577" w:type="dxa"/>
            <w:tcBorders>
              <w:left w:val="single" w:color="auto" w:sz="4" w:space="0"/>
              <w:right w:val="single" w:color="auto" w:sz="4" w:space="0"/>
            </w:tcBorders>
            <w:vAlign w:val="center"/>
          </w:tcPr>
          <w:p>
            <w:pPr>
              <w:spacing w:line="320" w:lineRule="exact"/>
              <w:jc w:val="center"/>
              <w:rPr>
                <w:rFonts w:ascii="宋体" w:hAnsi="宋体" w:cs="Arial"/>
                <w:sz w:val="18"/>
                <w:szCs w:val="18"/>
              </w:rPr>
            </w:pPr>
          </w:p>
        </w:tc>
        <w:tc>
          <w:tcPr>
            <w:tcW w:w="1189" w:type="dxa"/>
            <w:tcBorders>
              <w:left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18</w:t>
            </w:r>
          </w:p>
        </w:tc>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Arial"/>
                <w:sz w:val="18"/>
                <w:szCs w:val="18"/>
              </w:rPr>
            </w:pPr>
          </w:p>
        </w:tc>
        <w:tc>
          <w:tcPr>
            <w:tcW w:w="1715" w:type="dxa"/>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防失控功能</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第7.4.2.3条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tcPr>
          <w:p>
            <w:pPr>
              <w:jc w:val="center"/>
              <w:rPr>
                <w:rFonts w:ascii="宋体" w:hAnsi="宋体" w:cs="Arial"/>
                <w:sz w:val="18"/>
                <w:szCs w:val="18"/>
              </w:rPr>
            </w:pP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19</w:t>
            </w:r>
          </w:p>
        </w:tc>
        <w:tc>
          <w:tcPr>
            <w:tcW w:w="567" w:type="dxa"/>
            <w:vMerge w:val="restart"/>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充电器与蓄电池</w:t>
            </w:r>
          </w:p>
        </w:tc>
        <w:tc>
          <w:tcPr>
            <w:tcW w:w="1715" w:type="dxa"/>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蓄电池最大</w:t>
            </w:r>
          </w:p>
          <w:p>
            <w:pPr>
              <w:spacing w:line="240" w:lineRule="exact"/>
              <w:jc w:val="center"/>
              <w:rPr>
                <w:rFonts w:ascii="宋体" w:hAnsi="宋体" w:cs="Arial"/>
                <w:sz w:val="18"/>
                <w:szCs w:val="18"/>
              </w:rPr>
            </w:pPr>
            <w:r>
              <w:rPr>
                <w:rFonts w:hint="eastAsia" w:ascii="宋体" w:hAnsi="宋体" w:cs="Arial"/>
                <w:sz w:val="18"/>
                <w:szCs w:val="18"/>
              </w:rPr>
              <w:t>输出电压</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第7.4.4.2条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tcPr>
          <w:p>
            <w:pPr>
              <w:jc w:val="center"/>
              <w:rPr>
                <w:rFonts w:ascii="宋体" w:hAnsi="宋体" w:cs="Arial"/>
                <w:sz w:val="18"/>
                <w:szCs w:val="18"/>
              </w:rPr>
            </w:pP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20</w:t>
            </w:r>
          </w:p>
        </w:tc>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Arial"/>
                <w:sz w:val="18"/>
                <w:szCs w:val="18"/>
              </w:rPr>
            </w:pPr>
          </w:p>
        </w:tc>
        <w:tc>
          <w:tcPr>
            <w:tcW w:w="1715" w:type="dxa"/>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蓄电池防篡改</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第7.4.4.3条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tcPr>
          <w:p>
            <w:pPr>
              <w:jc w:val="center"/>
              <w:rPr>
                <w:rFonts w:ascii="宋体" w:hAnsi="宋体" w:cs="Arial"/>
                <w:sz w:val="18"/>
                <w:szCs w:val="18"/>
              </w:rPr>
            </w:pP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21</w:t>
            </w:r>
          </w:p>
        </w:tc>
        <w:tc>
          <w:tcPr>
            <w:tcW w:w="2282" w:type="dxa"/>
            <w:gridSpan w:val="2"/>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防火性能</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第7.5条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tcPr>
          <w:p>
            <w:pPr>
              <w:jc w:val="center"/>
              <w:rPr>
                <w:rFonts w:ascii="宋体" w:hAnsi="宋体" w:cs="Arial"/>
                <w:sz w:val="18"/>
                <w:szCs w:val="18"/>
              </w:rPr>
            </w:pP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备样复检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22</w:t>
            </w:r>
          </w:p>
        </w:tc>
        <w:tc>
          <w:tcPr>
            <w:tcW w:w="2282" w:type="dxa"/>
            <w:gridSpan w:val="2"/>
            <w:tcBorders>
              <w:left w:val="single" w:color="auto" w:sz="4" w:space="0"/>
              <w:right w:val="single" w:color="auto" w:sz="4" w:space="0"/>
            </w:tcBorders>
            <w:vAlign w:val="center"/>
          </w:tcPr>
          <w:p>
            <w:pPr>
              <w:spacing w:line="240" w:lineRule="exact"/>
              <w:jc w:val="center"/>
              <w:rPr>
                <w:rFonts w:ascii="宋体" w:hAnsi="宋体" w:cs="Arial"/>
                <w:sz w:val="18"/>
                <w:szCs w:val="18"/>
              </w:rPr>
            </w:pPr>
            <w:r>
              <w:rPr>
                <w:rFonts w:hint="eastAsia" w:ascii="宋体" w:hAnsi="宋体" w:cs="Arial"/>
                <w:sz w:val="18"/>
                <w:szCs w:val="18"/>
              </w:rPr>
              <w:t>使用说明书</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GB 17761-2018</w:t>
            </w:r>
          </w:p>
        </w:tc>
        <w:tc>
          <w:tcPr>
            <w:tcW w:w="1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18"/>
                <w:szCs w:val="18"/>
              </w:rPr>
            </w:pPr>
            <w:r>
              <w:rPr>
                <w:rFonts w:hint="eastAsia" w:ascii="宋体" w:hAnsi="宋体" w:cs="Arial"/>
                <w:sz w:val="18"/>
                <w:szCs w:val="18"/>
              </w:rPr>
              <w:t>GB 17761-2018</w:t>
            </w:r>
          </w:p>
          <w:p>
            <w:pPr>
              <w:jc w:val="center"/>
              <w:rPr>
                <w:rFonts w:ascii="宋体" w:hAnsi="宋体" w:cs="Arial"/>
                <w:sz w:val="18"/>
                <w:szCs w:val="18"/>
              </w:rPr>
            </w:pPr>
            <w:r>
              <w:rPr>
                <w:rFonts w:hint="eastAsia" w:ascii="宋体" w:hAnsi="宋体" w:cs="Arial"/>
                <w:sz w:val="18"/>
                <w:szCs w:val="18"/>
              </w:rPr>
              <w:t>第7.8条</w:t>
            </w: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6" w:type="dxa"/>
            <w:tcBorders>
              <w:left w:val="single" w:color="auto" w:sz="4" w:space="0"/>
              <w:right w:val="single" w:color="auto" w:sz="4" w:space="0"/>
            </w:tcBorders>
            <w:vAlign w:val="center"/>
          </w:tcPr>
          <w:p>
            <w:pPr>
              <w:jc w:val="center"/>
              <w:rPr>
                <w:rFonts w:ascii="宋体" w:hAnsi="宋体" w:cs="Arial"/>
                <w:sz w:val="18"/>
                <w:szCs w:val="18"/>
              </w:rPr>
            </w:pPr>
          </w:p>
        </w:tc>
        <w:tc>
          <w:tcPr>
            <w:tcW w:w="577"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w:t>
            </w:r>
          </w:p>
        </w:tc>
        <w:tc>
          <w:tcPr>
            <w:tcW w:w="1189" w:type="dxa"/>
            <w:tcBorders>
              <w:left w:val="single" w:color="auto" w:sz="4" w:space="0"/>
              <w:right w:val="single" w:color="auto" w:sz="4" w:space="0"/>
            </w:tcBorders>
            <w:vAlign w:val="center"/>
          </w:tcPr>
          <w:p>
            <w:pPr>
              <w:jc w:val="center"/>
              <w:rPr>
                <w:rFonts w:ascii="宋体" w:hAnsi="宋体" w:cs="Arial"/>
                <w:sz w:val="18"/>
                <w:szCs w:val="18"/>
              </w:rPr>
            </w:pPr>
            <w:r>
              <w:rPr>
                <w:rFonts w:hint="eastAsia" w:ascii="宋体" w:hAnsi="宋体" w:cs="Arial"/>
                <w:sz w:val="18"/>
                <w:szCs w:val="18"/>
              </w:rPr>
              <w:t>检样复检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exact"/>
          <w:jc w:val="center"/>
        </w:trPr>
        <w:tc>
          <w:tcPr>
            <w:tcW w:w="9468" w:type="dxa"/>
            <w:gridSpan w:val="9"/>
            <w:tcBorders>
              <w:left w:val="single" w:color="auto" w:sz="4" w:space="0"/>
              <w:right w:val="single" w:color="auto" w:sz="4" w:space="0"/>
            </w:tcBorders>
          </w:tcPr>
          <w:p>
            <w:pPr>
              <w:ind w:left="450" w:hanging="450" w:hangingChars="250"/>
              <w:rPr>
                <w:rFonts w:ascii="宋体" w:hAnsi="宋体"/>
                <w:color w:val="000000"/>
                <w:sz w:val="18"/>
                <w:szCs w:val="18"/>
              </w:rPr>
            </w:pPr>
            <w:r>
              <w:rPr>
                <w:rFonts w:hint="eastAsia" w:ascii="宋体" w:hAnsi="宋体"/>
                <w:color w:val="000000"/>
                <w:sz w:val="18"/>
                <w:szCs w:val="18"/>
              </w:rPr>
              <w:t>注：</w:t>
            </w:r>
            <w:r>
              <w:rPr>
                <w:rFonts w:ascii="宋体" w:hAnsi="宋体"/>
                <w:color w:val="000000"/>
                <w:sz w:val="18"/>
                <w:szCs w:val="18"/>
              </w:rPr>
              <w:t xml:space="preserve"> </w:t>
            </w:r>
            <w:r>
              <w:rPr>
                <w:rFonts w:hint="eastAsia" w:ascii="宋体" w:hAnsi="宋体"/>
                <w:color w:val="000000"/>
                <w:sz w:val="18"/>
                <w:szCs w:val="18"/>
              </w:rPr>
              <w:t>1、</w:t>
            </w:r>
            <w:r>
              <w:rPr>
                <w:rFonts w:ascii="宋体" w:hAnsi="宋体"/>
                <w:color w:val="000000"/>
                <w:sz w:val="18"/>
                <w:szCs w:val="18"/>
              </w:rPr>
              <w:t>A类：极重要质量项目，即直接涉及人体健康、使用安全的指标； B类：重要质量项目，即涉及环保、能效、关键性能或特征值的指标；C类：标识。</w:t>
            </w:r>
          </w:p>
          <w:p>
            <w:pPr>
              <w:ind w:left="510" w:leftChars="200" w:hanging="90" w:hangingChars="50"/>
              <w:rPr>
                <w:rFonts w:ascii="宋体" w:hAnsi="宋体"/>
                <w:color w:val="000000"/>
                <w:sz w:val="18"/>
                <w:szCs w:val="18"/>
              </w:rPr>
            </w:pPr>
            <w:r>
              <w:rPr>
                <w:rFonts w:hint="eastAsia" w:ascii="宋体" w:hAnsi="宋体"/>
                <w:color w:val="000000"/>
                <w:sz w:val="18"/>
                <w:szCs w:val="18"/>
              </w:rPr>
              <w:t>2、充电器测试防触电保护状态。</w:t>
            </w:r>
          </w:p>
          <w:p>
            <w:pPr>
              <w:ind w:firstLine="450" w:firstLineChars="250"/>
              <w:rPr>
                <w:rFonts w:ascii="宋体" w:hAnsi="宋体"/>
                <w:color w:val="000000"/>
                <w:sz w:val="18"/>
                <w:szCs w:val="18"/>
              </w:rPr>
            </w:pPr>
            <w:r>
              <w:rPr>
                <w:rFonts w:hint="eastAsia" w:ascii="宋体" w:hAnsi="宋体"/>
                <w:color w:val="000000"/>
                <w:sz w:val="18"/>
                <w:szCs w:val="18"/>
              </w:rPr>
              <w:t>3、防火性能测试充电器。</w:t>
            </w:r>
          </w:p>
          <w:p>
            <w:pPr>
              <w:ind w:firstLine="450" w:firstLineChars="250"/>
              <w:rPr>
                <w:rFonts w:ascii="宋体" w:hAnsi="宋体"/>
                <w:color w:val="000000"/>
                <w:sz w:val="18"/>
                <w:szCs w:val="18"/>
              </w:rPr>
            </w:pPr>
            <w:r>
              <w:rPr>
                <w:rFonts w:hint="eastAsia" w:ascii="宋体" w:hAnsi="宋体"/>
                <w:color w:val="000000"/>
                <w:sz w:val="18"/>
                <w:szCs w:val="18"/>
              </w:rPr>
              <w:t>4、对上列检验项目逐一进行检测；遇不适用项目时，检验报告应标明不适用项。</w:t>
            </w:r>
          </w:p>
          <w:p>
            <w:pPr>
              <w:ind w:firstLine="360" w:firstLineChars="200"/>
              <w:rPr>
                <w:rFonts w:ascii="宋体" w:hAnsi="宋体"/>
                <w:color w:val="000000"/>
                <w:sz w:val="18"/>
                <w:szCs w:val="18"/>
              </w:rPr>
            </w:pPr>
          </w:p>
        </w:tc>
      </w:tr>
    </w:tbl>
    <w:p>
      <w:pPr>
        <w:snapToGrid w:val="0"/>
        <w:spacing w:line="440" w:lineRule="exact"/>
        <w:rPr>
          <w:rFonts w:ascii="宋体" w:hAnsi="宋体"/>
          <w:color w:val="000000"/>
          <w:szCs w:val="21"/>
        </w:rPr>
      </w:pPr>
      <w:r>
        <w:rPr>
          <w:rFonts w:hint="eastAsia" w:ascii="宋体" w:hAnsi="宋体"/>
          <w:color w:val="000000"/>
          <w:szCs w:val="21"/>
        </w:rPr>
        <w:t>6.2 检验注意事项</w:t>
      </w:r>
    </w:p>
    <w:p>
      <w:pPr>
        <w:snapToGrid w:val="0"/>
        <w:spacing w:line="440" w:lineRule="exact"/>
        <w:rPr>
          <w:rFonts w:ascii="宋体" w:hAnsi="宋体"/>
          <w:color w:val="000000"/>
          <w:szCs w:val="21"/>
        </w:rPr>
      </w:pPr>
      <w:r>
        <w:rPr>
          <w:rFonts w:hint="eastAsia" w:ascii="宋体" w:hAnsi="宋体"/>
          <w:color w:val="000000"/>
          <w:szCs w:val="21"/>
        </w:rPr>
        <w:t>6.2.1 检验人员收到样品后，应当通过拍照或者录像的方式检查记录样品的外观、状态、封条有无破损以及其他可能对检验结论产生影响的情形，并核对样品与抽样文书的记录是否相符。</w:t>
      </w:r>
    </w:p>
    <w:p>
      <w:pPr>
        <w:snapToGrid w:val="0"/>
        <w:spacing w:line="440" w:lineRule="exact"/>
        <w:rPr>
          <w:rFonts w:ascii="宋体" w:hAnsi="宋体"/>
          <w:color w:val="000000"/>
          <w:szCs w:val="21"/>
        </w:rPr>
      </w:pPr>
      <w:r>
        <w:rPr>
          <w:rFonts w:hint="eastAsia" w:ascii="宋体" w:hAnsi="宋体"/>
          <w:color w:val="000000"/>
          <w:szCs w:val="21"/>
        </w:rPr>
        <w:t>6.2.2 对于抽样不规范的样品，检验人员应当拒绝接收并书面说明理由，同时向昆明市官渡区市场监督管理局报告。</w:t>
      </w:r>
    </w:p>
    <w:p>
      <w:pPr>
        <w:snapToGrid w:val="0"/>
        <w:spacing w:line="440" w:lineRule="exact"/>
        <w:rPr>
          <w:rFonts w:ascii="宋体" w:hAnsi="宋体"/>
          <w:color w:val="000000"/>
          <w:szCs w:val="21"/>
        </w:rPr>
      </w:pPr>
    </w:p>
    <w:p>
      <w:pPr>
        <w:snapToGrid w:val="0"/>
        <w:spacing w:line="440" w:lineRule="exact"/>
        <w:rPr>
          <w:rFonts w:ascii="宋体" w:hAnsi="宋体"/>
          <w:color w:val="000000"/>
          <w:szCs w:val="21"/>
        </w:rPr>
      </w:pPr>
      <w:r>
        <w:rPr>
          <w:rFonts w:hint="eastAsia" w:ascii="黑体" w:hAnsi="黑体" w:eastAsia="黑体"/>
          <w:color w:val="000000"/>
          <w:szCs w:val="21"/>
        </w:rPr>
        <w:t>7 判定原则</w:t>
      </w:r>
    </w:p>
    <w:p>
      <w:pPr>
        <w:snapToGrid w:val="0"/>
        <w:spacing w:line="440" w:lineRule="exact"/>
        <w:rPr>
          <w:rFonts w:ascii="宋体" w:hAnsi="宋体"/>
          <w:color w:val="000000"/>
          <w:szCs w:val="21"/>
        </w:rPr>
      </w:pPr>
      <w:r>
        <w:rPr>
          <w:rFonts w:hint="eastAsia" w:ascii="宋体" w:hAnsi="宋体"/>
          <w:color w:val="000000"/>
          <w:szCs w:val="21"/>
        </w:rPr>
        <w:t>7.1 检验结果的单项判定</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单项检验结果符合标准要求的，单项判定结论为“合格”，单项检验结果不符合标准要求的，单项判定结论为“不合格”。</w:t>
      </w:r>
    </w:p>
    <w:p>
      <w:pPr>
        <w:snapToGrid w:val="0"/>
        <w:spacing w:line="440" w:lineRule="exact"/>
        <w:rPr>
          <w:rFonts w:ascii="宋体" w:hAnsi="宋体"/>
          <w:color w:val="000000"/>
          <w:szCs w:val="21"/>
        </w:rPr>
      </w:pPr>
      <w:r>
        <w:rPr>
          <w:rFonts w:hint="eastAsia" w:ascii="宋体" w:hAnsi="宋体"/>
          <w:color w:val="000000"/>
          <w:szCs w:val="21"/>
        </w:rPr>
        <w:t>7.2 检验结论的判定</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检验结论判定分为实物质量判定、标识判定和产品质量综合判定。</w:t>
      </w:r>
    </w:p>
    <w:p>
      <w:pPr>
        <w:snapToGrid w:val="0"/>
        <w:spacing w:line="440" w:lineRule="exact"/>
        <w:rPr>
          <w:rFonts w:ascii="宋体" w:hAnsi="宋体"/>
          <w:color w:val="000000"/>
          <w:szCs w:val="21"/>
        </w:rPr>
      </w:pPr>
      <w:r>
        <w:rPr>
          <w:rFonts w:hint="eastAsia" w:ascii="宋体" w:hAnsi="宋体"/>
          <w:color w:val="000000"/>
          <w:szCs w:val="21"/>
        </w:rPr>
        <w:t>7.3 检验结论的实物质量判定</w:t>
      </w:r>
    </w:p>
    <w:p>
      <w:pPr>
        <w:snapToGrid w:val="0"/>
        <w:spacing w:line="440" w:lineRule="exact"/>
        <w:rPr>
          <w:rFonts w:ascii="宋体" w:hAnsi="宋体"/>
          <w:color w:val="000000"/>
          <w:szCs w:val="21"/>
        </w:rPr>
      </w:pPr>
      <w:r>
        <w:rPr>
          <w:rFonts w:hint="eastAsia" w:ascii="宋体" w:hAnsi="宋体"/>
          <w:color w:val="000000"/>
          <w:szCs w:val="21"/>
        </w:rPr>
        <w:t>7.3.1 在实物质量判定中，所抽取样品实物质量检验项目全部符合标准要求的，检验结论为：“经抽样检验，该样品实物质量判定为合格。”</w:t>
      </w:r>
    </w:p>
    <w:p>
      <w:pPr>
        <w:snapToGrid w:val="0"/>
        <w:spacing w:line="440" w:lineRule="exact"/>
        <w:rPr>
          <w:rFonts w:ascii="宋体" w:hAnsi="宋体"/>
          <w:color w:val="000000"/>
          <w:szCs w:val="21"/>
        </w:rPr>
      </w:pPr>
      <w:r>
        <w:rPr>
          <w:rFonts w:hint="eastAsia" w:ascii="宋体" w:hAnsi="宋体"/>
          <w:color w:val="000000"/>
          <w:szCs w:val="21"/>
        </w:rPr>
        <w:t>7.3.2 所抽取样品实物质量检验项目有一项或一项以上不符合标准要求的，检验结论为：“经抽样检验，该样品XXX项目不合格,实物质量判定为不合格。”</w:t>
      </w:r>
    </w:p>
    <w:p>
      <w:pPr>
        <w:snapToGrid w:val="0"/>
        <w:spacing w:line="440" w:lineRule="exact"/>
        <w:rPr>
          <w:rFonts w:ascii="宋体" w:hAnsi="宋体"/>
          <w:color w:val="000000"/>
          <w:szCs w:val="21"/>
        </w:rPr>
      </w:pPr>
      <w:r>
        <w:rPr>
          <w:rFonts w:hint="eastAsia" w:ascii="宋体" w:hAnsi="宋体"/>
          <w:color w:val="000000"/>
          <w:szCs w:val="21"/>
        </w:rPr>
        <w:t>7.4 检验结论的标识判定</w:t>
      </w:r>
    </w:p>
    <w:p>
      <w:pPr>
        <w:snapToGrid w:val="0"/>
        <w:spacing w:line="440" w:lineRule="exact"/>
        <w:rPr>
          <w:rFonts w:ascii="宋体" w:hAnsi="宋体"/>
          <w:color w:val="000000"/>
          <w:szCs w:val="21"/>
        </w:rPr>
      </w:pPr>
      <w:r>
        <w:rPr>
          <w:rFonts w:hint="eastAsia" w:ascii="宋体" w:hAnsi="宋体"/>
          <w:color w:val="000000"/>
          <w:szCs w:val="21"/>
        </w:rPr>
        <w:t>7.4.1 在标识判定中，所抽取样品标识检验项目全部符合标准要求的，检验结论为：“经抽样检验，该样品标识判定为合格。”</w:t>
      </w:r>
    </w:p>
    <w:p>
      <w:pPr>
        <w:snapToGrid w:val="0"/>
        <w:spacing w:line="440" w:lineRule="exact"/>
        <w:rPr>
          <w:rFonts w:ascii="宋体" w:hAnsi="宋体"/>
          <w:color w:val="000000"/>
          <w:szCs w:val="21"/>
        </w:rPr>
      </w:pPr>
      <w:r>
        <w:rPr>
          <w:rFonts w:hint="eastAsia" w:ascii="宋体" w:hAnsi="宋体"/>
          <w:color w:val="000000"/>
          <w:szCs w:val="21"/>
        </w:rPr>
        <w:t>7.4.2 所抽取样品标识检验项目有一项或一项以上不符合国家标准要求的，检验结论为：“经抽样检验，该样品XXX项目不合格,标识质量判定为不合格。”</w:t>
      </w:r>
    </w:p>
    <w:p>
      <w:pPr>
        <w:snapToGrid w:val="0"/>
        <w:spacing w:line="440" w:lineRule="exact"/>
        <w:rPr>
          <w:rFonts w:ascii="宋体" w:hAnsi="宋体"/>
          <w:color w:val="000000"/>
          <w:szCs w:val="21"/>
        </w:rPr>
      </w:pPr>
      <w:r>
        <w:rPr>
          <w:rFonts w:hint="eastAsia" w:ascii="宋体" w:hAnsi="宋体"/>
          <w:color w:val="000000"/>
          <w:szCs w:val="21"/>
        </w:rPr>
        <w:t>7.5 综合判定</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在产品质量综合判定中，依据实物质量和标识判定结论进行判定：实物质量合格且标识合格的，综合质量判定为合格，结论为“经抽样检验，该样品实物质量判定为合格，标识判定为合格，综合判定为合格。”实物质量不合格和（或）标识不合格的，综合质量判定为不合格，结论为“经抽样检验，该样品实物质量和（或）标识判定为不合格，综合判定为不合格。”</w:t>
      </w:r>
    </w:p>
    <w:p>
      <w:pPr>
        <w:snapToGrid w:val="0"/>
        <w:spacing w:line="440" w:lineRule="exact"/>
        <w:rPr>
          <w:rFonts w:ascii="宋体" w:hAnsi="宋体"/>
          <w:color w:val="000000"/>
          <w:szCs w:val="21"/>
        </w:rPr>
      </w:pPr>
      <w:r>
        <w:rPr>
          <w:rFonts w:hint="eastAsia" w:ascii="宋体" w:hAnsi="宋体"/>
          <w:color w:val="000000"/>
          <w:szCs w:val="21"/>
        </w:rPr>
        <w:t>7.6 判定注意事项</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FF0000"/>
          <w:szCs w:val="21"/>
        </w:rPr>
      </w:pPr>
      <w:r>
        <w:rPr>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000000"/>
          <w:szCs w:val="21"/>
        </w:rPr>
      </w:pPr>
    </w:p>
    <w:p>
      <w:pPr>
        <w:snapToGrid w:val="0"/>
        <w:spacing w:line="440" w:lineRule="exact"/>
        <w:rPr>
          <w:rFonts w:ascii="宋体" w:hAnsi="宋体"/>
          <w:color w:val="000000"/>
          <w:szCs w:val="21"/>
        </w:rPr>
      </w:pPr>
      <w:r>
        <w:rPr>
          <w:rFonts w:hint="eastAsia" w:ascii="黑体" w:hAnsi="宋体" w:eastAsia="黑体"/>
          <w:color w:val="000000"/>
        </w:rPr>
        <w:t>8 异议处理</w:t>
      </w:r>
    </w:p>
    <w:p>
      <w:pPr>
        <w:snapToGrid w:val="0"/>
        <w:spacing w:line="440" w:lineRule="exact"/>
        <w:rPr>
          <w:rFonts w:ascii="宋体" w:hAnsi="宋体"/>
          <w:color w:val="000000"/>
          <w:szCs w:val="21"/>
        </w:rPr>
      </w:pPr>
      <w:r>
        <w:rPr>
          <w:rFonts w:hint="eastAsia" w:ascii="宋体" w:hAnsi="宋体"/>
          <w:color w:val="000000"/>
          <w:szCs w:val="21"/>
        </w:rPr>
        <w:t>8.1 复查</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被抽样生产者、销售者对抽样过程、样品真实性等有异议的，收到异议处理申请的昆明市官渡区市场监督管理局组织异议处理，并将处理结论书面告知申请人。</w:t>
      </w:r>
    </w:p>
    <w:p>
      <w:pPr>
        <w:snapToGrid w:val="0"/>
        <w:spacing w:line="440" w:lineRule="exact"/>
        <w:rPr>
          <w:rFonts w:ascii="宋体" w:hAnsi="宋体"/>
          <w:color w:val="000000"/>
          <w:szCs w:val="21"/>
        </w:rPr>
      </w:pPr>
      <w:r>
        <w:rPr>
          <w:rFonts w:hint="eastAsia" w:ascii="宋体" w:hAnsi="宋体"/>
          <w:color w:val="000000"/>
          <w:szCs w:val="21"/>
        </w:rPr>
        <w:t>8.2 复检</w:t>
      </w:r>
    </w:p>
    <w:p>
      <w:pPr>
        <w:snapToGrid w:val="0"/>
        <w:spacing w:line="440" w:lineRule="exact"/>
        <w:rPr>
          <w:rFonts w:ascii="宋体" w:hAnsi="宋体"/>
          <w:color w:val="000000"/>
          <w:szCs w:val="21"/>
        </w:rPr>
      </w:pPr>
      <w:r>
        <w:rPr>
          <w:rFonts w:hint="eastAsia" w:ascii="宋体" w:hAnsi="宋体"/>
          <w:color w:val="000000"/>
          <w:szCs w:val="21"/>
        </w:rPr>
        <w:t>8.2.1 被抽样生产者、销售者对检验结论有异议的，应当自收到检验结论书面告知之日起十五日内向昆明市官渡区市场监督管理局提出书面异议处理申请，并提交相关材料。</w:t>
      </w:r>
    </w:p>
    <w:p>
      <w:pPr>
        <w:snapToGrid w:val="0"/>
        <w:spacing w:line="440" w:lineRule="exact"/>
        <w:rPr>
          <w:rFonts w:ascii="宋体" w:hAnsi="宋体"/>
          <w:color w:val="000000"/>
          <w:szCs w:val="21"/>
        </w:rPr>
      </w:pPr>
      <w:r>
        <w:rPr>
          <w:rFonts w:hint="eastAsia" w:ascii="宋体" w:hAnsi="宋体"/>
          <w:color w:val="000000"/>
          <w:szCs w:val="21"/>
        </w:rPr>
        <w:t>8.2.2 若复检样品为检验样品，受检方提出异议可启用备检样品。</w:t>
      </w:r>
    </w:p>
    <w:p>
      <w:pPr>
        <w:snapToGrid w:val="0"/>
        <w:spacing w:line="440" w:lineRule="exact"/>
        <w:rPr>
          <w:rFonts w:ascii="宋体" w:hAnsi="宋体"/>
          <w:color w:val="000000"/>
          <w:szCs w:val="21"/>
        </w:rPr>
      </w:pPr>
      <w:r>
        <w:rPr>
          <w:rFonts w:hint="eastAsia" w:ascii="宋体" w:hAnsi="宋体"/>
          <w:color w:val="000000"/>
          <w:szCs w:val="21"/>
        </w:rPr>
        <w:t>8.2.3被抽样生产者、销售者对检验结论有异议，提出书面复检申请并阐明理由的，收到异议处理申请的昆明市官渡区市场监督管理局组织研究。对需要复检并具备检验条件的，组织复检。</w:t>
      </w:r>
    </w:p>
    <w:p>
      <w:pPr>
        <w:snapToGrid w:val="0"/>
        <w:spacing w:line="440" w:lineRule="exact"/>
        <w:rPr>
          <w:rFonts w:ascii="宋体" w:hAnsi="宋体"/>
          <w:color w:val="000000"/>
          <w:szCs w:val="21"/>
        </w:rPr>
      </w:pPr>
      <w:r>
        <w:rPr>
          <w:rFonts w:hint="eastAsia" w:ascii="宋体" w:hAnsi="宋体"/>
          <w:color w:val="000000"/>
          <w:szCs w:val="21"/>
        </w:rPr>
        <w:t>8.2.4 申请人应当自收到市场监督管理部门复检通知之日起七日内办理复检手续。逾期未办理的，视为放弃复检。</w:t>
      </w:r>
    </w:p>
    <w:p>
      <w:pPr>
        <w:snapToGrid w:val="0"/>
        <w:spacing w:line="440" w:lineRule="exact"/>
        <w:rPr>
          <w:rFonts w:ascii="宋体" w:hAnsi="宋体"/>
          <w:color w:val="000000"/>
          <w:szCs w:val="21"/>
        </w:rPr>
      </w:pPr>
      <w:r>
        <w:rPr>
          <w:rFonts w:hint="eastAsia" w:ascii="宋体" w:hAnsi="宋体"/>
          <w:color w:val="000000"/>
          <w:szCs w:val="21"/>
        </w:rPr>
        <w:t>8.2.5 昆明市官渡区市场监督管理局自申请人办理复检手续之日起十日内确定具备相应资质的检验机构进行复检。</w:t>
      </w:r>
    </w:p>
    <w:p>
      <w:pPr>
        <w:snapToGrid w:val="0"/>
        <w:spacing w:line="440" w:lineRule="exact"/>
        <w:rPr>
          <w:rFonts w:ascii="宋体" w:hAnsi="宋体"/>
          <w:color w:val="000000"/>
          <w:szCs w:val="21"/>
        </w:rPr>
      </w:pPr>
      <w:r>
        <w:rPr>
          <w:rFonts w:hint="eastAsia" w:ascii="宋体" w:hAnsi="宋体"/>
          <w:color w:val="000000"/>
          <w:szCs w:val="21"/>
        </w:rPr>
        <w:t>8.2.6 被抽样生产者、销售者隐匿、转移、变卖、损毁备用样品的，应当终止复检，并以初检结论为最终结论。</w:t>
      </w:r>
    </w:p>
    <w:p>
      <w:pPr>
        <w:snapToGrid w:val="0"/>
        <w:spacing w:line="440" w:lineRule="exact"/>
        <w:rPr>
          <w:rFonts w:ascii="宋体" w:hAnsi="宋体"/>
          <w:color w:val="000000"/>
          <w:szCs w:val="21"/>
        </w:rPr>
      </w:pPr>
      <w:r>
        <w:rPr>
          <w:rFonts w:hint="eastAsia" w:ascii="宋体" w:hAnsi="宋体"/>
          <w:color w:val="000000"/>
          <w:szCs w:val="21"/>
        </w:rPr>
        <w:t>8.2.7 复检机构应当在规定时间内按照监督抽查实施细则所规定的检验方法、判定规则等对与异议相关的检验项目进行复检，并将复检结论及时报送昆明市官渡区市场监督管理局，由昆明市官渡区市场监督管理局书面告知复检申请人。复检结论为最终结论。</w:t>
      </w:r>
    </w:p>
    <w:p>
      <w:pPr>
        <w:snapToGrid w:val="0"/>
        <w:spacing w:line="440" w:lineRule="exact"/>
        <w:rPr>
          <w:rFonts w:ascii="宋体" w:hAnsi="宋体"/>
          <w:color w:val="000000"/>
          <w:szCs w:val="21"/>
        </w:rPr>
      </w:pPr>
      <w:r>
        <w:rPr>
          <w:rFonts w:hint="eastAsia" w:ascii="宋体" w:hAnsi="宋体"/>
          <w:color w:val="000000"/>
          <w:szCs w:val="21"/>
        </w:rPr>
        <w:t>8.2.8 复检费用由申请人向复检机构先行支付。复检结论与初检结论一致的，复检费用由申请人承担；与初检结论不一致的，复检费用由组织监督抽查的市场监督管理部门承担。</w:t>
      </w:r>
    </w:p>
    <w:p>
      <w:pPr>
        <w:snapToGrid w:val="0"/>
        <w:spacing w:line="440" w:lineRule="exact"/>
        <w:ind w:firstLine="420" w:firstLineChars="200"/>
        <w:rPr>
          <w:rFonts w:ascii="宋体" w:hAnsi="宋体"/>
          <w:color w:val="000000"/>
          <w:szCs w:val="21"/>
        </w:rPr>
      </w:pPr>
    </w:p>
    <w:p>
      <w:pPr>
        <w:snapToGrid w:val="0"/>
        <w:spacing w:line="440" w:lineRule="exact"/>
        <w:rPr>
          <w:rFonts w:ascii="宋体" w:hAnsi="宋体"/>
          <w:color w:val="000000"/>
          <w:szCs w:val="21"/>
        </w:rPr>
      </w:pPr>
      <w:r>
        <w:rPr>
          <w:rFonts w:hint="eastAsia" w:ascii="黑体" w:hAnsi="宋体" w:eastAsia="黑体"/>
          <w:color w:val="000000"/>
        </w:rPr>
        <w:t>9 附则</w:t>
      </w:r>
    </w:p>
    <w:p>
      <w:pPr>
        <w:snapToGrid w:val="0"/>
        <w:spacing w:line="440" w:lineRule="exact"/>
        <w:rPr>
          <w:rFonts w:ascii="宋体" w:hAnsi="宋体"/>
          <w:color w:val="000000"/>
          <w:szCs w:val="21"/>
        </w:rPr>
      </w:pPr>
      <w:r>
        <w:rPr>
          <w:rFonts w:hint="eastAsia" w:ascii="宋体" w:hAnsi="宋体"/>
          <w:color w:val="000000"/>
          <w:szCs w:val="21"/>
        </w:rPr>
        <w:t>9.1 本细则经昆明市官渡区市场监督管理局批准生效，仅用于2021年昆明市官渡区市场监督管理局组织开展的电动自行车产品质量监督抽查工作。</w:t>
      </w:r>
    </w:p>
    <w:p>
      <w:pPr>
        <w:snapToGrid w:val="0"/>
        <w:spacing w:line="440" w:lineRule="exact"/>
        <w:rPr>
          <w:rFonts w:ascii="宋体" w:hAnsi="宋体"/>
          <w:color w:val="000000"/>
          <w:szCs w:val="21"/>
        </w:rPr>
      </w:pPr>
      <w:r>
        <w:rPr>
          <w:rFonts w:hint="eastAsia" w:ascii="宋体" w:hAnsi="宋体"/>
          <w:color w:val="000000"/>
          <w:szCs w:val="21"/>
        </w:rPr>
        <w:t>9.2 本细则由云南省产品质量监督检验研究院起草并负责解释。</w:t>
      </w:r>
    </w:p>
    <w:p>
      <w:pPr>
        <w:snapToGrid w:val="0"/>
        <w:spacing w:line="440" w:lineRule="exact"/>
        <w:rPr>
          <w:rFonts w:ascii="宋体" w:hAnsi="宋体"/>
          <w:color w:val="000000"/>
          <w:szCs w:val="21"/>
        </w:rPr>
      </w:pPr>
    </w:p>
    <w:sectPr>
      <w:head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二">
    <w:altName w:val="宋体"/>
    <w:panose1 w:val="00000000000000000000"/>
    <w:charset w:val="86"/>
    <w:family w:val="modern"/>
    <w:pitch w:val="default"/>
    <w:sig w:usb0="00000000" w:usb1="00000000" w:usb2="00000010" w:usb3="00000000" w:csb0="00040000" w:csb1="00000000"/>
  </w:font>
  <w:font w:name="Sim Sun">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40" w:lineRule="exact"/>
      <w:jc w:val="right"/>
      <w:rPr>
        <w:rFonts w:ascii="宋体" w:hAnsi="宋体" w:cs="宋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4893"/>
    <w:rsid w:val="00007F0A"/>
    <w:rsid w:val="00023C3E"/>
    <w:rsid w:val="00027DC1"/>
    <w:rsid w:val="00030D8E"/>
    <w:rsid w:val="000440AA"/>
    <w:rsid w:val="00045BE2"/>
    <w:rsid w:val="00050C42"/>
    <w:rsid w:val="00067D51"/>
    <w:rsid w:val="00072102"/>
    <w:rsid w:val="00077783"/>
    <w:rsid w:val="000B4279"/>
    <w:rsid w:val="000C61DB"/>
    <w:rsid w:val="000D0B2D"/>
    <w:rsid w:val="000D6854"/>
    <w:rsid w:val="000E0402"/>
    <w:rsid w:val="000E0A94"/>
    <w:rsid w:val="0011446D"/>
    <w:rsid w:val="00125491"/>
    <w:rsid w:val="00134693"/>
    <w:rsid w:val="001542A6"/>
    <w:rsid w:val="0015483F"/>
    <w:rsid w:val="00171067"/>
    <w:rsid w:val="00181603"/>
    <w:rsid w:val="001833A1"/>
    <w:rsid w:val="001939DC"/>
    <w:rsid w:val="00196368"/>
    <w:rsid w:val="001A746C"/>
    <w:rsid w:val="001C11E7"/>
    <w:rsid w:val="00216434"/>
    <w:rsid w:val="002248BB"/>
    <w:rsid w:val="00233F34"/>
    <w:rsid w:val="00250AB9"/>
    <w:rsid w:val="00252FBA"/>
    <w:rsid w:val="002815A3"/>
    <w:rsid w:val="00282B70"/>
    <w:rsid w:val="002865E9"/>
    <w:rsid w:val="0028735E"/>
    <w:rsid w:val="002B6F02"/>
    <w:rsid w:val="002D3438"/>
    <w:rsid w:val="002E4CED"/>
    <w:rsid w:val="002F55D9"/>
    <w:rsid w:val="00300270"/>
    <w:rsid w:val="0031018F"/>
    <w:rsid w:val="00323E0C"/>
    <w:rsid w:val="00330092"/>
    <w:rsid w:val="00332401"/>
    <w:rsid w:val="00342B98"/>
    <w:rsid w:val="00382444"/>
    <w:rsid w:val="00382A22"/>
    <w:rsid w:val="003970AC"/>
    <w:rsid w:val="00397B8B"/>
    <w:rsid w:val="003A418E"/>
    <w:rsid w:val="003C61C4"/>
    <w:rsid w:val="003C7E52"/>
    <w:rsid w:val="003D7F0D"/>
    <w:rsid w:val="003E187E"/>
    <w:rsid w:val="003E758F"/>
    <w:rsid w:val="003F0556"/>
    <w:rsid w:val="00404C3B"/>
    <w:rsid w:val="00440687"/>
    <w:rsid w:val="00445018"/>
    <w:rsid w:val="00471C43"/>
    <w:rsid w:val="0048402C"/>
    <w:rsid w:val="00484507"/>
    <w:rsid w:val="00486430"/>
    <w:rsid w:val="004875B0"/>
    <w:rsid w:val="004A2371"/>
    <w:rsid w:val="004A4D65"/>
    <w:rsid w:val="004B4CD8"/>
    <w:rsid w:val="004C3B6E"/>
    <w:rsid w:val="004C5A9C"/>
    <w:rsid w:val="004D2981"/>
    <w:rsid w:val="004D42C4"/>
    <w:rsid w:val="004F1D93"/>
    <w:rsid w:val="005412ED"/>
    <w:rsid w:val="005557AB"/>
    <w:rsid w:val="00580617"/>
    <w:rsid w:val="00585506"/>
    <w:rsid w:val="00586FD2"/>
    <w:rsid w:val="00590FAB"/>
    <w:rsid w:val="00590FF9"/>
    <w:rsid w:val="005A62DC"/>
    <w:rsid w:val="005A7D91"/>
    <w:rsid w:val="005D5B68"/>
    <w:rsid w:val="005D7F66"/>
    <w:rsid w:val="005E1EA7"/>
    <w:rsid w:val="006268A7"/>
    <w:rsid w:val="006358CC"/>
    <w:rsid w:val="00654825"/>
    <w:rsid w:val="00664CBA"/>
    <w:rsid w:val="00665171"/>
    <w:rsid w:val="0066553A"/>
    <w:rsid w:val="00675EE3"/>
    <w:rsid w:val="006A4E23"/>
    <w:rsid w:val="006F1033"/>
    <w:rsid w:val="00711CCF"/>
    <w:rsid w:val="00714DA7"/>
    <w:rsid w:val="00723AC0"/>
    <w:rsid w:val="00741EB8"/>
    <w:rsid w:val="00754B88"/>
    <w:rsid w:val="007679E3"/>
    <w:rsid w:val="00777376"/>
    <w:rsid w:val="00780DC2"/>
    <w:rsid w:val="007939F0"/>
    <w:rsid w:val="007A45FF"/>
    <w:rsid w:val="007B1B16"/>
    <w:rsid w:val="007B54A5"/>
    <w:rsid w:val="007D1D47"/>
    <w:rsid w:val="007E0C69"/>
    <w:rsid w:val="007F3A9D"/>
    <w:rsid w:val="00800DC9"/>
    <w:rsid w:val="00802FF1"/>
    <w:rsid w:val="00803C13"/>
    <w:rsid w:val="0083070B"/>
    <w:rsid w:val="00855A71"/>
    <w:rsid w:val="00862A89"/>
    <w:rsid w:val="00863656"/>
    <w:rsid w:val="008807D0"/>
    <w:rsid w:val="00880FC6"/>
    <w:rsid w:val="008878F7"/>
    <w:rsid w:val="008A70EE"/>
    <w:rsid w:val="008C27E2"/>
    <w:rsid w:val="008C5B12"/>
    <w:rsid w:val="008C5F5C"/>
    <w:rsid w:val="008C6822"/>
    <w:rsid w:val="008D41E9"/>
    <w:rsid w:val="008D719B"/>
    <w:rsid w:val="008E0712"/>
    <w:rsid w:val="008E3D48"/>
    <w:rsid w:val="00910C82"/>
    <w:rsid w:val="00911906"/>
    <w:rsid w:val="009251C1"/>
    <w:rsid w:val="00926AC6"/>
    <w:rsid w:val="009309E0"/>
    <w:rsid w:val="009336A4"/>
    <w:rsid w:val="00937385"/>
    <w:rsid w:val="00937F12"/>
    <w:rsid w:val="00955C38"/>
    <w:rsid w:val="00996C5C"/>
    <w:rsid w:val="009B1006"/>
    <w:rsid w:val="009C57AB"/>
    <w:rsid w:val="009C5BB0"/>
    <w:rsid w:val="009E6C9E"/>
    <w:rsid w:val="00A0391F"/>
    <w:rsid w:val="00A06004"/>
    <w:rsid w:val="00A06BCC"/>
    <w:rsid w:val="00A21BDE"/>
    <w:rsid w:val="00A22F95"/>
    <w:rsid w:val="00A233AB"/>
    <w:rsid w:val="00A32637"/>
    <w:rsid w:val="00A350A6"/>
    <w:rsid w:val="00A922F9"/>
    <w:rsid w:val="00A94F5B"/>
    <w:rsid w:val="00AC3A2A"/>
    <w:rsid w:val="00AF0C36"/>
    <w:rsid w:val="00AF2242"/>
    <w:rsid w:val="00B86294"/>
    <w:rsid w:val="00B86B74"/>
    <w:rsid w:val="00B9752C"/>
    <w:rsid w:val="00BC0635"/>
    <w:rsid w:val="00BC4B39"/>
    <w:rsid w:val="00BD04D1"/>
    <w:rsid w:val="00BD7597"/>
    <w:rsid w:val="00BF7DFC"/>
    <w:rsid w:val="00C02D0B"/>
    <w:rsid w:val="00C069B9"/>
    <w:rsid w:val="00C06AB9"/>
    <w:rsid w:val="00C16842"/>
    <w:rsid w:val="00C235F7"/>
    <w:rsid w:val="00C3623F"/>
    <w:rsid w:val="00C508E2"/>
    <w:rsid w:val="00C60225"/>
    <w:rsid w:val="00C627E8"/>
    <w:rsid w:val="00C71B19"/>
    <w:rsid w:val="00C94ABD"/>
    <w:rsid w:val="00CE6355"/>
    <w:rsid w:val="00CF4953"/>
    <w:rsid w:val="00D034D7"/>
    <w:rsid w:val="00D34893"/>
    <w:rsid w:val="00D42572"/>
    <w:rsid w:val="00D4316B"/>
    <w:rsid w:val="00D527FA"/>
    <w:rsid w:val="00D5547F"/>
    <w:rsid w:val="00D6138A"/>
    <w:rsid w:val="00D61758"/>
    <w:rsid w:val="00D76B68"/>
    <w:rsid w:val="00D924DA"/>
    <w:rsid w:val="00D9488A"/>
    <w:rsid w:val="00DA6F36"/>
    <w:rsid w:val="00DB1AE1"/>
    <w:rsid w:val="00DD7787"/>
    <w:rsid w:val="00DE1F49"/>
    <w:rsid w:val="00DE6256"/>
    <w:rsid w:val="00DF09B0"/>
    <w:rsid w:val="00DF36B4"/>
    <w:rsid w:val="00E2724B"/>
    <w:rsid w:val="00E32116"/>
    <w:rsid w:val="00E32E8A"/>
    <w:rsid w:val="00E36723"/>
    <w:rsid w:val="00E413E4"/>
    <w:rsid w:val="00E62356"/>
    <w:rsid w:val="00E65850"/>
    <w:rsid w:val="00E8039D"/>
    <w:rsid w:val="00EC2E56"/>
    <w:rsid w:val="00EC3FC7"/>
    <w:rsid w:val="00ED42E9"/>
    <w:rsid w:val="00EF01EB"/>
    <w:rsid w:val="00EF0888"/>
    <w:rsid w:val="00F031E1"/>
    <w:rsid w:val="00F04A1E"/>
    <w:rsid w:val="00F06EB9"/>
    <w:rsid w:val="00F213ED"/>
    <w:rsid w:val="00F21E5F"/>
    <w:rsid w:val="00F3126A"/>
    <w:rsid w:val="00F312F2"/>
    <w:rsid w:val="00F33007"/>
    <w:rsid w:val="00F65ED5"/>
    <w:rsid w:val="00F6602D"/>
    <w:rsid w:val="00F669AF"/>
    <w:rsid w:val="00F81BA8"/>
    <w:rsid w:val="00F84BCE"/>
    <w:rsid w:val="00F96F66"/>
    <w:rsid w:val="00FA4C1A"/>
    <w:rsid w:val="00FA6D85"/>
    <w:rsid w:val="00FB1054"/>
    <w:rsid w:val="00FC0207"/>
    <w:rsid w:val="00FC2D1B"/>
    <w:rsid w:val="08283B82"/>
    <w:rsid w:val="44793D04"/>
    <w:rsid w:val="4A773CD9"/>
    <w:rsid w:val="4AD07744"/>
    <w:rsid w:val="4D211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3"/>
    <w:qFormat/>
    <w:uiPriority w:val="0"/>
    <w:rPr>
      <w:rFonts w:ascii="宋体" w:hAnsi="Courier New" w:cs="宋体"/>
      <w:color w:val="000000"/>
      <w:szCs w:val="21"/>
      <w:lang w:eastAsia="en-US"/>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Hyperlink"/>
    <w:basedOn w:val="6"/>
    <w:uiPriority w:val="0"/>
    <w:rPr>
      <w:color w:val="0000FF"/>
      <w:u w:val="single"/>
    </w:rPr>
  </w:style>
  <w:style w:type="character" w:customStyle="1" w:styleId="10">
    <w:name w:val="05正文 Char"/>
    <w:basedOn w:val="6"/>
    <w:link w:val="11"/>
    <w:locked/>
    <w:uiPriority w:val="0"/>
    <w:rPr>
      <w:rFonts w:ascii="宋体" w:hAnsi="宋体" w:eastAsia="宋体"/>
      <w:kern w:val="2"/>
      <w:sz w:val="24"/>
      <w:szCs w:val="21"/>
      <w:lang w:val="en-US" w:eastAsia="zh-CN" w:bidi="ar-SA"/>
    </w:rPr>
  </w:style>
  <w:style w:type="paragraph" w:customStyle="1" w:styleId="11">
    <w:name w:val="05正文"/>
    <w:basedOn w:val="1"/>
    <w:link w:val="10"/>
    <w:qFormat/>
    <w:uiPriority w:val="0"/>
    <w:pPr>
      <w:spacing w:line="560" w:lineRule="exact"/>
      <w:ind w:firstLine="200" w:firstLineChars="200"/>
      <w:jc w:val="left"/>
    </w:pPr>
    <w:rPr>
      <w:rFonts w:ascii="宋体" w:hAnsi="宋体"/>
      <w:sz w:val="24"/>
      <w:szCs w:val="21"/>
    </w:rPr>
  </w:style>
  <w:style w:type="character" w:customStyle="1" w:styleId="12">
    <w:name w:val="Char Char"/>
    <w:basedOn w:val="6"/>
    <w:qFormat/>
    <w:uiPriority w:val="0"/>
    <w:rPr>
      <w:rFonts w:ascii="宋体" w:hAnsi="Courier New"/>
      <w:kern w:val="2"/>
      <w:sz w:val="21"/>
    </w:rPr>
  </w:style>
  <w:style w:type="character" w:customStyle="1" w:styleId="13">
    <w:name w:val="纯文本 Char"/>
    <w:basedOn w:val="6"/>
    <w:link w:val="2"/>
    <w:qFormat/>
    <w:uiPriority w:val="0"/>
    <w:rPr>
      <w:rFonts w:ascii="宋体" w:hAnsi="Courier New" w:eastAsia="宋体" w:cs="宋体"/>
      <w:color w:val="000000"/>
      <w:kern w:val="2"/>
      <w:sz w:val="21"/>
      <w:szCs w:val="21"/>
      <w:lang w:val="en-US" w:eastAsia="en-US" w:bidi="ar-SA"/>
    </w:rPr>
  </w:style>
  <w:style w:type="paragraph" w:customStyle="1" w:styleId="14">
    <w:name w:val="Char"/>
    <w:basedOn w:val="1"/>
    <w:uiPriority w:val="0"/>
    <w:pPr>
      <w:widowControl/>
      <w:spacing w:after="160" w:line="240" w:lineRule="exact"/>
      <w:jc w:val="left"/>
    </w:pPr>
  </w:style>
  <w:style w:type="paragraph" w:customStyle="1" w:styleId="15">
    <w:name w:val="肥料正文"/>
    <w:basedOn w:val="1"/>
    <w:qFormat/>
    <w:uiPriority w:val="0"/>
    <w:pPr>
      <w:adjustRightInd w:val="0"/>
      <w:snapToGrid w:val="0"/>
      <w:spacing w:line="317" w:lineRule="auto"/>
      <w:ind w:firstLine="200" w:firstLineChars="200"/>
    </w:pPr>
    <w:rPr>
      <w:rFonts w:eastAsia="汉鼎简书宋二"/>
      <w:snapToGrid w:val="0"/>
      <w:spacing w:val="2"/>
      <w:kern w:val="0"/>
      <w:sz w:val="22"/>
    </w:rPr>
  </w:style>
  <w:style w:type="paragraph" w:customStyle="1" w:styleId="1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788</Words>
  <Characters>4492</Characters>
  <Lines>37</Lines>
  <Paragraphs>10</Paragraphs>
  <TotalTime>13</TotalTime>
  <ScaleCrop>false</ScaleCrop>
  <LinksUpToDate>false</LinksUpToDate>
  <CharactersWithSpaces>5270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2021-03-15T06:46:00Z</dcterms:created>
  <dc:creator>lenovo</dc:creator>
  <cp:lastModifiedBy>杨伟勋</cp:lastModifiedBy>
  <dcterms:modified xsi:type="dcterms:W3CDTF">2021-03-15T13:52:08Z</dcterms:modified>
  <dc:title>工业产品质量监督抽查实施规范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