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bCs/>
          <w:i w:val="0"/>
          <w:caps w:val="0"/>
          <w:color w:val="000000"/>
          <w:spacing w:val="0"/>
          <w:sz w:val="32"/>
          <w:szCs w:val="32"/>
          <w:shd w:val="clear" w:fill="FFFFFF"/>
          <w:lang w:val="en-US" w:eastAsia="zh-CN"/>
        </w:rPr>
      </w:pPr>
      <w:r>
        <w:rPr>
          <w:rStyle w:val="6"/>
          <w:rFonts w:hint="eastAsia" w:ascii="仿宋_GB2312" w:hAnsi="仿宋_GB2312" w:eastAsia="仿宋_GB2312" w:cs="仿宋_GB2312"/>
          <w:b/>
          <w:bCs/>
          <w:i w:val="0"/>
          <w:caps w:val="0"/>
          <w:color w:val="000000"/>
          <w:spacing w:val="0"/>
          <w:sz w:val="32"/>
          <w:szCs w:val="32"/>
          <w:shd w:val="clear" w:fill="FFFFFF"/>
          <w:lang w:val="en-US" w:eastAsia="zh-CN"/>
        </w:rPr>
        <w:t>附件3：水电气接入外线工程并联审批申请表</w:t>
      </w:r>
    </w:p>
    <w:p>
      <w:pPr>
        <w:keepNext w:val="0"/>
        <w:keepLines w:val="0"/>
        <w:pageBreakBefore w:val="0"/>
        <w:kinsoku/>
        <w:wordWrap/>
        <w:overflowPunct/>
        <w:topLinePunct w:val="0"/>
        <w:autoSpaceDE/>
        <w:autoSpaceDN/>
        <w:bidi w:val="0"/>
        <w:adjustRightInd/>
        <w:snapToGrid/>
        <w:spacing w:afterAutospacing="0" w:line="560" w:lineRule="exact"/>
        <w:textAlignment w:val="auto"/>
        <w:rPr>
          <w:rStyle w:val="6"/>
          <w:rFonts w:hint="eastAsia" w:ascii="仿宋_GB2312" w:hAnsi="仿宋_GB2312" w:eastAsia="仿宋_GB2312" w:cs="仿宋_GB2312"/>
          <w:b w:val="0"/>
          <w:bCs w:val="0"/>
          <w:i w:val="0"/>
          <w:caps w:val="0"/>
          <w:color w:val="000000"/>
          <w:spacing w:val="0"/>
          <w:sz w:val="32"/>
          <w:szCs w:val="32"/>
          <w:shd w:val="clear" w:fill="FFFFFF"/>
          <w:lang w:val="en-US" w:eastAsia="zh-CN"/>
        </w:rPr>
      </w:pPr>
    </w:p>
    <w:tbl>
      <w:tblPr>
        <w:tblStyle w:val="4"/>
        <w:tblW w:w="9366"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402"/>
        <w:gridCol w:w="1403"/>
        <w:gridCol w:w="1170"/>
        <w:gridCol w:w="1305"/>
        <w:gridCol w:w="858"/>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75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申请单位</w:t>
            </w:r>
          </w:p>
        </w:tc>
        <w:tc>
          <w:tcPr>
            <w:tcW w:w="2805" w:type="dxa"/>
            <w:gridSpan w:val="2"/>
            <w:vAlign w:val="center"/>
          </w:tcPr>
          <w:p>
            <w:pPr>
              <w:keepNext w:val="0"/>
              <w:keepLines w:val="0"/>
              <w:pageBreakBefore w:val="0"/>
              <w:kinsoku/>
              <w:wordWrap/>
              <w:overflowPunct/>
              <w:topLinePunct w:val="0"/>
              <w:autoSpaceDE/>
              <w:autoSpaceDN/>
              <w:bidi w:val="0"/>
              <w:spacing w:line="560" w:lineRule="exact"/>
              <w:textAlignment w:val="auto"/>
              <w:rPr>
                <w:rFonts w:hint="eastAsia"/>
                <w:lang w:val="en-US" w:eastAsia="zh-CN"/>
              </w:rPr>
            </w:pPr>
          </w:p>
        </w:tc>
        <w:tc>
          <w:tcPr>
            <w:tcW w:w="1170"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联系人</w:t>
            </w:r>
          </w:p>
        </w:tc>
        <w:tc>
          <w:tcPr>
            <w:tcW w:w="130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c>
          <w:tcPr>
            <w:tcW w:w="858"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电话</w:t>
            </w:r>
          </w:p>
        </w:tc>
        <w:tc>
          <w:tcPr>
            <w:tcW w:w="1473"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75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设计单位</w:t>
            </w:r>
          </w:p>
        </w:tc>
        <w:tc>
          <w:tcPr>
            <w:tcW w:w="2805" w:type="dxa"/>
            <w:gridSpan w:val="2"/>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c>
          <w:tcPr>
            <w:tcW w:w="1170"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联系人</w:t>
            </w:r>
          </w:p>
        </w:tc>
        <w:tc>
          <w:tcPr>
            <w:tcW w:w="130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c>
          <w:tcPr>
            <w:tcW w:w="858"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电话</w:t>
            </w:r>
          </w:p>
        </w:tc>
        <w:tc>
          <w:tcPr>
            <w:tcW w:w="1473"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75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项目名称</w:t>
            </w:r>
          </w:p>
        </w:tc>
        <w:tc>
          <w:tcPr>
            <w:tcW w:w="7611" w:type="dxa"/>
            <w:gridSpan w:val="6"/>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建设地址</w:t>
            </w:r>
          </w:p>
        </w:tc>
        <w:tc>
          <w:tcPr>
            <w:tcW w:w="3975" w:type="dxa"/>
            <w:gridSpan w:val="3"/>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c>
          <w:tcPr>
            <w:tcW w:w="130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路面</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类别</w:t>
            </w:r>
          </w:p>
        </w:tc>
        <w:tc>
          <w:tcPr>
            <w:tcW w:w="2331" w:type="dxa"/>
            <w:gridSpan w:val="2"/>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55" w:type="dxa"/>
            <w:vMerge w:val="restart"/>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建设规模相关信息</w:t>
            </w:r>
          </w:p>
        </w:tc>
        <w:tc>
          <w:tcPr>
            <w:tcW w:w="1402"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人行道</w:t>
            </w:r>
          </w:p>
        </w:tc>
        <w:tc>
          <w:tcPr>
            <w:tcW w:w="6209" w:type="dxa"/>
            <w:gridSpan w:val="5"/>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sz w:val="30"/>
                <w:szCs w:val="30"/>
              </w:rPr>
              <w:t>长（　</w:t>
            </w:r>
            <w:r>
              <w:rPr>
                <w:rStyle w:val="6"/>
                <w:rFonts w:hint="eastAsia" w:ascii="仿宋_GB2312" w:hAnsi="仿宋_GB2312" w:eastAsia="仿宋_GB2312" w:cs="仿宋_GB2312"/>
                <w:b w:val="0"/>
                <w:bCs/>
                <w:sz w:val="30"/>
                <w:szCs w:val="30"/>
                <w:lang w:val="en-US" w:eastAsia="zh-CN"/>
              </w:rPr>
              <w:t xml:space="preserve"> </w:t>
            </w:r>
            <w:r>
              <w:rPr>
                <w:rStyle w:val="6"/>
                <w:rFonts w:hint="eastAsia" w:ascii="仿宋_GB2312" w:hAnsi="仿宋_GB2312" w:eastAsia="仿宋_GB2312" w:cs="仿宋_GB2312"/>
                <w:b w:val="0"/>
                <w:bCs/>
                <w:sz w:val="30"/>
                <w:szCs w:val="30"/>
              </w:rPr>
              <w:t>　）米×宽（　</w:t>
            </w:r>
            <w:r>
              <w:rPr>
                <w:rStyle w:val="6"/>
                <w:rFonts w:hint="eastAsia" w:ascii="仿宋_GB2312" w:hAnsi="仿宋_GB2312" w:eastAsia="仿宋_GB2312" w:cs="仿宋_GB2312"/>
                <w:b w:val="0"/>
                <w:bCs/>
                <w:sz w:val="30"/>
                <w:szCs w:val="30"/>
                <w:lang w:val="en-US" w:eastAsia="zh-CN"/>
              </w:rPr>
              <w:t xml:space="preserve"> </w:t>
            </w:r>
            <w:r>
              <w:rPr>
                <w:rStyle w:val="6"/>
                <w:rFonts w:hint="eastAsia" w:ascii="仿宋_GB2312" w:hAnsi="仿宋_GB2312" w:eastAsia="仿宋_GB2312" w:cs="仿宋_GB2312"/>
                <w:b w:val="0"/>
                <w:bCs/>
                <w:sz w:val="30"/>
                <w:szCs w:val="30"/>
              </w:rPr>
              <w:t>　）米＝</w:t>
            </w:r>
            <w:r>
              <w:rPr>
                <w:rStyle w:val="6"/>
                <w:rFonts w:hint="eastAsia" w:ascii="仿宋_GB2312" w:hAnsi="仿宋_GB2312" w:eastAsia="仿宋_GB2312" w:cs="仿宋_GB2312"/>
                <w:b w:val="0"/>
                <w:bCs/>
                <w:sz w:val="30"/>
                <w:szCs w:val="30"/>
                <w:lang w:val="en-US" w:eastAsia="zh-CN"/>
              </w:rPr>
              <w:t xml:space="preserve">     </w:t>
            </w:r>
            <w:r>
              <w:rPr>
                <w:rStyle w:val="6"/>
                <w:rFonts w:hint="default" w:ascii="仿宋_GB2312" w:hAnsi="微软雅黑" w:eastAsia="仿宋_GB2312" w:cs="仿宋_GB2312"/>
                <w:sz w:val="28"/>
                <w:szCs w:val="28"/>
              </w:rPr>
              <w:t>m</w:t>
            </w:r>
            <w:r>
              <w:rPr>
                <w:rStyle w:val="6"/>
                <w:rFonts w:hint="default" w:ascii="仿宋_GB2312" w:hAnsi="微软雅黑" w:eastAsia="仿宋_GB2312" w:cs="仿宋_GB2312"/>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55" w:type="dxa"/>
            <w:vMerge w:val="continue"/>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c>
          <w:tcPr>
            <w:tcW w:w="1402"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车行道</w:t>
            </w:r>
          </w:p>
        </w:tc>
        <w:tc>
          <w:tcPr>
            <w:tcW w:w="6209" w:type="dxa"/>
            <w:gridSpan w:val="5"/>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sz w:val="30"/>
                <w:szCs w:val="30"/>
                <w:lang w:val="en-US" w:eastAsia="zh-CN"/>
              </w:rPr>
            </w:pPr>
            <w:r>
              <w:rPr>
                <w:rStyle w:val="6"/>
                <w:rFonts w:hint="eastAsia" w:ascii="仿宋_GB2312" w:hAnsi="仿宋_GB2312" w:eastAsia="仿宋_GB2312" w:cs="仿宋_GB2312"/>
                <w:b w:val="0"/>
                <w:bCs/>
                <w:sz w:val="30"/>
                <w:szCs w:val="30"/>
              </w:rPr>
              <w:t>长（　</w:t>
            </w:r>
            <w:r>
              <w:rPr>
                <w:rStyle w:val="6"/>
                <w:rFonts w:hint="eastAsia" w:ascii="仿宋_GB2312" w:hAnsi="仿宋_GB2312" w:eastAsia="仿宋_GB2312" w:cs="仿宋_GB2312"/>
                <w:b w:val="0"/>
                <w:bCs/>
                <w:sz w:val="30"/>
                <w:szCs w:val="30"/>
                <w:lang w:val="en-US" w:eastAsia="zh-CN"/>
              </w:rPr>
              <w:t xml:space="preserve"> </w:t>
            </w:r>
            <w:r>
              <w:rPr>
                <w:rStyle w:val="6"/>
                <w:rFonts w:hint="eastAsia" w:ascii="仿宋_GB2312" w:hAnsi="仿宋_GB2312" w:eastAsia="仿宋_GB2312" w:cs="仿宋_GB2312"/>
                <w:b w:val="0"/>
                <w:bCs/>
                <w:sz w:val="30"/>
                <w:szCs w:val="30"/>
              </w:rPr>
              <w:t>　）米×宽（</w:t>
            </w:r>
            <w:r>
              <w:rPr>
                <w:rStyle w:val="6"/>
                <w:rFonts w:hint="eastAsia" w:ascii="仿宋_GB2312" w:hAnsi="仿宋_GB2312" w:eastAsia="仿宋_GB2312" w:cs="仿宋_GB2312"/>
                <w:b w:val="0"/>
                <w:bCs/>
                <w:sz w:val="30"/>
                <w:szCs w:val="30"/>
                <w:lang w:val="en-US" w:eastAsia="zh-CN"/>
              </w:rPr>
              <w:t xml:space="preserve"> </w:t>
            </w:r>
            <w:r>
              <w:rPr>
                <w:rStyle w:val="6"/>
                <w:rFonts w:hint="eastAsia" w:ascii="仿宋_GB2312" w:hAnsi="仿宋_GB2312" w:eastAsia="仿宋_GB2312" w:cs="仿宋_GB2312"/>
                <w:b w:val="0"/>
                <w:bCs/>
                <w:sz w:val="30"/>
                <w:szCs w:val="30"/>
              </w:rPr>
              <w:t>　　）米＝</w:t>
            </w:r>
            <w:r>
              <w:rPr>
                <w:rStyle w:val="6"/>
                <w:rFonts w:hint="eastAsia" w:ascii="仿宋_GB2312" w:hAnsi="仿宋_GB2312" w:eastAsia="仿宋_GB2312" w:cs="仿宋_GB2312"/>
                <w:b w:val="0"/>
                <w:bCs/>
                <w:sz w:val="30"/>
                <w:szCs w:val="30"/>
                <w:lang w:val="en-US" w:eastAsia="zh-CN"/>
              </w:rPr>
              <w:t xml:space="preserve">     </w:t>
            </w:r>
            <w:r>
              <w:rPr>
                <w:rStyle w:val="6"/>
                <w:rFonts w:hint="default" w:ascii="仿宋_GB2312" w:hAnsi="微软雅黑" w:eastAsia="仿宋_GB2312" w:cs="仿宋_GB2312"/>
                <w:sz w:val="28"/>
                <w:szCs w:val="28"/>
              </w:rPr>
              <w:t>m</w:t>
            </w:r>
            <w:r>
              <w:rPr>
                <w:rStyle w:val="6"/>
                <w:rFonts w:hint="default" w:ascii="仿宋_GB2312" w:hAnsi="微软雅黑" w:eastAsia="仿宋_GB2312" w:cs="仿宋_GB2312"/>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755" w:type="dxa"/>
            <w:vMerge w:val="continue"/>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c>
          <w:tcPr>
            <w:tcW w:w="1402"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埋深</w:t>
            </w:r>
          </w:p>
        </w:tc>
        <w:tc>
          <w:tcPr>
            <w:tcW w:w="6209" w:type="dxa"/>
            <w:gridSpan w:val="5"/>
            <w:vAlign w:val="center"/>
          </w:tcPr>
          <w:p>
            <w:pPr>
              <w:keepNext w:val="0"/>
              <w:keepLines w:val="0"/>
              <w:pageBreakBefore w:val="0"/>
              <w:kinsoku/>
              <w:wordWrap/>
              <w:overflowPunct/>
              <w:topLinePunct w:val="0"/>
              <w:autoSpaceDE/>
              <w:autoSpaceDN/>
              <w:bidi w:val="0"/>
              <w:adjustRightInd/>
              <w:snapToGrid/>
              <w:spacing w:afterAutospacing="0" w:line="560" w:lineRule="exact"/>
              <w:jc w:val="both"/>
              <w:textAlignment w:val="auto"/>
              <w:rPr>
                <w:rStyle w:val="6"/>
                <w:rFonts w:hint="eastAsia" w:ascii="仿宋_GB2312" w:hAnsi="仿宋_GB2312" w:eastAsia="仿宋_GB2312" w:cs="仿宋_GB2312"/>
                <w:b w:val="0"/>
                <w:bCs/>
                <w:sz w:val="30"/>
                <w:szCs w:val="30"/>
                <w:lang w:val="en-US" w:eastAsia="zh-CN"/>
              </w:rPr>
            </w:pPr>
            <w:r>
              <w:rPr>
                <w:rStyle w:val="6"/>
                <w:rFonts w:hint="default" w:ascii="仿宋_GB2312" w:hAnsi="仿宋_GB2312" w:eastAsia="仿宋_GB2312" w:cs="仿宋_GB2312"/>
                <w:b w:val="0"/>
                <w:bCs/>
                <w:sz w:val="30"/>
                <w:szCs w:val="30"/>
              </w:rPr>
              <w:t>管顶标高</w:t>
            </w:r>
            <w:r>
              <w:rPr>
                <w:rStyle w:val="6"/>
                <w:rFonts w:hint="eastAsia" w:ascii="仿宋_GB2312" w:hAnsi="仿宋_GB2312" w:eastAsia="仿宋_GB2312" w:cs="仿宋_GB2312"/>
                <w:b w:val="0"/>
                <w:bCs/>
                <w:sz w:val="30"/>
                <w:szCs w:val="30"/>
                <w:lang w:val="en-US" w:eastAsia="zh-CN"/>
              </w:rPr>
              <w:t xml:space="preserve">    </w:t>
            </w:r>
            <w:r>
              <w:rPr>
                <w:rStyle w:val="6"/>
                <w:rFonts w:hint="default" w:ascii="仿宋_GB2312" w:hAnsi="仿宋_GB2312" w:eastAsia="仿宋_GB2312" w:cs="仿宋_GB2312"/>
                <w:b w:val="0"/>
                <w:bCs/>
                <w:sz w:val="30"/>
                <w:szCs w:val="30"/>
              </w:rPr>
              <w:t>管底标高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755" w:type="dxa"/>
            <w:vMerge w:val="continue"/>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c>
          <w:tcPr>
            <w:tcW w:w="1402"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其他</w:t>
            </w:r>
          </w:p>
        </w:tc>
        <w:tc>
          <w:tcPr>
            <w:tcW w:w="6209" w:type="dxa"/>
            <w:gridSpan w:val="5"/>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t>申请占（挖）</w:t>
            </w:r>
          </w:p>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t>起止日期</w:t>
            </w:r>
          </w:p>
        </w:tc>
        <w:tc>
          <w:tcPr>
            <w:tcW w:w="7611" w:type="dxa"/>
            <w:gridSpan w:val="6"/>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t>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9" w:hRule="atLeast"/>
        </w:trPr>
        <w:tc>
          <w:tcPr>
            <w:tcW w:w="1755" w:type="dxa"/>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auto"/>
              <w:rPr>
                <w:rStyle w:val="6"/>
                <w:rFonts w:hint="default" w:ascii="仿宋_GB2312" w:hAnsi="仿宋_GB2312" w:eastAsia="仿宋_GB2312" w:cs="仿宋_GB2312"/>
                <w:b w:val="0"/>
                <w:bCs w:val="0"/>
                <w:i w:val="0"/>
                <w:caps w:val="0"/>
                <w:color w:val="000000"/>
                <w:spacing w:val="0"/>
                <w:sz w:val="30"/>
                <w:szCs w:val="30"/>
                <w:shd w:val="clear" w:fill="FFFFFF"/>
                <w:vertAlign w:val="baseline"/>
                <w:lang w:val="en-US" w:eastAsia="zh-CN"/>
              </w:rPr>
            </w:pPr>
            <w:r>
              <w:rPr>
                <w:rStyle w:val="6"/>
                <w:rFonts w:hint="eastAsia" w:ascii="仿宋_GB2312" w:hAnsi="仿宋_GB2312" w:eastAsia="仿宋_GB2312" w:cs="仿宋_GB2312"/>
                <w:b w:val="0"/>
                <w:bCs w:val="0"/>
                <w:i w:val="0"/>
                <w:caps w:val="0"/>
                <w:color w:val="000000"/>
                <w:spacing w:val="0"/>
                <w:sz w:val="30"/>
                <w:szCs w:val="30"/>
                <w:shd w:val="clear" w:fill="FFFFFF"/>
                <w:vertAlign w:val="baseline"/>
                <w:lang w:val="en-US" w:eastAsia="zh-CN"/>
              </w:rPr>
              <w:t>说明</w:t>
            </w:r>
          </w:p>
        </w:tc>
        <w:tc>
          <w:tcPr>
            <w:tcW w:w="7611" w:type="dxa"/>
            <w:gridSpan w:val="6"/>
            <w:vAlign w:val="top"/>
          </w:tcPr>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本表适用于水电气企业办理挖掘（占用）施工所须的行政许可审批（含规划许可、城市道路开挖（占用）许可、砍伐城市树木占用绿化用地许可等）。</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路面类别指沥青路面、水泥路面、泥土路面、普砖、彩砖、广场砖等路面。</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申请人应如实提交有关材料及反应真实情况，申请人、设计单位、建设单位须认真核实表中内容并对本单位提供的申请材料实质内容的真实性负责，以虚假、瞒报、造假等不正当手段取得批准文件的，将依法予以撤销，追究相应责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jc w:val="left"/>
              <w:textAlignment w:val="auto"/>
              <w:rPr>
                <w:rFonts w:hint="default" w:ascii="仿宋_GB2312" w:hAnsi="微软雅黑" w:eastAsia="仿宋_GB2312" w:cs="仿宋_GB2312"/>
                <w:spacing w:val="15"/>
                <w:sz w:val="24"/>
                <w:szCs w:val="24"/>
                <w:lang w:val="en-US" w:eastAsia="zh-CN"/>
              </w:rPr>
            </w:pPr>
            <w:r>
              <w:rPr>
                <w:rFonts w:hint="default" w:ascii="仿宋_GB2312" w:hAnsi="微软雅黑" w:eastAsia="仿宋_GB2312" w:cs="仿宋_GB2312"/>
                <w:spacing w:val="15"/>
                <w:sz w:val="24"/>
                <w:szCs w:val="24"/>
              </w:rPr>
              <w:t>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66" w:type="dxa"/>
            <w:gridSpan w:val="7"/>
            <w:vAlign w:val="top"/>
          </w:tcPr>
          <w:p>
            <w:pPr>
              <w:pStyle w:val="2"/>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left="0" w:right="0" w:firstLine="0"/>
              <w:jc w:val="center"/>
              <w:textAlignment w:val="auto"/>
              <w:rPr>
                <w:rStyle w:val="6"/>
                <w:rFonts w:hint="default" w:ascii="仿宋_GB2312" w:hAnsi="微软雅黑" w:eastAsia="仿宋_GB2312" w:cs="仿宋_GB2312"/>
                <w:b w:val="0"/>
                <w:bCs/>
                <w:sz w:val="24"/>
                <w:szCs w:val="24"/>
              </w:rPr>
            </w:pPr>
            <w:r>
              <w:rPr>
                <w:rStyle w:val="6"/>
                <w:rFonts w:hint="default" w:ascii="仿宋_GB2312" w:hAnsi="微软雅黑" w:eastAsia="仿宋_GB2312" w:cs="仿宋_GB2312"/>
                <w:b w:val="0"/>
                <w:bCs/>
                <w:sz w:val="24"/>
                <w:szCs w:val="24"/>
              </w:rPr>
              <w:t>水电气外线工程开挖承诺书</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225" w:beforeAutospacing="0" w:afterAutospacing="0" w:line="560" w:lineRule="exact"/>
              <w:ind w:left="0" w:right="0" w:firstLine="0"/>
              <w:jc w:val="both"/>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严格按照联合勘验后的审批时间、路径施工。施工过程中，对开挖区域管线应采取人工开挖探沟勘察，遇到地下管线情况不明的，难以判定的，应立即暂停施工，联系相关管线单位现场核查核对。个人及单位不得擅自损坏绿化，如超范围施工，一经发现，接受相关处罚。</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225" w:beforeAutospacing="0" w:afterAutospacing="0" w:line="560" w:lineRule="exact"/>
              <w:ind w:left="0" w:leftChars="0" w:right="0" w:firstLine="0" w:firstLineChars="0"/>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施工组织设计中，严格按照管线管理要求对管线保护采取技术措施；事故应急预案中，明确管线保护的应急救援预案，在原有地下管线的保护区范围内，不使用机械开挖。</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225" w:beforeAutospacing="0" w:afterAutospacing="0" w:line="560" w:lineRule="exact"/>
              <w:ind w:left="0" w:leftChars="0" w:right="0" w:rightChars="0" w:firstLine="0" w:firstLineChars="0"/>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承诺审批流程中的所有缴费项目（如：城市道路占用费、城市道路挖掘修复费、城市园林绿化补偿费等），由缴费主体在5个工作日内缴清。</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225" w:beforeAutospacing="0" w:afterAutospacing="0" w:line="560" w:lineRule="exact"/>
              <w:ind w:left="0" w:leftChars="0" w:right="0" w:rightChars="0" w:firstLine="0" w:firstLineChars="0"/>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施工现场设置安全护栏或施工围挡，夜间设置安全警示灯，确保过往行人及车辆安全。在开挖区域设置明显告示牌张贴建设、施工单位名称、施工负责人联系电话及施工时间，接受监督。</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225" w:beforeAutospacing="0" w:afterAutospacing="0" w:line="560" w:lineRule="exact"/>
              <w:ind w:left="0" w:leftChars="0" w:right="0" w:rightChars="0" w:firstLine="0" w:firstLineChars="0"/>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严格按照批准的期限、面积和施工方案进行施工，合理配置人力机具，避免在交通高峰时段进行施工。按照文明施工的有关规定，对施工范围采取围蔽作业，施工材料、机具等不得超出施工围蔽范围。</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225" w:beforeAutospacing="0" w:afterAutospacing="0" w:line="560" w:lineRule="exact"/>
              <w:ind w:left="0" w:leftChars="0" w:right="0" w:firstLine="0" w:firstLineChars="0"/>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施工现场设置明显的交通导向标志、标线，夜间设置警示灯具。对车辆和行人影响较大的工程施工，做好交通疏导措施，保证道路通行和行人安全。</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225" w:beforeAutospacing="0" w:afterAutospacing="0" w:line="560" w:lineRule="exact"/>
              <w:ind w:left="0" w:leftChars="0" w:right="0" w:firstLine="0" w:firstLineChars="0"/>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施工作业应当按照经批准的交通整治方案实施，按照规定的时间、范围、方式、程序进行施工。大型机械施工作业应安排在晚上10时前完成，并采取有效措施防止施工噪音和施工产生的粉尘。</w:t>
            </w:r>
          </w:p>
          <w:p>
            <w:pPr>
              <w:pStyle w:val="2"/>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left="0" w:right="0" w:firstLine="0"/>
              <w:textAlignment w:val="auto"/>
              <w:rPr>
                <w:sz w:val="24"/>
                <w:szCs w:val="24"/>
              </w:rPr>
            </w:pPr>
            <w:r>
              <w:rPr>
                <w:rFonts w:hint="default" w:ascii="仿宋_GB2312" w:hAnsi="微软雅黑" w:eastAsia="仿宋_GB2312" w:cs="仿宋_GB2312"/>
                <w:spacing w:val="15"/>
                <w:sz w:val="24"/>
                <w:szCs w:val="24"/>
              </w:rPr>
              <w:t>8.施工产生的淤泥、废料等要及时清运，施工产生的泥浆水，应经沉淀处理后排入市政污水管道，不得向路面直接排放。 </w:t>
            </w:r>
          </w:p>
          <w:p>
            <w:pPr>
              <w:pStyle w:val="2"/>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left="0" w:right="0" w:firstLine="0"/>
              <w:textAlignment w:val="auto"/>
              <w:rPr>
                <w:sz w:val="24"/>
                <w:szCs w:val="24"/>
              </w:rPr>
            </w:pPr>
            <w:r>
              <w:rPr>
                <w:rFonts w:hint="default" w:ascii="仿宋_GB2312" w:hAnsi="微软雅黑" w:eastAsia="仿宋_GB2312" w:cs="仿宋_GB2312"/>
                <w:spacing w:val="15"/>
                <w:sz w:val="24"/>
                <w:szCs w:val="24"/>
              </w:rPr>
              <w:t>9.严格按照道路修复标准，及时修复挖掘路面。挖掘砼路面的，需整块面积修复，挖掘其他材料的路面，按挖掘实际面积修复。</w:t>
            </w:r>
          </w:p>
          <w:p>
            <w:pPr>
              <w:pStyle w:val="2"/>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left="0" w:right="0" w:firstLine="0"/>
              <w:textAlignment w:val="auto"/>
              <w:rPr>
                <w:sz w:val="24"/>
                <w:szCs w:val="24"/>
              </w:rPr>
            </w:pPr>
            <w:r>
              <w:rPr>
                <w:rFonts w:hint="default" w:ascii="仿宋_GB2312" w:hAnsi="微软雅黑" w:eastAsia="仿宋_GB2312" w:cs="仿宋_GB2312"/>
                <w:spacing w:val="15"/>
                <w:sz w:val="24"/>
                <w:szCs w:val="24"/>
              </w:rPr>
              <w:t>10. 严格按照绿化修复标准，及时修复破损的绿化建设。</w:t>
            </w:r>
          </w:p>
          <w:p>
            <w:pPr>
              <w:pStyle w:val="2"/>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left="0" w:right="0" w:firstLine="0"/>
              <w:textAlignment w:val="auto"/>
              <w:rPr>
                <w:sz w:val="24"/>
                <w:szCs w:val="24"/>
              </w:rPr>
            </w:pPr>
            <w:r>
              <w:rPr>
                <w:rFonts w:hint="default" w:ascii="仿宋_GB2312" w:hAnsi="微软雅黑" w:eastAsia="仿宋_GB2312" w:cs="仿宋_GB2312"/>
                <w:spacing w:val="15"/>
                <w:sz w:val="24"/>
                <w:szCs w:val="24"/>
              </w:rPr>
              <w:t>11.挖掘期间发生任何形式的纠纷和损害责任，由建设单位自行承担并协调解决。</w:t>
            </w:r>
          </w:p>
          <w:p>
            <w:pPr>
              <w:pStyle w:val="2"/>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left="0" w:right="0" w:firstLine="0"/>
              <w:textAlignment w:val="auto"/>
              <w:rPr>
                <w:sz w:val="24"/>
                <w:szCs w:val="24"/>
              </w:rPr>
            </w:pPr>
            <w:r>
              <w:rPr>
                <w:rFonts w:hint="default" w:ascii="仿宋_GB2312" w:hAnsi="微软雅黑" w:eastAsia="仿宋_GB2312" w:cs="仿宋_GB2312"/>
                <w:spacing w:val="15"/>
                <w:sz w:val="24"/>
                <w:szCs w:val="24"/>
              </w:rPr>
              <w:t>本单位承诺上述内容真实可靠，提供资料均为真实、有效、符合法律法规相关文件，并将切实履行，如有违反，接受相应的处罚。</w:t>
            </w:r>
          </w:p>
          <w:p>
            <w:pPr>
              <w:pStyle w:val="2"/>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left="0" w:right="0" w:firstLine="0"/>
              <w:textAlignment w:val="auto"/>
              <w:rPr>
                <w:sz w:val="24"/>
                <w:szCs w:val="24"/>
              </w:rPr>
            </w:pPr>
            <w:r>
              <w:rPr>
                <w:rFonts w:hint="default" w:ascii="仿宋_GB2312" w:hAnsi="微软雅黑" w:eastAsia="仿宋_GB2312" w:cs="仿宋_GB2312"/>
                <w:spacing w:val="15"/>
                <w:sz w:val="24"/>
                <w:szCs w:val="24"/>
              </w:rPr>
              <w:t>承诺方：单位（公章）         </w:t>
            </w:r>
          </w:p>
          <w:p>
            <w:pPr>
              <w:pStyle w:val="2"/>
              <w:keepNext w:val="0"/>
              <w:keepLines w:val="0"/>
              <w:pageBreakBefore w:val="0"/>
              <w:widowControl/>
              <w:suppressLineNumbers w:val="0"/>
              <w:kinsoku/>
              <w:wordWrap/>
              <w:overflowPunct/>
              <w:topLinePunct w:val="0"/>
              <w:autoSpaceDE/>
              <w:autoSpaceDN/>
              <w:bidi w:val="0"/>
              <w:adjustRightInd/>
              <w:snapToGrid/>
              <w:spacing w:before="225" w:beforeAutospacing="0" w:afterAutospacing="0" w:line="560" w:lineRule="exact"/>
              <w:ind w:left="0" w:right="0" w:firstLine="0"/>
              <w:textAlignment w:val="auto"/>
              <w:rPr>
                <w:rFonts w:hint="eastAsia" w:eastAsia="仿宋_GB2312"/>
                <w:sz w:val="24"/>
                <w:szCs w:val="24"/>
                <w:lang w:eastAsia="zh-CN"/>
              </w:rPr>
            </w:pPr>
            <w:r>
              <w:rPr>
                <w:rFonts w:hint="default" w:ascii="仿宋_GB2312" w:hAnsi="微软雅黑" w:eastAsia="仿宋_GB2312" w:cs="仿宋_GB2312"/>
                <w:spacing w:val="15"/>
                <w:sz w:val="24"/>
                <w:szCs w:val="24"/>
              </w:rPr>
              <w:t>联系人</w:t>
            </w:r>
            <w:r>
              <w:rPr>
                <w:rFonts w:hint="eastAsia" w:ascii="仿宋_GB2312" w:hAnsi="微软雅黑" w:eastAsia="仿宋_GB2312" w:cs="仿宋_GB2312"/>
                <w:spacing w:val="15"/>
                <w:sz w:val="24"/>
                <w:szCs w:val="24"/>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225" w:beforeAutospacing="0" w:afterAutospacing="0" w:line="560" w:lineRule="exact"/>
              <w:ind w:leftChars="0" w:right="0" w:rightChars="0" w:firstLine="1620" w:firstLineChars="600"/>
              <w:textAlignment w:val="auto"/>
              <w:rPr>
                <w:rFonts w:hint="default" w:ascii="仿宋_GB2312" w:hAnsi="微软雅黑" w:eastAsia="仿宋_GB2312" w:cs="仿宋_GB2312"/>
                <w:spacing w:val="15"/>
                <w:sz w:val="24"/>
                <w:szCs w:val="24"/>
              </w:rPr>
            </w:pPr>
            <w:r>
              <w:rPr>
                <w:rFonts w:hint="default" w:ascii="仿宋_GB2312" w:hAnsi="微软雅黑" w:eastAsia="仿宋_GB2312" w:cs="仿宋_GB2312"/>
                <w:spacing w:val="15"/>
                <w:sz w:val="24"/>
                <w:szCs w:val="24"/>
              </w:rPr>
              <w:t>                                                 年   月   日</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jc w:val="both"/>
              <w:textAlignment w:val="auto"/>
              <w:rPr>
                <w:rStyle w:val="6"/>
                <w:rFonts w:hint="default" w:ascii="仿宋_GB2312" w:hAnsi="仿宋_GB2312" w:eastAsia="仿宋_GB2312" w:cs="仿宋_GB2312"/>
                <w:b w:val="0"/>
                <w:bCs w:val="0"/>
                <w:i w:val="0"/>
                <w:caps w:val="0"/>
                <w:color w:val="000000"/>
                <w:spacing w:val="0"/>
                <w:sz w:val="24"/>
                <w:szCs w:val="24"/>
                <w:shd w:val="clear" w:fill="FFFFFF"/>
                <w:vertAlign w:val="baseline"/>
                <w:lang w:val="en-US" w:eastAsia="zh-CN"/>
              </w:rPr>
            </w:pPr>
          </w:p>
        </w:tc>
      </w:tr>
    </w:tbl>
    <w:p>
      <w:pPr>
        <w:keepNext w:val="0"/>
        <w:keepLines w:val="0"/>
        <w:pageBreakBefore w:val="0"/>
        <w:kinsoku/>
        <w:wordWrap/>
        <w:overflowPunct/>
        <w:topLinePunct w:val="0"/>
        <w:autoSpaceDE/>
        <w:autoSpaceDN/>
        <w:bidi w:val="0"/>
        <w:adjustRightInd/>
        <w:snapToGrid/>
        <w:spacing w:afterAutospacing="0" w:line="560" w:lineRule="exact"/>
        <w:textAlignment w:val="auto"/>
        <w:rPr>
          <w:rStyle w:val="6"/>
          <w:rFonts w:hint="eastAsia" w:ascii="仿宋_GB2312" w:hAnsi="仿宋_GB2312" w:eastAsia="仿宋_GB2312" w:cs="仿宋_GB2312"/>
          <w:b/>
          <w:bCs/>
          <w:i w:val="0"/>
          <w:caps w:val="0"/>
          <w:color w:val="000000"/>
          <w:spacing w:val="0"/>
          <w:sz w:val="32"/>
          <w:szCs w:val="32"/>
          <w:shd w:val="clear" w:fill="FFFFFF"/>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57012"/>
    <w:multiLevelType w:val="singleLevel"/>
    <w:tmpl w:val="A3357012"/>
    <w:lvl w:ilvl="0" w:tentative="0">
      <w:start w:val="1"/>
      <w:numFmt w:val="decimal"/>
      <w:lvlText w:val="%1."/>
      <w:lvlJc w:val="left"/>
      <w:pPr>
        <w:tabs>
          <w:tab w:val="left" w:pos="312"/>
        </w:tabs>
      </w:pPr>
    </w:lvl>
  </w:abstractNum>
  <w:abstractNum w:abstractNumId="1">
    <w:nsid w:val="CD3587AF"/>
    <w:multiLevelType w:val="singleLevel"/>
    <w:tmpl w:val="CD3587A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F03B4"/>
    <w:rsid w:val="03CF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2021-11-16T07:26:00Z</dcterms:created>
  <dc:creator>王安迪</dc:creator>
  <cp:lastModifiedBy>王安迪</cp:lastModifiedBy>
  <dcterms:modified xsi:type="dcterms:W3CDTF">2021-11-16T07:26:59Z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