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附件5：水电气接入外线工程并联审批项目联合勘察意见表</w:t>
      </w:r>
    </w:p>
    <w:tbl>
      <w:tblPr>
        <w:tblStyle w:val="3"/>
        <w:tblpPr w:leftFromText="180" w:rightFromText="180" w:vertAnchor="text" w:horzAnchor="page" w:tblpX="1231" w:tblpY="250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60"/>
        <w:gridCol w:w="2415"/>
        <w:gridCol w:w="1115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3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项目信息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申请人（单位）：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联系人：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勘验地址：</w:t>
            </w:r>
          </w:p>
        </w:tc>
        <w:tc>
          <w:tcPr>
            <w:tcW w:w="40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勘察组织联络人：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勘验时间：</w:t>
            </w:r>
          </w:p>
        </w:tc>
        <w:tc>
          <w:tcPr>
            <w:tcW w:w="40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承诺完成时限：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参加联合勘验部门：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勘验人员</w:t>
            </w:r>
          </w:p>
        </w:tc>
        <w:tc>
          <w:tcPr>
            <w:tcW w:w="5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勘验意见（在对应处打“√”）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符合         不符合        待整改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整改内容：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51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符合         不符合        待整改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整改内容：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51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符合         不符合        待整改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整改内容：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1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符合         不符合        待整改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整改内容：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勘验结论：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7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勘验人员签名：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760" w:type="dxa"/>
            <w:gridSpan w:val="5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说明：政务服务水电气联办窗口根据项目情况确定勘验部门，项目建设单位根据要求组织相关行政部门参加联合勘验，勘验单位现场作出勘验意见。“符合”、“待整改”意见按容缺后补均视为勘验通过，填写“待整改”意见需对实施方案等微调的，由建设单位按要求调整，在取得相关许可证后提交完成。作出“不符合”意见，请明确写清“不符合”的原则及依据。勘验结束，参加勘验单位各执一份，一份由建设单位交回政务服务水电气联办窗口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Style w:val="5"/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57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A03EF"/>
    <w:rsid w:val="5CC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2021-11-16T07:26:00Z</dcterms:created>
  <dc:creator>王安迪</dc:creator>
  <cp:lastModifiedBy>王安迪</cp:lastModifiedBy>
  <dcterms:modified xsi:type="dcterms:W3CDTF">2021-11-16T07:27:07Z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