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vertAnchor="text" w:horzAnchor="page" w:tblpXSpec="center" w:tblpY="1"/>
        <w:tblOverlap w:val="never"/>
        <w:tblW w:w="1519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39"/>
        <w:gridCol w:w="900"/>
        <w:gridCol w:w="1416"/>
        <w:gridCol w:w="2606"/>
        <w:gridCol w:w="2468"/>
        <w:gridCol w:w="1357"/>
        <w:gridCol w:w="1238"/>
        <w:gridCol w:w="1669"/>
        <w:gridCol w:w="1106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5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附件：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2022年度官渡区政务服务管理局市场监管领域部门联合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Cs w:val="40"/>
                <w:u w:val="none"/>
              </w:rPr>
            </w:pPr>
            <w:r>
              <w:rPr>
                <w:rFonts w:hint="eastAsia"/>
                <w:lang w:val="en-US" w:eastAsia="zh-CN"/>
              </w:rPr>
              <w:t>“双随机、一公开”抽查计划</w:t>
            </w:r>
            <w:bookmarkEnd w:id="0"/>
            <w:r>
              <w:rPr>
                <w:rFonts w:hint="eastAsia"/>
                <w:lang w:val="en-US" w:eastAsia="zh-CN"/>
              </w:rPr>
              <w:t>（</w:t>
            </w:r>
            <w:r>
              <w:rPr>
                <w:lang w:val="en-US" w:eastAsia="zh-CN"/>
              </w:rPr>
              <w:t>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计划任务名称</w:t>
            </w:r>
          </w:p>
        </w:tc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任务时间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抽查比例/户数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实施检查层级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1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一、执行国家级、省级、市级组织实施的部门联合“双随机、一公开”抽查计划（0项）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1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Cs w:val="32"/>
                <w:u w:val="none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1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二、官渡区政务服务管理局组织实施的部门联合“双随机、一公开”抽查计划（1项）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区政务服务局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对审批核准的投资项目招标方案进行监管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对审批核准的投资项目招标投标过程中的招标人、投标人、代理公司、评审专家、行政监督部门进行监管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投资项目招标投标过程中的招标人、投标人、代理公司、评审专家、行政监督部门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2022年11月30日前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8户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现场检查、书面检查、网络核查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区级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24C5F"/>
    <w:rsid w:val="2E924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4"/>
    <w:qFormat/>
    <w:uiPriority w:val="0"/>
    <w:pPr>
      <w:keepNext w:val="0"/>
      <w:keepLines w:val="0"/>
      <w:spacing w:before="0" w:beforeLines="0" w:after="0" w:afterLines="0" w:line="240" w:lineRule="auto"/>
      <w:ind w:left="106"/>
      <w:outlineLvl w:val="2"/>
    </w:pPr>
    <w:rPr>
      <w:rFonts w:ascii="Times New Roman" w:hAnsi="Times New Roman" w:eastAsia="宋体"/>
      <w:b w:val="0"/>
      <w:bCs w:val="0"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小四"/>
    <w:basedOn w:val="1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8"/>
    </w:rPr>
  </w:style>
  <w:style w:type="paragraph" w:customStyle="1" w:styleId="8">
    <w:name w:val="5.仿宋_GB2312"/>
    <w:basedOn w:val="9"/>
    <w:qFormat/>
    <w:uiPriority w:val="0"/>
    <w:rPr>
      <w:rFonts w:ascii="Times New Roman" w:hAnsi="Times New Roman"/>
      <w:b w:val="0"/>
    </w:rPr>
  </w:style>
  <w:style w:type="paragraph" w:customStyle="1" w:styleId="9">
    <w:name w:val="4.仿宋_GB2312"/>
    <w:basedOn w:val="10"/>
    <w:next w:val="8"/>
    <w:qFormat/>
    <w:uiPriority w:val="0"/>
    <w:rPr>
      <w:rFonts w:eastAsia="仿宋_GB2312"/>
      <w:b/>
    </w:rPr>
  </w:style>
  <w:style w:type="paragraph" w:customStyle="1" w:styleId="10">
    <w:name w:val="3.楷体_GB2312"/>
    <w:basedOn w:val="11"/>
    <w:next w:val="8"/>
    <w:qFormat/>
    <w:uiPriority w:val="0"/>
    <w:rPr>
      <w:rFonts w:ascii="Times New Roman" w:hAnsi="Times New Roman" w:eastAsia="楷体_GB2312"/>
    </w:rPr>
  </w:style>
  <w:style w:type="paragraph" w:customStyle="1" w:styleId="11">
    <w:name w:val="2.黑体"/>
    <w:basedOn w:val="12"/>
    <w:next w:val="8"/>
    <w:qFormat/>
    <w:uiPriority w:val="0"/>
    <w:pPr>
      <w:spacing w:line="560" w:lineRule="exact"/>
      <w:ind w:firstLine="640" w:firstLineChars="200"/>
      <w:jc w:val="both"/>
    </w:pPr>
    <w:rPr>
      <w:rFonts w:eastAsia="黑体"/>
      <w:sz w:val="32"/>
    </w:rPr>
  </w:style>
  <w:style w:type="paragraph" w:customStyle="1" w:styleId="12">
    <w:name w:val="1.方正小标宋简体"/>
    <w:basedOn w:val="1"/>
    <w:next w:val="8"/>
    <w:qFormat/>
    <w:uiPriority w:val="0"/>
    <w:pPr>
      <w:spacing w:line="560" w:lineRule="exact"/>
      <w:jc w:val="center"/>
    </w:pPr>
    <w:rPr>
      <w:rFonts w:ascii="Times New Roman" w:hAnsi="Times New Roman" w:eastAsia="方正小标宋简体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2022-04-01T05:04:00Z</dcterms:created>
  <dc:creator>Administrator</dc:creator>
  <cp:lastModifiedBy>Administrator</cp:lastModifiedBy>
  <dcterms:modified xsi:type="dcterms:W3CDTF">2022-04-01T05:08:19Z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