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官渡区太和街道跨境合作先行区太和1903</w:t>
      </w:r>
      <w:r>
        <w:rPr>
          <w:rFonts w:hint="eastAsia" w:ascii="宋体" w:hAnsi="宋体" w:eastAsia="宋体" w:cs="宋体"/>
          <w:b/>
          <w:color w:val="auto"/>
          <w:sz w:val="32"/>
          <w:szCs w:val="32"/>
          <w:highlight w:val="none"/>
        </w:rPr>
        <w:t>（官渡区太和街道和平路前卫营片区三旧改造连片开发项目工作指挥部）项目</w:t>
      </w:r>
    </w:p>
    <w:p>
      <w:pPr>
        <w:spacing w:line="700" w:lineRule="exact"/>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新增地块房屋调查测绘服务</w:t>
      </w:r>
      <w:r>
        <w:rPr>
          <w:rFonts w:hint="eastAsia" w:ascii="宋体" w:hAnsi="宋体" w:eastAsia="宋体" w:cs="宋体"/>
          <w:b/>
          <w:color w:val="auto"/>
          <w:sz w:val="32"/>
          <w:szCs w:val="32"/>
          <w:highlight w:val="none"/>
          <w:lang w:eastAsia="zh-CN"/>
        </w:rPr>
        <w:t>(六标段)</w:t>
      </w:r>
    </w:p>
    <w:p>
      <w:pPr>
        <w:spacing w:line="700" w:lineRule="exact"/>
        <w:jc w:val="center"/>
        <w:rPr>
          <w:rFonts w:ascii="宋体" w:hAnsi="宋体" w:eastAsia="宋体" w:cs="宋体"/>
          <w:b/>
          <w:color w:val="auto"/>
          <w:sz w:val="44"/>
          <w:szCs w:val="44"/>
          <w:highlight w:val="none"/>
        </w:rPr>
      </w:pPr>
    </w:p>
    <w:p>
      <w:pPr>
        <w:jc w:val="center"/>
        <w:rPr>
          <w:rFonts w:ascii="宋体" w:hAnsi="宋体" w:eastAsia="宋体" w:cs="宋体"/>
          <w:b/>
          <w:color w:val="auto"/>
          <w:sz w:val="52"/>
          <w:szCs w:val="52"/>
          <w:highlight w:val="none"/>
        </w:rPr>
      </w:pPr>
    </w:p>
    <w:p>
      <w:pPr>
        <w:pStyle w:val="2"/>
        <w:rPr>
          <w:color w:val="auto"/>
          <w:highlight w:val="none"/>
        </w:rPr>
      </w:pPr>
    </w:p>
    <w:p>
      <w:pPr>
        <w:jc w:val="center"/>
        <w:rPr>
          <w:rFonts w:ascii="宋体" w:hAnsi="宋体" w:eastAsia="宋体" w:cs="宋体"/>
          <w:b/>
          <w:color w:val="auto"/>
          <w:sz w:val="52"/>
          <w:szCs w:val="52"/>
          <w:highlight w:val="none"/>
        </w:rPr>
      </w:pPr>
      <w:r>
        <w:rPr>
          <w:rFonts w:hint="eastAsia" w:ascii="宋体" w:hAnsi="宋体" w:eastAsia="宋体" w:cs="宋体"/>
          <w:b/>
          <w:color w:val="auto"/>
          <w:sz w:val="52"/>
          <w:szCs w:val="52"/>
          <w:highlight w:val="none"/>
        </w:rPr>
        <w:t xml:space="preserve">招标文件 </w:t>
      </w:r>
    </w:p>
    <w:p>
      <w:pPr>
        <w:jc w:val="center"/>
        <w:rPr>
          <w:rFonts w:hint="eastAsia" w:ascii="仿宋_GB2312" w:hAnsi="仿宋_GB2312" w:eastAsia="仿宋_GB2312" w:cs="仿宋_GB2312"/>
          <w:b/>
          <w:color w:val="auto"/>
          <w:sz w:val="32"/>
          <w:szCs w:val="32"/>
          <w:highlight w:val="none"/>
          <w:lang w:eastAsia="zh-CN"/>
        </w:rPr>
      </w:pPr>
    </w:p>
    <w:p>
      <w:pPr>
        <w:spacing w:line="1500" w:lineRule="exact"/>
        <w:jc w:val="center"/>
        <w:rPr>
          <w:rFonts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lang w:eastAsia="zh-CN"/>
        </w:rPr>
        <w:t>NFZB20522-03</w:t>
      </w:r>
    </w:p>
    <w:p>
      <w:pPr>
        <w:jc w:val="center"/>
        <w:rPr>
          <w:rFonts w:ascii="宋体" w:hAnsi="宋体" w:eastAsia="宋体" w:cs="宋体"/>
          <w:b/>
          <w:color w:val="auto"/>
          <w:sz w:val="52"/>
          <w:szCs w:val="52"/>
          <w:highlight w:val="none"/>
        </w:rPr>
      </w:pPr>
    </w:p>
    <w:p>
      <w:pPr>
        <w:rPr>
          <w:rFonts w:ascii="宋体" w:hAnsi="宋体" w:eastAsia="宋体" w:cs="宋体"/>
          <w:b/>
          <w:color w:val="auto"/>
          <w:sz w:val="52"/>
          <w:szCs w:val="52"/>
          <w:highlight w:val="none"/>
        </w:rPr>
      </w:pPr>
    </w:p>
    <w:p>
      <w:pPr>
        <w:spacing w:line="600" w:lineRule="auto"/>
        <w:ind w:left="1205" w:hanging="1205" w:hangingChars="400"/>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招标人：</w:t>
      </w:r>
      <w:r>
        <w:rPr>
          <w:rFonts w:hint="eastAsia" w:ascii="宋体" w:hAnsi="宋体" w:eastAsia="宋体" w:cs="宋体"/>
          <w:b/>
          <w:color w:val="auto"/>
          <w:sz w:val="30"/>
          <w:szCs w:val="30"/>
          <w:highlight w:val="none"/>
          <w:lang w:eastAsia="zh-CN"/>
        </w:rPr>
        <w:t>官渡区太和街道跨境合作先行区太和1903</w:t>
      </w:r>
      <w:r>
        <w:rPr>
          <w:rFonts w:hint="eastAsia" w:ascii="宋体" w:hAnsi="宋体" w:eastAsia="宋体" w:cs="宋体"/>
          <w:b/>
          <w:color w:val="auto"/>
          <w:sz w:val="30"/>
          <w:szCs w:val="30"/>
          <w:highlight w:val="none"/>
        </w:rPr>
        <w:t>（官渡区太和街道和平路前卫营片区三旧改造连片开发项目工作指挥部）</w:t>
      </w:r>
    </w:p>
    <w:p>
      <w:pPr>
        <w:spacing w:line="600" w:lineRule="auto"/>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招标代理机构：云南南方招标有限公司</w:t>
      </w:r>
    </w:p>
    <w:p>
      <w:pPr>
        <w:spacing w:line="600" w:lineRule="auto"/>
        <w:rPr>
          <w:rFonts w:ascii="宋体" w:hAnsi="宋体" w:eastAsia="宋体" w:cs="宋体"/>
          <w:b/>
          <w:color w:val="auto"/>
          <w:sz w:val="32"/>
          <w:highlight w:val="none"/>
        </w:rPr>
      </w:pPr>
      <w:r>
        <w:rPr>
          <w:rFonts w:hint="eastAsia" w:ascii="宋体" w:hAnsi="宋体" w:eastAsia="宋体" w:cs="宋体"/>
          <w:b/>
          <w:color w:val="auto"/>
          <w:sz w:val="30"/>
          <w:szCs w:val="30"/>
          <w:highlight w:val="none"/>
        </w:rPr>
        <w:t>日    期：</w:t>
      </w:r>
      <w:r>
        <w:rPr>
          <w:rFonts w:hint="eastAsia" w:ascii="宋体" w:hAnsi="宋体" w:eastAsia="宋体" w:cs="宋体"/>
          <w:b/>
          <w:color w:val="auto"/>
          <w:sz w:val="30"/>
          <w:szCs w:val="30"/>
          <w:highlight w:val="none"/>
          <w:u w:val="single"/>
        </w:rPr>
        <w:t xml:space="preserve"> 2022</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u w:val="single"/>
        </w:rPr>
        <w:t xml:space="preserve"> 0</w:t>
      </w:r>
      <w:r>
        <w:rPr>
          <w:rFonts w:hint="eastAsia" w:ascii="宋体" w:hAnsi="宋体" w:eastAsia="宋体" w:cs="宋体"/>
          <w:b/>
          <w:color w:val="auto"/>
          <w:sz w:val="30"/>
          <w:szCs w:val="30"/>
          <w:highlight w:val="none"/>
          <w:u w:val="single"/>
          <w:lang w:val="en-US" w:eastAsia="zh-CN"/>
        </w:rPr>
        <w:t>4</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月</w:t>
      </w:r>
    </w:p>
    <w:p>
      <w:pPr>
        <w:spacing w:line="400" w:lineRule="exact"/>
        <w:jc w:val="center"/>
        <w:rPr>
          <w:rFonts w:ascii="宋体" w:hAnsi="宋体" w:eastAsia="宋体" w:cs="宋体"/>
          <w:b/>
          <w:color w:val="auto"/>
          <w:sz w:val="36"/>
          <w:szCs w:val="36"/>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6"/>
          <w:szCs w:val="36"/>
          <w:highlight w:val="none"/>
        </w:rPr>
        <w:t>目录</w:t>
      </w:r>
    </w:p>
    <w:p>
      <w:pPr>
        <w:pStyle w:val="16"/>
        <w:tabs>
          <w:tab w:val="right" w:leader="dot" w:pos="9070"/>
        </w:tabs>
      </w:pPr>
      <w:r>
        <w:rPr>
          <w:rFonts w:hint="eastAsia" w:ascii="宋体" w:hAnsi="宋体" w:cs="宋体"/>
          <w:color w:val="auto"/>
          <w:highlight w:val="none"/>
        </w:rPr>
        <w:fldChar w:fldCharType="begin"/>
      </w:r>
      <w:r>
        <w:rPr>
          <w:rFonts w:hint="eastAsia" w:ascii="宋体" w:hAnsi="宋体" w:cs="宋体"/>
          <w:color w:val="auto"/>
          <w:highlight w:val="none"/>
        </w:rPr>
        <w:instrText xml:space="preserve"> TOC \o "1-3" \h \z \u </w:instrText>
      </w:r>
      <w:r>
        <w:rPr>
          <w:rFonts w:hint="eastAsia" w:ascii="宋体" w:hAnsi="宋体" w:cs="宋体"/>
          <w:color w:val="auto"/>
          <w:highlight w:val="none"/>
        </w:rPr>
        <w:fldChar w:fldCharType="separate"/>
      </w:r>
      <w:r>
        <w:rPr>
          <w:rFonts w:hint="eastAsia" w:ascii="宋体" w:hAnsi="宋体" w:cs="宋体"/>
          <w:color w:val="auto"/>
          <w:highlight w:val="none"/>
        </w:rPr>
        <w:fldChar w:fldCharType="begin"/>
      </w:r>
      <w:r>
        <w:rPr>
          <w:rFonts w:hint="eastAsia" w:ascii="宋体" w:hAnsi="宋体" w:cs="宋体"/>
          <w:highlight w:val="none"/>
        </w:rPr>
        <w:instrText xml:space="preserve"> HYPERLINK \l _Toc18773 </w:instrText>
      </w:r>
      <w:r>
        <w:rPr>
          <w:rFonts w:hint="eastAsia" w:ascii="宋体" w:hAnsi="宋体" w:cs="宋体"/>
          <w:highlight w:val="none"/>
        </w:rPr>
        <w:fldChar w:fldCharType="separate"/>
      </w:r>
      <w:r>
        <w:rPr>
          <w:rFonts w:hint="eastAsia"/>
          <w:highlight w:val="none"/>
        </w:rPr>
        <w:t>第一章  招标公告</w:t>
      </w:r>
      <w:r>
        <w:tab/>
      </w:r>
      <w:r>
        <w:fldChar w:fldCharType="begin"/>
      </w:r>
      <w:r>
        <w:instrText xml:space="preserve"> PAGEREF _Toc18773 \h </w:instrText>
      </w:r>
      <w:r>
        <w:fldChar w:fldCharType="separate"/>
      </w:r>
      <w:r>
        <w:t>2</w:t>
      </w:r>
      <w:r>
        <w:fldChar w:fldCharType="end"/>
      </w:r>
      <w:r>
        <w:rPr>
          <w:rFonts w:hint="eastAsia" w:ascii="宋体" w:hAnsi="宋体" w:cs="宋体"/>
          <w:color w:val="auto"/>
          <w:highlight w:val="none"/>
        </w:rPr>
        <w:fldChar w:fldCharType="end"/>
      </w:r>
    </w:p>
    <w:p>
      <w:pPr>
        <w:pStyle w:val="16"/>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_Toc16538 </w:instrText>
      </w:r>
      <w:r>
        <w:rPr>
          <w:rFonts w:hint="eastAsia" w:ascii="宋体" w:hAnsi="宋体" w:eastAsia="宋体" w:cs="宋体"/>
          <w:highlight w:val="none"/>
        </w:rPr>
        <w:fldChar w:fldCharType="separate"/>
      </w:r>
      <w:r>
        <w:rPr>
          <w:rFonts w:hint="eastAsia"/>
          <w:highlight w:val="none"/>
        </w:rPr>
        <w:t>第二章  投标人须知</w:t>
      </w:r>
      <w:r>
        <w:tab/>
      </w:r>
      <w:r>
        <w:fldChar w:fldCharType="begin"/>
      </w:r>
      <w:r>
        <w:instrText xml:space="preserve"> PAGEREF _Toc16538 \h </w:instrText>
      </w:r>
      <w:r>
        <w:fldChar w:fldCharType="separate"/>
      </w:r>
      <w:r>
        <w:t>8</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_Toc25742 </w:instrText>
      </w:r>
      <w:r>
        <w:rPr>
          <w:rFonts w:hint="eastAsia" w:ascii="宋体" w:hAnsi="宋体" w:eastAsia="宋体" w:cs="宋体"/>
          <w:highlight w:val="none"/>
        </w:rPr>
        <w:fldChar w:fldCharType="separate"/>
      </w:r>
      <w:r>
        <w:rPr>
          <w:rFonts w:hint="eastAsia" w:ascii="宋体" w:hAnsi="宋体" w:cs="宋体"/>
          <w:highlight w:val="none"/>
        </w:rPr>
        <w:t>投标人须知前附表</w:t>
      </w:r>
      <w:r>
        <w:tab/>
      </w:r>
      <w:r>
        <w:fldChar w:fldCharType="begin"/>
      </w:r>
      <w:r>
        <w:instrText xml:space="preserve"> PAGEREF _Toc25742 \h </w:instrText>
      </w:r>
      <w:r>
        <w:fldChar w:fldCharType="separate"/>
      </w:r>
      <w:r>
        <w:t>8</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_Toc20763 </w:instrText>
      </w:r>
      <w:r>
        <w:rPr>
          <w:rFonts w:hint="eastAsia" w:ascii="宋体" w:hAnsi="宋体" w:eastAsia="宋体" w:cs="宋体"/>
          <w:highlight w:val="none"/>
        </w:rPr>
        <w:fldChar w:fldCharType="separate"/>
      </w:r>
      <w:r>
        <w:rPr>
          <w:rFonts w:hint="eastAsia" w:ascii="宋体" w:hAnsi="宋体"/>
          <w:highlight w:val="none"/>
        </w:rPr>
        <w:t>投标人须知正文部分</w:t>
      </w:r>
      <w:r>
        <w:tab/>
      </w:r>
      <w:r>
        <w:fldChar w:fldCharType="begin"/>
      </w:r>
      <w:r>
        <w:instrText xml:space="preserve"> PAGEREF _Toc20763 \h </w:instrText>
      </w:r>
      <w:r>
        <w:fldChar w:fldCharType="separate"/>
      </w:r>
      <w:r>
        <w:t>21</w:t>
      </w:r>
      <w:r>
        <w:fldChar w:fldCharType="end"/>
      </w:r>
      <w:r>
        <w:rPr>
          <w:rFonts w:hint="eastAsia" w:ascii="宋体" w:hAnsi="宋体" w:eastAsia="宋体" w:cs="宋体"/>
          <w:color w:val="auto"/>
          <w:highlight w:val="none"/>
        </w:rPr>
        <w:fldChar w:fldCharType="end"/>
      </w:r>
    </w:p>
    <w:p>
      <w:pPr>
        <w:pStyle w:val="16"/>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_Toc24868 </w:instrText>
      </w:r>
      <w:r>
        <w:rPr>
          <w:rFonts w:hint="eastAsia" w:ascii="宋体" w:hAnsi="宋体" w:eastAsia="宋体" w:cs="宋体"/>
          <w:highlight w:val="none"/>
        </w:rPr>
        <w:fldChar w:fldCharType="separate"/>
      </w:r>
      <w:r>
        <w:rPr>
          <w:rFonts w:hint="eastAsia" w:ascii="宋体" w:hAnsi="宋体" w:cs="宋体"/>
          <w:kern w:val="2"/>
          <w:szCs w:val="44"/>
          <w:highlight w:val="none"/>
        </w:rPr>
        <w:t>第三章  评标办法</w:t>
      </w:r>
      <w:r>
        <w:tab/>
      </w:r>
      <w:r>
        <w:fldChar w:fldCharType="begin"/>
      </w:r>
      <w:r>
        <w:instrText xml:space="preserve"> PAGEREF _Toc24868 \h </w:instrText>
      </w:r>
      <w:r>
        <w:fldChar w:fldCharType="separate"/>
      </w:r>
      <w:r>
        <w:t>34</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_Toc21292 </w:instrText>
      </w:r>
      <w:r>
        <w:rPr>
          <w:rFonts w:hint="eastAsia" w:ascii="宋体" w:hAnsi="宋体" w:eastAsia="宋体" w:cs="宋体"/>
          <w:highlight w:val="none"/>
        </w:rPr>
        <w:fldChar w:fldCharType="separate"/>
      </w:r>
      <w:r>
        <w:rPr>
          <w:rFonts w:hint="eastAsia" w:ascii="宋体" w:hAnsi="宋体" w:eastAsia="宋体" w:cs="宋体"/>
          <w:highlight w:val="none"/>
        </w:rPr>
        <w:t>评标办法前附表</w:t>
      </w:r>
      <w:r>
        <w:tab/>
      </w:r>
      <w:r>
        <w:fldChar w:fldCharType="begin"/>
      </w:r>
      <w:r>
        <w:instrText xml:space="preserve"> PAGEREF _Toc21292 \h </w:instrText>
      </w:r>
      <w:r>
        <w:fldChar w:fldCharType="separate"/>
      </w:r>
      <w:r>
        <w:t>34</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_Toc27932 </w:instrText>
      </w:r>
      <w:r>
        <w:rPr>
          <w:rFonts w:hint="eastAsia" w:ascii="宋体" w:hAnsi="宋体" w:eastAsia="宋体" w:cs="宋体"/>
          <w:highlight w:val="none"/>
        </w:rPr>
        <w:fldChar w:fldCharType="separate"/>
      </w:r>
      <w:r>
        <w:rPr>
          <w:rFonts w:hint="eastAsia" w:ascii="宋体" w:hAnsi="宋体"/>
          <w:highlight w:val="none"/>
        </w:rPr>
        <w:t>评标办法正文部分</w:t>
      </w:r>
      <w:r>
        <w:tab/>
      </w:r>
      <w:r>
        <w:fldChar w:fldCharType="begin"/>
      </w:r>
      <w:r>
        <w:instrText xml:space="preserve"> PAGEREF _Toc27932 \h </w:instrText>
      </w:r>
      <w:r>
        <w:fldChar w:fldCharType="separate"/>
      </w:r>
      <w:r>
        <w:t>38</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_Toc3044 </w:instrText>
      </w:r>
      <w:r>
        <w:rPr>
          <w:rFonts w:hint="eastAsia" w:ascii="宋体" w:hAnsi="宋体" w:eastAsia="宋体" w:cs="宋体"/>
          <w:highlight w:val="none"/>
        </w:rPr>
        <w:fldChar w:fldCharType="separate"/>
      </w:r>
      <w:r>
        <w:rPr>
          <w:szCs w:val="24"/>
          <w:highlight w:val="none"/>
        </w:rPr>
        <w:t>1．评标方法</w:t>
      </w:r>
      <w:r>
        <w:tab/>
      </w:r>
      <w:r>
        <w:fldChar w:fldCharType="begin"/>
      </w:r>
      <w:r>
        <w:instrText xml:space="preserve"> PAGEREF _Toc3044 \h </w:instrText>
      </w:r>
      <w:r>
        <w:fldChar w:fldCharType="separate"/>
      </w:r>
      <w:r>
        <w:t>38</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_Toc29615 </w:instrText>
      </w:r>
      <w:r>
        <w:rPr>
          <w:rFonts w:hint="eastAsia" w:ascii="宋体" w:hAnsi="宋体" w:eastAsia="宋体" w:cs="宋体"/>
          <w:highlight w:val="none"/>
        </w:rPr>
        <w:fldChar w:fldCharType="separate"/>
      </w:r>
      <w:r>
        <w:rPr>
          <w:rFonts w:hint="eastAsia" w:ascii="宋体" w:hAnsi="宋体" w:cs="宋体"/>
          <w:szCs w:val="24"/>
          <w:highlight w:val="none"/>
        </w:rPr>
        <w:t>2．评审标准</w:t>
      </w:r>
      <w:r>
        <w:tab/>
      </w:r>
      <w:r>
        <w:fldChar w:fldCharType="begin"/>
      </w:r>
      <w:r>
        <w:instrText xml:space="preserve"> PAGEREF _Toc29615 \h </w:instrText>
      </w:r>
      <w:r>
        <w:fldChar w:fldCharType="separate"/>
      </w:r>
      <w:r>
        <w:t>38</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_Toc4632 </w:instrText>
      </w:r>
      <w:r>
        <w:rPr>
          <w:rFonts w:hint="eastAsia" w:ascii="宋体" w:hAnsi="宋体" w:eastAsia="宋体" w:cs="宋体"/>
          <w:highlight w:val="none"/>
        </w:rPr>
        <w:fldChar w:fldCharType="separate"/>
      </w:r>
      <w:r>
        <w:rPr>
          <w:rFonts w:hint="eastAsia" w:ascii="宋体" w:hAnsi="宋体" w:cs="宋体"/>
          <w:szCs w:val="24"/>
          <w:highlight w:val="none"/>
        </w:rPr>
        <w:t>3．评标程序</w:t>
      </w:r>
      <w:r>
        <w:tab/>
      </w:r>
      <w:r>
        <w:fldChar w:fldCharType="begin"/>
      </w:r>
      <w:r>
        <w:instrText xml:space="preserve"> PAGEREF _Toc4632 \h </w:instrText>
      </w:r>
      <w:r>
        <w:fldChar w:fldCharType="separate"/>
      </w:r>
      <w:r>
        <w:t>39</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_Toc3830 </w:instrText>
      </w:r>
      <w:r>
        <w:rPr>
          <w:rFonts w:hint="eastAsia" w:ascii="宋体" w:hAnsi="宋体" w:eastAsia="宋体" w:cs="宋体"/>
          <w:highlight w:val="none"/>
        </w:rPr>
        <w:fldChar w:fldCharType="separate"/>
      </w:r>
      <w:r>
        <w:rPr>
          <w:rFonts w:hint="eastAsia" w:ascii="宋体" w:hAnsi="宋体" w:eastAsia="宋体" w:cs="宋体"/>
          <w:highlight w:val="none"/>
        </w:rPr>
        <w:t>附件B：否决投标条件</w:t>
      </w:r>
      <w:r>
        <w:tab/>
      </w:r>
      <w:r>
        <w:fldChar w:fldCharType="begin"/>
      </w:r>
      <w:r>
        <w:instrText xml:space="preserve"> PAGEREF _Toc3830 \h </w:instrText>
      </w:r>
      <w:r>
        <w:fldChar w:fldCharType="separate"/>
      </w:r>
      <w:r>
        <w:t>44</w:t>
      </w:r>
      <w:r>
        <w:fldChar w:fldCharType="end"/>
      </w:r>
      <w:r>
        <w:rPr>
          <w:rFonts w:hint="eastAsia" w:ascii="宋体" w:hAnsi="宋体" w:eastAsia="宋体" w:cs="宋体"/>
          <w:color w:val="auto"/>
          <w:highlight w:val="none"/>
        </w:rPr>
        <w:fldChar w:fldCharType="end"/>
      </w:r>
    </w:p>
    <w:p>
      <w:pPr>
        <w:pStyle w:val="16"/>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_Toc17344 </w:instrText>
      </w:r>
      <w:r>
        <w:rPr>
          <w:rFonts w:hint="eastAsia" w:ascii="宋体" w:hAnsi="宋体" w:eastAsia="宋体" w:cs="宋体"/>
          <w:highlight w:val="none"/>
        </w:rPr>
        <w:fldChar w:fldCharType="separate"/>
      </w:r>
      <w:r>
        <w:rPr>
          <w:rFonts w:hint="eastAsia"/>
          <w:highlight w:val="none"/>
        </w:rPr>
        <w:t>第四章  合同条款及格式</w:t>
      </w:r>
      <w:r>
        <w:tab/>
      </w:r>
      <w:r>
        <w:fldChar w:fldCharType="begin"/>
      </w:r>
      <w:r>
        <w:instrText xml:space="preserve"> PAGEREF _Toc17344 \h </w:instrText>
      </w:r>
      <w:r>
        <w:fldChar w:fldCharType="separate"/>
      </w:r>
      <w:r>
        <w:t>47</w:t>
      </w:r>
      <w:r>
        <w:fldChar w:fldCharType="end"/>
      </w:r>
      <w:r>
        <w:rPr>
          <w:rFonts w:hint="eastAsia" w:ascii="宋体" w:hAnsi="宋体" w:eastAsia="宋体" w:cs="宋体"/>
          <w:color w:val="auto"/>
          <w:highlight w:val="none"/>
        </w:rPr>
        <w:fldChar w:fldCharType="end"/>
      </w:r>
    </w:p>
    <w:p>
      <w:pPr>
        <w:pStyle w:val="16"/>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_Toc18469 </w:instrText>
      </w:r>
      <w:r>
        <w:rPr>
          <w:rFonts w:hint="eastAsia" w:ascii="宋体" w:hAnsi="宋体" w:eastAsia="宋体" w:cs="宋体"/>
          <w:highlight w:val="none"/>
        </w:rPr>
        <w:fldChar w:fldCharType="separate"/>
      </w:r>
      <w:r>
        <w:rPr>
          <w:rFonts w:hint="eastAsia"/>
          <w:highlight w:val="none"/>
        </w:rPr>
        <w:t>第五章  技术要求</w:t>
      </w:r>
      <w:r>
        <w:tab/>
      </w:r>
      <w:r>
        <w:fldChar w:fldCharType="begin"/>
      </w:r>
      <w:r>
        <w:instrText xml:space="preserve"> PAGEREF _Toc18469 \h </w:instrText>
      </w:r>
      <w:r>
        <w:fldChar w:fldCharType="separate"/>
      </w:r>
      <w:r>
        <w:t>66</w:t>
      </w:r>
      <w:r>
        <w:fldChar w:fldCharType="end"/>
      </w:r>
      <w:r>
        <w:rPr>
          <w:rFonts w:hint="eastAsia" w:ascii="宋体" w:hAnsi="宋体" w:eastAsia="宋体" w:cs="宋体"/>
          <w:color w:val="auto"/>
          <w:highlight w:val="none"/>
        </w:rPr>
        <w:fldChar w:fldCharType="end"/>
      </w:r>
    </w:p>
    <w:p>
      <w:pPr>
        <w:pStyle w:val="16"/>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_Toc9182 </w:instrText>
      </w:r>
      <w:r>
        <w:rPr>
          <w:rFonts w:hint="eastAsia" w:ascii="宋体" w:hAnsi="宋体" w:eastAsia="宋体" w:cs="宋体"/>
          <w:highlight w:val="none"/>
        </w:rPr>
        <w:fldChar w:fldCharType="separate"/>
      </w:r>
      <w:r>
        <w:rPr>
          <w:rFonts w:hint="eastAsia"/>
          <w:highlight w:val="none"/>
        </w:rPr>
        <w:t>第六章  投标文件格式</w:t>
      </w:r>
      <w:r>
        <w:tab/>
      </w:r>
      <w:r>
        <w:fldChar w:fldCharType="begin"/>
      </w:r>
      <w:r>
        <w:instrText xml:space="preserve"> PAGEREF _Toc9182 \h </w:instrText>
      </w:r>
      <w:r>
        <w:fldChar w:fldCharType="separate"/>
      </w:r>
      <w:r>
        <w:t>67</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_Toc8809 </w:instrText>
      </w:r>
      <w:r>
        <w:rPr>
          <w:rFonts w:hint="eastAsia" w:ascii="宋体" w:hAnsi="宋体" w:eastAsia="宋体" w:cs="宋体"/>
          <w:highlight w:val="none"/>
        </w:rPr>
        <w:fldChar w:fldCharType="separate"/>
      </w:r>
      <w:r>
        <w:rPr>
          <w:rFonts w:hint="eastAsia"/>
          <w:highlight w:val="none"/>
        </w:rPr>
        <w:t>资格审查部分</w:t>
      </w:r>
      <w:r>
        <w:tab/>
      </w:r>
      <w:r>
        <w:fldChar w:fldCharType="begin"/>
      </w:r>
      <w:r>
        <w:instrText xml:space="preserve"> PAGEREF _Toc8809 \h </w:instrText>
      </w:r>
      <w:r>
        <w:fldChar w:fldCharType="separate"/>
      </w:r>
      <w:r>
        <w:t>68</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_Toc19539 </w:instrText>
      </w:r>
      <w:r>
        <w:rPr>
          <w:rFonts w:hint="eastAsia" w:ascii="宋体" w:hAnsi="宋体" w:eastAsia="宋体" w:cs="宋体"/>
          <w:highlight w:val="none"/>
        </w:rPr>
        <w:fldChar w:fldCharType="separate"/>
      </w:r>
      <w:r>
        <w:rPr>
          <w:rFonts w:hint="eastAsia"/>
          <w:highlight w:val="none"/>
        </w:rPr>
        <w:t>一、投标人基本情况表</w:t>
      </w:r>
      <w:r>
        <w:tab/>
      </w:r>
      <w:r>
        <w:fldChar w:fldCharType="begin"/>
      </w:r>
      <w:r>
        <w:instrText xml:space="preserve"> PAGEREF _Toc19539 \h </w:instrText>
      </w:r>
      <w:r>
        <w:fldChar w:fldCharType="separate"/>
      </w:r>
      <w:r>
        <w:t>68</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_Toc3555 </w:instrText>
      </w:r>
      <w:r>
        <w:rPr>
          <w:rFonts w:hint="eastAsia" w:ascii="宋体" w:hAnsi="宋体" w:eastAsia="宋体" w:cs="宋体"/>
          <w:highlight w:val="none"/>
        </w:rPr>
        <w:fldChar w:fldCharType="separate"/>
      </w:r>
      <w:r>
        <w:rPr>
          <w:rFonts w:hint="eastAsia"/>
          <w:highlight w:val="none"/>
        </w:rPr>
        <w:t>二、法定代表人身份证明及授权委托书</w:t>
      </w:r>
      <w:r>
        <w:tab/>
      </w:r>
      <w:r>
        <w:fldChar w:fldCharType="begin"/>
      </w:r>
      <w:r>
        <w:instrText xml:space="preserve"> PAGEREF _Toc3555 \h </w:instrText>
      </w:r>
      <w:r>
        <w:fldChar w:fldCharType="separate"/>
      </w:r>
      <w:r>
        <w:t>69</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_Toc15224 </w:instrText>
      </w:r>
      <w:r>
        <w:rPr>
          <w:rFonts w:hint="eastAsia" w:ascii="宋体" w:hAnsi="宋体" w:eastAsia="宋体" w:cs="宋体"/>
          <w:highlight w:val="none"/>
        </w:rPr>
        <w:fldChar w:fldCharType="separate"/>
      </w:r>
      <w:r>
        <w:rPr>
          <w:rFonts w:hint="eastAsia"/>
          <w:highlight w:val="none"/>
        </w:rPr>
        <w:t>三、近年类似项目情况表</w:t>
      </w:r>
      <w:r>
        <w:tab/>
      </w:r>
      <w:r>
        <w:fldChar w:fldCharType="begin"/>
      </w:r>
      <w:r>
        <w:instrText xml:space="preserve"> PAGEREF _Toc15224 \h </w:instrText>
      </w:r>
      <w:r>
        <w:fldChar w:fldCharType="separate"/>
      </w:r>
      <w:r>
        <w:t>71</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_Toc2907 </w:instrText>
      </w:r>
      <w:r>
        <w:rPr>
          <w:rFonts w:hint="eastAsia" w:ascii="宋体" w:hAnsi="宋体" w:eastAsia="宋体" w:cs="宋体"/>
          <w:highlight w:val="none"/>
        </w:rPr>
        <w:fldChar w:fldCharType="separate"/>
      </w:r>
      <w:r>
        <w:rPr>
          <w:rFonts w:hint="eastAsia"/>
          <w:highlight w:val="none"/>
        </w:rPr>
        <w:t>四、项目负责人资格证明</w:t>
      </w:r>
      <w:r>
        <w:tab/>
      </w:r>
      <w:r>
        <w:fldChar w:fldCharType="begin"/>
      </w:r>
      <w:r>
        <w:instrText xml:space="preserve"> PAGEREF _Toc2907 \h </w:instrText>
      </w:r>
      <w:r>
        <w:fldChar w:fldCharType="separate"/>
      </w:r>
      <w:r>
        <w:t>72</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_Toc17279 </w:instrText>
      </w:r>
      <w:r>
        <w:rPr>
          <w:rFonts w:hint="eastAsia" w:ascii="宋体" w:hAnsi="宋体" w:eastAsia="宋体" w:cs="宋体"/>
          <w:highlight w:val="none"/>
        </w:rPr>
        <w:fldChar w:fldCharType="separate"/>
      </w:r>
      <w:r>
        <w:rPr>
          <w:rFonts w:hint="eastAsia"/>
        </w:rPr>
        <w:t xml:space="preserve">五、 </w:t>
      </w:r>
      <w:r>
        <w:rPr>
          <w:rFonts w:hint="eastAsia"/>
          <w:highlight w:val="none"/>
        </w:rPr>
        <w:t>财务报表</w:t>
      </w:r>
      <w:r>
        <w:tab/>
      </w:r>
      <w:r>
        <w:fldChar w:fldCharType="begin"/>
      </w:r>
      <w:r>
        <w:instrText xml:space="preserve"> PAGEREF _Toc17279 \h </w:instrText>
      </w:r>
      <w:r>
        <w:fldChar w:fldCharType="separate"/>
      </w:r>
      <w:r>
        <w:t>73</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_Toc20121 </w:instrText>
      </w:r>
      <w:r>
        <w:rPr>
          <w:rFonts w:hint="eastAsia" w:ascii="宋体" w:hAnsi="宋体" w:eastAsia="宋体" w:cs="宋体"/>
          <w:highlight w:val="none"/>
        </w:rPr>
        <w:fldChar w:fldCharType="separate"/>
      </w:r>
      <w:r>
        <w:rPr>
          <w:rFonts w:hint="eastAsia"/>
          <w:highlight w:val="none"/>
        </w:rPr>
        <w:t>六、遵守昆建发【2009】901号文规定的相关退出制度的承诺</w:t>
      </w:r>
      <w:r>
        <w:tab/>
      </w:r>
      <w:r>
        <w:fldChar w:fldCharType="begin"/>
      </w:r>
      <w:r>
        <w:instrText xml:space="preserve"> PAGEREF _Toc20121 \h </w:instrText>
      </w:r>
      <w:r>
        <w:fldChar w:fldCharType="separate"/>
      </w:r>
      <w:r>
        <w:t>74</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_Toc20970 </w:instrText>
      </w:r>
      <w:r>
        <w:rPr>
          <w:rFonts w:hint="eastAsia" w:ascii="宋体" w:hAnsi="宋体" w:eastAsia="宋体" w:cs="宋体"/>
          <w:highlight w:val="none"/>
        </w:rPr>
        <w:fldChar w:fldCharType="separate"/>
      </w:r>
      <w:r>
        <w:rPr>
          <w:rFonts w:hint="eastAsia"/>
          <w:highlight w:val="none"/>
        </w:rPr>
        <w:t>七、企业信誉</w:t>
      </w:r>
      <w:r>
        <w:tab/>
      </w:r>
      <w:r>
        <w:fldChar w:fldCharType="begin"/>
      </w:r>
      <w:r>
        <w:instrText xml:space="preserve"> PAGEREF _Toc20970 \h </w:instrText>
      </w:r>
      <w:r>
        <w:fldChar w:fldCharType="separate"/>
      </w:r>
      <w:r>
        <w:t>75</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_Toc23692 </w:instrText>
      </w:r>
      <w:r>
        <w:rPr>
          <w:rFonts w:hint="eastAsia" w:ascii="宋体" w:hAnsi="宋体" w:eastAsia="宋体" w:cs="宋体"/>
          <w:highlight w:val="none"/>
        </w:rPr>
        <w:fldChar w:fldCharType="separate"/>
      </w:r>
      <w:r>
        <w:rPr>
          <w:rFonts w:hint="eastAsia"/>
          <w:highlight w:val="none"/>
        </w:rPr>
        <w:t>八、不得存在控股、管理等情形承诺书</w:t>
      </w:r>
      <w:r>
        <w:tab/>
      </w:r>
      <w:r>
        <w:fldChar w:fldCharType="begin"/>
      </w:r>
      <w:r>
        <w:instrText xml:space="preserve"> PAGEREF _Toc23692 \h </w:instrText>
      </w:r>
      <w:r>
        <w:fldChar w:fldCharType="separate"/>
      </w:r>
      <w:r>
        <w:t>76</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_Toc14227 </w:instrText>
      </w:r>
      <w:r>
        <w:rPr>
          <w:rFonts w:hint="eastAsia" w:ascii="宋体" w:hAnsi="宋体" w:eastAsia="宋体" w:cs="宋体"/>
          <w:highlight w:val="none"/>
        </w:rPr>
        <w:fldChar w:fldCharType="separate"/>
      </w:r>
      <w:r>
        <w:rPr>
          <w:rFonts w:hint="eastAsia"/>
          <w:highlight w:val="none"/>
        </w:rPr>
        <w:t>九、无关联承诺书</w:t>
      </w:r>
      <w:r>
        <w:tab/>
      </w:r>
      <w:r>
        <w:fldChar w:fldCharType="begin"/>
      </w:r>
      <w:r>
        <w:instrText xml:space="preserve"> PAGEREF _Toc14227 \h </w:instrText>
      </w:r>
      <w:r>
        <w:fldChar w:fldCharType="separate"/>
      </w:r>
      <w:r>
        <w:t>77</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_Toc19368 </w:instrText>
      </w:r>
      <w:r>
        <w:rPr>
          <w:rFonts w:hint="eastAsia" w:ascii="宋体" w:hAnsi="宋体" w:eastAsia="宋体" w:cs="宋体"/>
          <w:highlight w:val="none"/>
        </w:rPr>
        <w:fldChar w:fldCharType="separate"/>
      </w:r>
      <w:r>
        <w:rPr>
          <w:rFonts w:hint="eastAsia"/>
          <w:highlight w:val="none"/>
        </w:rPr>
        <w:t>十、投标保证金缴纳凭证</w:t>
      </w:r>
      <w:r>
        <w:tab/>
      </w:r>
      <w:r>
        <w:fldChar w:fldCharType="begin"/>
      </w:r>
      <w:r>
        <w:instrText xml:space="preserve"> PAGEREF _Toc19368 \h </w:instrText>
      </w:r>
      <w:r>
        <w:fldChar w:fldCharType="separate"/>
      </w:r>
      <w:r>
        <w:t>78</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_Toc7707 </w:instrText>
      </w:r>
      <w:r>
        <w:rPr>
          <w:rFonts w:hint="eastAsia" w:ascii="宋体" w:hAnsi="宋体" w:eastAsia="宋体" w:cs="宋体"/>
          <w:highlight w:val="none"/>
        </w:rPr>
        <w:fldChar w:fldCharType="separate"/>
      </w:r>
      <w:r>
        <w:rPr>
          <w:rFonts w:hint="eastAsia"/>
          <w:highlight w:val="none"/>
        </w:rPr>
        <w:t>十一、投标人承诺书</w:t>
      </w:r>
      <w:r>
        <w:tab/>
      </w:r>
      <w:r>
        <w:fldChar w:fldCharType="begin"/>
      </w:r>
      <w:r>
        <w:instrText xml:space="preserve"> PAGEREF _Toc7707 \h </w:instrText>
      </w:r>
      <w:r>
        <w:fldChar w:fldCharType="separate"/>
      </w:r>
      <w:r>
        <w:t>79</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_Toc16412 </w:instrText>
      </w:r>
      <w:r>
        <w:rPr>
          <w:rFonts w:hint="eastAsia" w:ascii="宋体" w:hAnsi="宋体" w:eastAsia="宋体" w:cs="宋体"/>
          <w:highlight w:val="none"/>
        </w:rPr>
        <w:fldChar w:fldCharType="separate"/>
      </w:r>
      <w:r>
        <w:rPr>
          <w:rFonts w:hint="eastAsia"/>
          <w:highlight w:val="none"/>
        </w:rPr>
        <w:t>十二、其他材料</w:t>
      </w:r>
      <w:r>
        <w:tab/>
      </w:r>
      <w:r>
        <w:fldChar w:fldCharType="begin"/>
      </w:r>
      <w:r>
        <w:instrText xml:space="preserve"> PAGEREF _Toc16412 \h </w:instrText>
      </w:r>
      <w:r>
        <w:fldChar w:fldCharType="separate"/>
      </w:r>
      <w:r>
        <w:t>80</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_Toc32191 </w:instrText>
      </w:r>
      <w:r>
        <w:rPr>
          <w:rFonts w:hint="eastAsia" w:ascii="宋体" w:hAnsi="宋体" w:eastAsia="宋体" w:cs="宋体"/>
          <w:highlight w:val="none"/>
        </w:rPr>
        <w:fldChar w:fldCharType="separate"/>
      </w:r>
      <w:r>
        <w:rPr>
          <w:rFonts w:hint="eastAsia"/>
          <w:highlight w:val="none"/>
        </w:rPr>
        <w:t>商务部分</w:t>
      </w:r>
      <w:r>
        <w:tab/>
      </w:r>
      <w:r>
        <w:fldChar w:fldCharType="begin"/>
      </w:r>
      <w:r>
        <w:instrText xml:space="preserve"> PAGEREF _Toc32191 \h </w:instrText>
      </w:r>
      <w:r>
        <w:fldChar w:fldCharType="separate"/>
      </w:r>
      <w:r>
        <w:t>81</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_Toc19151 </w:instrText>
      </w:r>
      <w:r>
        <w:rPr>
          <w:rFonts w:hint="eastAsia" w:ascii="宋体" w:hAnsi="宋体" w:eastAsia="宋体" w:cs="宋体"/>
          <w:highlight w:val="none"/>
        </w:rPr>
        <w:fldChar w:fldCharType="separate"/>
      </w:r>
      <w:r>
        <w:rPr>
          <w:rFonts w:hint="eastAsia"/>
          <w:highlight w:val="none"/>
        </w:rPr>
        <w:t>一、投标函及投标函附录</w:t>
      </w:r>
      <w:r>
        <w:tab/>
      </w:r>
      <w:r>
        <w:fldChar w:fldCharType="begin"/>
      </w:r>
      <w:r>
        <w:instrText xml:space="preserve"> PAGEREF _Toc19151 \h </w:instrText>
      </w:r>
      <w:r>
        <w:fldChar w:fldCharType="separate"/>
      </w:r>
      <w:r>
        <w:t>81</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_Toc16099 </w:instrText>
      </w:r>
      <w:r>
        <w:rPr>
          <w:rFonts w:hint="eastAsia" w:ascii="宋体" w:hAnsi="宋体" w:eastAsia="宋体" w:cs="宋体"/>
          <w:highlight w:val="none"/>
        </w:rPr>
        <w:fldChar w:fldCharType="separate"/>
      </w:r>
      <w:r>
        <w:rPr>
          <w:rFonts w:hint="eastAsia"/>
          <w:highlight w:val="none"/>
        </w:rPr>
        <w:t>二、投标报价一览表</w:t>
      </w:r>
      <w:r>
        <w:tab/>
      </w:r>
      <w:r>
        <w:fldChar w:fldCharType="begin"/>
      </w:r>
      <w:r>
        <w:instrText xml:space="preserve"> PAGEREF _Toc16099 \h </w:instrText>
      </w:r>
      <w:r>
        <w:fldChar w:fldCharType="separate"/>
      </w:r>
      <w:r>
        <w:t>83</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_Toc18766 </w:instrText>
      </w:r>
      <w:r>
        <w:rPr>
          <w:rFonts w:hint="eastAsia" w:ascii="宋体" w:hAnsi="宋体" w:eastAsia="宋体" w:cs="宋体"/>
          <w:highlight w:val="none"/>
        </w:rPr>
        <w:fldChar w:fldCharType="separate"/>
      </w:r>
      <w:r>
        <w:rPr>
          <w:rFonts w:hint="eastAsia"/>
          <w:highlight w:val="none"/>
        </w:rPr>
        <w:t>技术部分</w:t>
      </w:r>
      <w:r>
        <w:tab/>
      </w:r>
      <w:r>
        <w:fldChar w:fldCharType="begin"/>
      </w:r>
      <w:r>
        <w:instrText xml:space="preserve"> PAGEREF _Toc18766 \h </w:instrText>
      </w:r>
      <w:r>
        <w:fldChar w:fldCharType="separate"/>
      </w:r>
      <w:r>
        <w:t>84</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_Toc19660 </w:instrText>
      </w:r>
      <w:r>
        <w:rPr>
          <w:rFonts w:hint="eastAsia" w:ascii="宋体" w:hAnsi="宋体" w:eastAsia="宋体" w:cs="宋体"/>
          <w:highlight w:val="none"/>
        </w:rPr>
        <w:fldChar w:fldCharType="separate"/>
      </w:r>
      <w:r>
        <w:rPr>
          <w:rFonts w:hint="eastAsia"/>
        </w:rPr>
        <w:t xml:space="preserve">一、 </w:t>
      </w:r>
      <w:r>
        <w:rPr>
          <w:rFonts w:hint="eastAsia"/>
          <w:highlight w:val="none"/>
        </w:rPr>
        <w:t>项目服务方案</w:t>
      </w:r>
      <w:r>
        <w:tab/>
      </w:r>
      <w:r>
        <w:fldChar w:fldCharType="begin"/>
      </w:r>
      <w:r>
        <w:instrText xml:space="preserve"> PAGEREF _Toc19660 \h </w:instrText>
      </w:r>
      <w:r>
        <w:fldChar w:fldCharType="separate"/>
      </w:r>
      <w:r>
        <w:t>84</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_Toc5639 </w:instrText>
      </w:r>
      <w:r>
        <w:rPr>
          <w:rFonts w:hint="eastAsia" w:ascii="宋体" w:hAnsi="宋体" w:eastAsia="宋体" w:cs="宋体"/>
          <w:highlight w:val="none"/>
        </w:rPr>
        <w:fldChar w:fldCharType="separate"/>
      </w:r>
      <w:r>
        <w:rPr>
          <w:rFonts w:hint="eastAsia"/>
          <w:highlight w:val="none"/>
        </w:rPr>
        <w:t>二、服务质量承诺及保证措施</w:t>
      </w:r>
      <w:r>
        <w:tab/>
      </w:r>
      <w:r>
        <w:fldChar w:fldCharType="begin"/>
      </w:r>
      <w:r>
        <w:instrText xml:space="preserve"> PAGEREF _Toc5639 \h </w:instrText>
      </w:r>
      <w:r>
        <w:fldChar w:fldCharType="separate"/>
      </w:r>
      <w:r>
        <w:t>85</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_Toc19301 </w:instrText>
      </w:r>
      <w:r>
        <w:rPr>
          <w:rFonts w:hint="eastAsia" w:ascii="宋体" w:hAnsi="宋体" w:eastAsia="宋体" w:cs="宋体"/>
          <w:highlight w:val="none"/>
        </w:rPr>
        <w:fldChar w:fldCharType="separate"/>
      </w:r>
      <w:r>
        <w:rPr>
          <w:rFonts w:hint="eastAsia"/>
          <w:highlight w:val="none"/>
        </w:rPr>
        <w:t>三、成果资料质量承诺及保证措施</w:t>
      </w:r>
      <w:r>
        <w:tab/>
      </w:r>
      <w:r>
        <w:fldChar w:fldCharType="begin"/>
      </w:r>
      <w:r>
        <w:instrText xml:space="preserve"> PAGEREF _Toc19301 \h </w:instrText>
      </w:r>
      <w:r>
        <w:fldChar w:fldCharType="separate"/>
      </w:r>
      <w:r>
        <w:t>86</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_Toc5003 </w:instrText>
      </w:r>
      <w:r>
        <w:rPr>
          <w:rFonts w:hint="eastAsia" w:ascii="宋体" w:hAnsi="宋体" w:eastAsia="宋体" w:cs="宋体"/>
          <w:highlight w:val="none"/>
        </w:rPr>
        <w:fldChar w:fldCharType="separate"/>
      </w:r>
      <w:r>
        <w:rPr>
          <w:rFonts w:hint="eastAsia"/>
          <w:highlight w:val="none"/>
        </w:rPr>
        <w:t>四、拟派本项目团队人员情况</w:t>
      </w:r>
      <w:r>
        <w:tab/>
      </w:r>
      <w:r>
        <w:fldChar w:fldCharType="begin"/>
      </w:r>
      <w:r>
        <w:instrText xml:space="preserve"> PAGEREF _Toc5003 \h </w:instrText>
      </w:r>
      <w:r>
        <w:fldChar w:fldCharType="separate"/>
      </w:r>
      <w:r>
        <w:t>87</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_Toc28681 </w:instrText>
      </w:r>
      <w:r>
        <w:rPr>
          <w:rFonts w:hint="eastAsia" w:ascii="宋体" w:hAnsi="宋体" w:eastAsia="宋体" w:cs="宋体"/>
          <w:highlight w:val="none"/>
        </w:rPr>
        <w:fldChar w:fldCharType="separate"/>
      </w:r>
      <w:r>
        <w:rPr>
          <w:rFonts w:hint="eastAsia"/>
          <w:highlight w:val="none"/>
        </w:rPr>
        <w:t>五、近年类似项目情况表</w:t>
      </w:r>
      <w:r>
        <w:tab/>
      </w:r>
      <w:r>
        <w:fldChar w:fldCharType="begin"/>
      </w:r>
      <w:r>
        <w:instrText xml:space="preserve"> PAGEREF _Toc28681 \h </w:instrText>
      </w:r>
      <w:r>
        <w:fldChar w:fldCharType="separate"/>
      </w:r>
      <w:r>
        <w:t>91</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_Toc12971 </w:instrText>
      </w:r>
      <w:r>
        <w:rPr>
          <w:rFonts w:hint="eastAsia" w:ascii="宋体" w:hAnsi="宋体" w:eastAsia="宋体" w:cs="宋体"/>
          <w:highlight w:val="none"/>
        </w:rPr>
        <w:fldChar w:fldCharType="separate"/>
      </w:r>
      <w:r>
        <w:rPr>
          <w:rFonts w:hint="eastAsia"/>
          <w:highlight w:val="none"/>
        </w:rPr>
        <w:t>六、其它资料</w:t>
      </w:r>
      <w:r>
        <w:tab/>
      </w:r>
      <w:r>
        <w:fldChar w:fldCharType="begin"/>
      </w:r>
      <w:r>
        <w:instrText xml:space="preserve"> PAGEREF _Toc12971 \h </w:instrText>
      </w:r>
      <w:r>
        <w:fldChar w:fldCharType="separate"/>
      </w:r>
      <w:r>
        <w:t>92</w:t>
      </w:r>
      <w:r>
        <w:fldChar w:fldCharType="end"/>
      </w:r>
      <w:r>
        <w:rPr>
          <w:rFonts w:hint="eastAsia" w:ascii="宋体" w:hAnsi="宋体" w:eastAsia="宋体" w:cs="宋体"/>
          <w:color w:val="auto"/>
          <w:highlight w:val="none"/>
        </w:rPr>
        <w:fldChar w:fldCharType="end"/>
      </w:r>
    </w:p>
    <w:p>
      <w:pPr>
        <w:rPr>
          <w:rFonts w:ascii="宋体" w:hAnsi="宋体" w:eastAsia="宋体" w:cs="宋体"/>
          <w:color w:val="auto"/>
          <w:sz w:val="44"/>
          <w:szCs w:val="44"/>
          <w:highlight w:val="none"/>
        </w:rPr>
      </w:pPr>
      <w:r>
        <w:rPr>
          <w:rFonts w:hint="eastAsia" w:ascii="宋体" w:hAnsi="宋体" w:eastAsia="宋体" w:cs="宋体"/>
          <w:color w:val="auto"/>
          <w:highlight w:val="none"/>
        </w:rPr>
        <w:fldChar w:fldCharType="end"/>
      </w:r>
      <w:r>
        <w:rPr>
          <w:rFonts w:hint="eastAsia" w:ascii="宋体" w:hAnsi="宋体" w:eastAsia="宋体" w:cs="宋体"/>
          <w:color w:val="auto"/>
          <w:sz w:val="44"/>
          <w:szCs w:val="44"/>
          <w:highlight w:val="none"/>
        </w:rPr>
        <w:br w:type="page"/>
      </w:r>
    </w:p>
    <w:p>
      <w:pPr>
        <w:pStyle w:val="3"/>
        <w:rPr>
          <w:color w:val="auto"/>
          <w:highlight w:val="none"/>
        </w:rPr>
      </w:pPr>
      <w:bookmarkStart w:id="0" w:name="_Toc68192794"/>
      <w:bookmarkStart w:id="1" w:name="_Toc18773"/>
      <w:bookmarkStart w:id="2" w:name="_Toc457937138"/>
      <w:bookmarkStart w:id="3" w:name="_Toc416191212"/>
      <w:r>
        <w:rPr>
          <w:rFonts w:hint="eastAsia"/>
          <w:color w:val="auto"/>
          <w:highlight w:val="none"/>
        </w:rPr>
        <w:t>第一章  招标公告</w:t>
      </w:r>
      <w:bookmarkEnd w:id="0"/>
      <w:bookmarkEnd w:id="1"/>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官渡区太和街道跨境合作先行区太和1903</w:t>
      </w:r>
      <w:r>
        <w:rPr>
          <w:rFonts w:hint="eastAsia" w:ascii="宋体" w:hAnsi="宋体" w:eastAsia="宋体" w:cs="宋体"/>
          <w:b/>
          <w:bCs/>
          <w:color w:val="auto"/>
          <w:sz w:val="28"/>
          <w:szCs w:val="28"/>
          <w:highlight w:val="none"/>
        </w:rPr>
        <w:t>（官渡区太和街道和平路前卫营片区三旧改造连片开发项目工作指挥部）项目新增地块房屋调查测绘服务招标公告</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1.招标条件</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（官渡区太和街道和平路前卫营片区三旧改造连片开发项目工作指挥部）项目新增地块房屋调查测绘服务，招标人为</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资金来自企业自筹，已经全部落实到位，项目已具备招标条件，现决定对本项目进行公开招标，特邀请符合资格条件的潜在投标人参加投标。</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2.项目概况与招标范围</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2.1 招标内容：</w:t>
      </w:r>
      <w:bookmarkStart w:id="4" w:name="_Hlk67874850"/>
      <w:r>
        <w:rPr>
          <w:rFonts w:hint="eastAsia" w:ascii="宋体" w:hAnsi="宋体" w:eastAsia="宋体" w:cs="宋体"/>
          <w:color w:val="auto"/>
          <w:sz w:val="24"/>
          <w:highlight w:val="none"/>
        </w:rPr>
        <w:t>完成</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用地所涉及到的房屋调查测绘所有工作。房屋初步调查：包括但不限于权利人、房屋权属、地上建（构）筑物及附属设施、配套设施初步调查及房产面积、地上建（构）筑物及附属设施、配套设施面积初步测绘，完成房屋测绘工作并出具《前期房屋调查报告》及建(构)筑物及附属设施面积汇总表、房屋测绘平面图等（具体以招标人书面委托为准）。房屋入户调查：包括但不限于权利人、房屋权属、地上建（构）筑物及附属设施、配套设施入户调查及房产面积、地上建（构）筑物及附属设施、配套设施面积入户测绘，完成《入户测量及六方签证资料》、房产测绘平面图、房屋测绘建(构)筑物及附属设施面积汇总表、房屋测绘建(构)筑物及附属设施签证表等（具体以招标人书面委托为准）。</w:t>
      </w:r>
      <w:bookmarkEnd w:id="4"/>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2.2 招标范围：</w:t>
      </w:r>
      <w:r>
        <w:rPr>
          <w:rFonts w:hint="eastAsia" w:ascii="宋体" w:hAnsi="宋体" w:eastAsia="宋体" w:cs="宋体"/>
          <w:color w:val="auto"/>
          <w:sz w:val="24"/>
          <w:highlight w:val="none"/>
          <w:lang w:eastAsia="zh-CN"/>
        </w:rPr>
        <w:t>官渡区太和街道跨境合作先行区太和1903</w:t>
      </w:r>
      <w:r>
        <w:rPr>
          <w:rFonts w:hint="eastAsia" w:ascii="宋体" w:hAnsi="宋体" w:cs="宋体"/>
          <w:color w:val="auto"/>
          <w:sz w:val="24"/>
          <w:highlight w:val="none"/>
        </w:rPr>
        <w:t>（官渡区太和街道和平路前卫营片区三旧改造连片开发项目工作指挥部）项目</w:t>
      </w:r>
      <w:r>
        <w:rPr>
          <w:rFonts w:hint="eastAsia" w:ascii="宋体" w:hAnsi="宋体" w:eastAsia="宋体" w:cs="宋体"/>
          <w:color w:val="auto"/>
          <w:sz w:val="24"/>
          <w:highlight w:val="none"/>
        </w:rPr>
        <w:t>新增地块房屋调查测绘服务</w:t>
      </w:r>
      <w:r>
        <w:rPr>
          <w:rFonts w:hint="eastAsia" w:ascii="宋体" w:hAnsi="宋体" w:cs="宋体"/>
          <w:color w:val="auto"/>
          <w:sz w:val="24"/>
          <w:highlight w:val="none"/>
        </w:rPr>
        <w:t>，项目用地位于官渡区太和街道辖区范围内,总用地面积约1015亩，总建筑面积约1204070.00平方米。</w:t>
      </w:r>
      <w:r>
        <w:rPr>
          <w:rFonts w:hint="eastAsia" w:ascii="宋体" w:hAnsi="宋体" w:eastAsia="宋体" w:cs="宋体"/>
          <w:color w:val="auto"/>
          <w:sz w:val="24"/>
          <w:highlight w:val="none"/>
        </w:rPr>
        <w:t>本项目共划分为三个标段，基本情况如下（</w:t>
      </w:r>
      <w:r>
        <w:rPr>
          <w:rFonts w:hint="eastAsia" w:ascii="宋体" w:hAnsi="宋体" w:eastAsia="宋体" w:cs="宋体"/>
          <w:bCs/>
          <w:color w:val="auto"/>
          <w:sz w:val="24"/>
          <w:highlight w:val="none"/>
        </w:rPr>
        <w:t>各标段具体范围以招标人书面委托为准）</w:t>
      </w:r>
      <w:r>
        <w:rPr>
          <w:rFonts w:hint="eastAsia" w:ascii="宋体" w:hAnsi="宋体" w:eastAsia="宋体" w:cs="宋体"/>
          <w:color w:val="auto"/>
          <w:sz w:val="24"/>
          <w:highlight w:val="none"/>
        </w:rPr>
        <w:t>：</w:t>
      </w:r>
    </w:p>
    <w:p>
      <w:pPr>
        <w:spacing w:line="360" w:lineRule="auto"/>
        <w:ind w:firstLine="480" w:firstLineChars="200"/>
        <w:jc w:val="left"/>
        <w:rPr>
          <w:rFonts w:ascii="宋体" w:hAnsi="宋体" w:eastAsia="宋体" w:cs="宋体"/>
          <w:color w:val="auto"/>
          <w:sz w:val="24"/>
          <w:highlight w:val="none"/>
        </w:rPr>
      </w:pPr>
      <w:r>
        <w:rPr>
          <w:rFonts w:hint="eastAsia" w:ascii="宋体" w:hAnsi="宋体" w:cs="宋体"/>
          <w:color w:val="auto"/>
          <w:sz w:val="24"/>
          <w:highlight w:val="none"/>
        </w:rPr>
        <w:t>四标段（D地块）：</w:t>
      </w:r>
      <w:r>
        <w:rPr>
          <w:rFonts w:ascii="宋体" w:hAnsi="宋体" w:cs="宋体"/>
          <w:color w:val="auto"/>
          <w:sz w:val="24"/>
          <w:highlight w:val="none"/>
        </w:rPr>
        <w:t>永胜路社区北至环城南路、南至昆明火车站、西至北京路、东至春城路</w:t>
      </w:r>
      <w:r>
        <w:rPr>
          <w:rFonts w:hint="eastAsia" w:ascii="宋体" w:hAnsi="宋体" w:cs="宋体"/>
          <w:color w:val="auto"/>
          <w:sz w:val="24"/>
          <w:highlight w:val="none"/>
        </w:rPr>
        <w:t xml:space="preserve">。其中占地面积约570亩，建筑面积约 </w:t>
      </w:r>
      <w:r>
        <w:rPr>
          <w:rFonts w:ascii="宋体" w:hAnsi="宋体" w:cs="宋体"/>
          <w:color w:val="auto"/>
          <w:sz w:val="24"/>
          <w:highlight w:val="none"/>
        </w:rPr>
        <w:t>649989</w:t>
      </w:r>
      <w:r>
        <w:rPr>
          <w:rFonts w:hint="eastAsia" w:ascii="宋体" w:hAnsi="宋体" w:cs="宋体"/>
          <w:color w:val="auto"/>
          <w:sz w:val="24"/>
          <w:highlight w:val="none"/>
        </w:rPr>
        <w:t>.00平方米</w:t>
      </w:r>
      <w:r>
        <w:rPr>
          <w:rFonts w:hint="eastAsia" w:ascii="宋体" w:hAnsi="宋体" w:eastAsia="宋体" w:cs="宋体"/>
          <w:color w:val="auto"/>
          <w:sz w:val="24"/>
          <w:highlight w:val="none"/>
        </w:rPr>
        <w:t>（最终以实际测绘面积为准）。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cs="宋体"/>
          <w:color w:val="auto"/>
          <w:sz w:val="24"/>
          <w:highlight w:val="none"/>
        </w:rPr>
        <w:t>五标段（E地块）：佴家湾社区</w:t>
      </w:r>
      <w:r>
        <w:rPr>
          <w:rFonts w:ascii="宋体" w:hAnsi="宋体" w:cs="宋体"/>
          <w:color w:val="auto"/>
          <w:sz w:val="24"/>
          <w:highlight w:val="none"/>
        </w:rPr>
        <w:t>北至环城南路、南至长润街、西至春城路、东至吴井路</w:t>
      </w:r>
      <w:r>
        <w:rPr>
          <w:rFonts w:hint="eastAsia" w:ascii="宋体" w:hAnsi="宋体" w:cs="宋体"/>
          <w:color w:val="auto"/>
          <w:sz w:val="24"/>
          <w:highlight w:val="none"/>
        </w:rPr>
        <w:t>。其中占地面积约288亩，建筑面积约</w:t>
      </w:r>
      <w:r>
        <w:rPr>
          <w:rFonts w:ascii="宋体" w:hAnsi="宋体" w:cs="宋体"/>
          <w:color w:val="auto"/>
          <w:sz w:val="24"/>
          <w:highlight w:val="none"/>
        </w:rPr>
        <w:t>318758</w:t>
      </w:r>
      <w:r>
        <w:rPr>
          <w:rFonts w:hint="eastAsia" w:ascii="宋体" w:hAnsi="宋体" w:cs="宋体"/>
          <w:color w:val="auto"/>
          <w:sz w:val="24"/>
          <w:highlight w:val="none"/>
        </w:rPr>
        <w:t>.00平方米</w:t>
      </w:r>
      <w:r>
        <w:rPr>
          <w:rFonts w:hint="eastAsia" w:ascii="宋体" w:hAnsi="宋体" w:eastAsia="宋体" w:cs="宋体"/>
          <w:color w:val="auto"/>
          <w:sz w:val="24"/>
          <w:highlight w:val="none"/>
        </w:rPr>
        <w:t>（最终以实际测绘面积为准）。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cs="宋体"/>
          <w:color w:val="auto"/>
          <w:sz w:val="24"/>
          <w:highlight w:val="none"/>
        </w:rPr>
        <w:t>六标段（F地块）：</w:t>
      </w:r>
      <w:r>
        <w:rPr>
          <w:rFonts w:hint="eastAsia" w:ascii="宋体" w:hAnsi="宋体" w:cs="宋体"/>
          <w:color w:val="auto"/>
          <w:sz w:val="24"/>
          <w:highlight w:val="none"/>
          <w:lang w:eastAsia="zh-CN"/>
        </w:rPr>
        <w:t>双龙桥社区</w:t>
      </w:r>
      <w:r>
        <w:rPr>
          <w:rFonts w:ascii="宋体" w:hAnsi="宋体" w:cs="宋体"/>
          <w:color w:val="auto"/>
          <w:sz w:val="24"/>
          <w:highlight w:val="none"/>
        </w:rPr>
        <w:t>北至</w:t>
      </w:r>
      <w:r>
        <w:rPr>
          <w:rFonts w:hint="eastAsia" w:ascii="宋体" w:hAnsi="宋体" w:cs="宋体"/>
          <w:color w:val="auto"/>
          <w:sz w:val="24"/>
          <w:highlight w:val="none"/>
        </w:rPr>
        <w:t>拓东</w:t>
      </w:r>
      <w:r>
        <w:rPr>
          <w:rFonts w:ascii="宋体" w:hAnsi="宋体" w:cs="宋体"/>
          <w:color w:val="auto"/>
          <w:sz w:val="24"/>
          <w:highlight w:val="none"/>
        </w:rPr>
        <w:t>路、南至</w:t>
      </w:r>
      <w:r>
        <w:rPr>
          <w:rFonts w:hint="eastAsia" w:ascii="宋体" w:hAnsi="宋体" w:cs="宋体"/>
          <w:color w:val="auto"/>
          <w:sz w:val="24"/>
          <w:highlight w:val="none"/>
        </w:rPr>
        <w:t>塘双</w:t>
      </w:r>
      <w:r>
        <w:rPr>
          <w:rFonts w:ascii="宋体" w:hAnsi="宋体" w:cs="宋体"/>
          <w:color w:val="auto"/>
          <w:sz w:val="24"/>
          <w:highlight w:val="none"/>
        </w:rPr>
        <w:t>路、西至</w:t>
      </w:r>
      <w:r>
        <w:rPr>
          <w:rFonts w:hint="eastAsia" w:ascii="宋体" w:hAnsi="宋体" w:cs="宋体"/>
          <w:color w:val="auto"/>
          <w:sz w:val="24"/>
          <w:highlight w:val="none"/>
        </w:rPr>
        <w:t>临江</w:t>
      </w:r>
      <w:r>
        <w:rPr>
          <w:rFonts w:ascii="宋体" w:hAnsi="宋体" w:cs="宋体"/>
          <w:color w:val="auto"/>
          <w:sz w:val="24"/>
          <w:highlight w:val="none"/>
        </w:rPr>
        <w:t>路、东至</w:t>
      </w:r>
      <w:r>
        <w:rPr>
          <w:rFonts w:hint="eastAsia" w:ascii="宋体" w:hAnsi="宋体" w:cs="宋体"/>
          <w:color w:val="auto"/>
          <w:sz w:val="24"/>
          <w:highlight w:val="none"/>
        </w:rPr>
        <w:t>塘双</w:t>
      </w:r>
      <w:r>
        <w:rPr>
          <w:rFonts w:ascii="宋体" w:hAnsi="宋体" w:cs="宋体"/>
          <w:color w:val="auto"/>
          <w:sz w:val="24"/>
          <w:highlight w:val="none"/>
        </w:rPr>
        <w:t>路</w:t>
      </w:r>
      <w:r>
        <w:rPr>
          <w:rFonts w:hint="eastAsia" w:ascii="宋体" w:hAnsi="宋体" w:cs="宋体"/>
          <w:color w:val="auto"/>
          <w:sz w:val="24"/>
          <w:highlight w:val="none"/>
        </w:rPr>
        <w:t>。其中占地面积约157亩，建筑面积约235323.00平方米</w:t>
      </w:r>
      <w:r>
        <w:rPr>
          <w:rFonts w:hint="eastAsia" w:ascii="宋体" w:hAnsi="宋体" w:eastAsia="宋体" w:cs="宋体"/>
          <w:color w:val="auto"/>
          <w:sz w:val="24"/>
          <w:highlight w:val="none"/>
        </w:rPr>
        <w:t>（最终以实际测绘面积为准）。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2.3 总投资： 约</w:t>
      </w:r>
      <w:r>
        <w:rPr>
          <w:rFonts w:hint="eastAsia" w:ascii="宋体" w:hAnsi="宋体" w:eastAsia="宋体" w:cs="宋体"/>
          <w:color w:val="auto"/>
          <w:sz w:val="24"/>
          <w:highlight w:val="none"/>
          <w:u w:val="single"/>
          <w:lang w:val="en-US" w:eastAsia="zh-CN"/>
        </w:rPr>
        <w:t>16600</w:t>
      </w:r>
      <w:r>
        <w:rPr>
          <w:rFonts w:hint="eastAsia" w:ascii="宋体" w:hAnsi="宋体" w:eastAsia="宋体" w:cs="宋体"/>
          <w:color w:val="auto"/>
          <w:sz w:val="24"/>
          <w:highlight w:val="none"/>
          <w:u w:val="single"/>
        </w:rPr>
        <w:t>00.00</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包含前期关于昆明市官渡区太和街道和平路前卫营片区三旧连片改造项目所有已经招标标段项目的投资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；招标规模：约</w:t>
      </w:r>
      <w:r>
        <w:rPr>
          <w:rFonts w:hint="eastAsia" w:ascii="宋体" w:hAnsi="宋体" w:eastAsia="宋体" w:cs="宋体"/>
          <w:color w:val="auto"/>
          <w:sz w:val="24"/>
          <w:highlight w:val="none"/>
          <w:u w:val="single"/>
        </w:rPr>
        <w:t xml:space="preserve"> 350 </w:t>
      </w:r>
      <w:r>
        <w:rPr>
          <w:rFonts w:hint="eastAsia" w:ascii="宋体" w:hAnsi="宋体" w:eastAsia="宋体" w:cs="宋体"/>
          <w:color w:val="auto"/>
          <w:sz w:val="24"/>
          <w:highlight w:val="none"/>
        </w:rPr>
        <w:t>万元。</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2.4 资金来源：自筹；资金落实情况：已落实。</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2.5 项目实施地点：项目用地位于官渡区太和街道辖区范围内，最终以招标人委托为准。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2.6</w:t>
      </w:r>
      <w:r>
        <w:rPr>
          <w:rFonts w:hint="default" w:ascii="宋体" w:hAnsi="宋体" w:eastAsia="宋体" w:cs="宋体"/>
          <w:color w:val="auto"/>
          <w:sz w:val="24"/>
          <w:highlight w:val="none"/>
        </w:rPr>
        <w:t xml:space="preserve"> </w:t>
      </w:r>
      <w:r>
        <w:rPr>
          <w:rFonts w:hint="eastAsia" w:ascii="宋体" w:hAnsi="宋体" w:eastAsia="宋体" w:cs="宋体"/>
          <w:color w:val="auto"/>
          <w:sz w:val="24"/>
          <w:highlight w:val="none"/>
        </w:rPr>
        <w:t>计划开工/服务开始时间：2022-0</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计划竣工/服务结束时间：2022-</w:t>
      </w:r>
      <w:r>
        <w:rPr>
          <w:rFonts w:hint="eastAsia" w:ascii="宋体" w:hAnsi="宋体" w:eastAsia="宋体" w:cs="宋体"/>
          <w:color w:val="auto"/>
          <w:sz w:val="24"/>
          <w:highlight w:val="none"/>
          <w:lang w:val="en-US" w:eastAsia="zh-CN"/>
        </w:rPr>
        <w:t>06</w:t>
      </w:r>
      <w:r>
        <w:rPr>
          <w:rFonts w:hint="eastAsia" w:ascii="宋体" w:hAnsi="宋体" w:eastAsia="宋体" w:cs="宋体"/>
          <w:color w:val="auto"/>
          <w:sz w:val="24"/>
          <w:highlight w:val="none"/>
        </w:rPr>
        <w:t>-30（签订合同之日起至本项目完成为止）</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2.7不接受联合体投标。</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2.8其他</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2.8.1服务周期：分为两个阶段</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第一阶段：房屋初步调查</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签订合同之日起至本项目完成为止，满足招标人要求（以招标人书面委托起止日期为准）。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第二阶段：房屋入户调查</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签订合同之日起至本项目完成为止，满足招标人要求（以招标人书面委托起止日期为准）。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2.8.2质量要求：房屋调查测绘应符合国家、行业、地方现行的相关标准，确保成果资料完整、真实准确、清晰有据，符合招标人要求及项目需求，并一次性通过相关部门审查。</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2.8.3标段划分：本项目共分为三个标段。投标人可同时参加多个标段的投标，但应分别编制、递交投标文件，且只能中选一个标段。投标人若已在先评审的标段被推荐为第一中标候选人，仍参加后续标段的评审，</w:t>
      </w:r>
      <w:r>
        <w:rPr>
          <w:rFonts w:hint="eastAsia" w:ascii="宋体" w:hAnsi="宋体" w:eastAsia="宋体" w:cs="宋体"/>
          <w:b/>
          <w:color w:val="auto"/>
          <w:sz w:val="24"/>
          <w:highlight w:val="none"/>
          <w:lang w:val="en-US" w:eastAsia="zh-CN"/>
        </w:rPr>
        <w:t>但</w:t>
      </w:r>
      <w:r>
        <w:rPr>
          <w:rFonts w:hint="eastAsia" w:ascii="宋体" w:hAnsi="宋体" w:eastAsia="宋体" w:cs="宋体"/>
          <w:b/>
          <w:color w:val="auto"/>
          <w:sz w:val="24"/>
          <w:highlight w:val="none"/>
        </w:rPr>
        <w:t>不再被推荐为</w:t>
      </w:r>
      <w:r>
        <w:rPr>
          <w:rFonts w:hint="eastAsia" w:ascii="宋体" w:hAnsi="宋体" w:eastAsia="宋体" w:cs="宋体"/>
          <w:b/>
          <w:color w:val="auto"/>
          <w:sz w:val="24"/>
          <w:highlight w:val="none"/>
          <w:lang w:val="en-US" w:eastAsia="zh-CN"/>
        </w:rPr>
        <w:t>后续</w:t>
      </w:r>
      <w:r>
        <w:rPr>
          <w:rFonts w:hint="eastAsia" w:ascii="宋体" w:hAnsi="宋体" w:eastAsia="宋体" w:cs="宋体"/>
          <w:b/>
          <w:color w:val="auto"/>
          <w:sz w:val="24"/>
          <w:highlight w:val="none"/>
        </w:rPr>
        <w:t>其他标段的中标候选人</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评标顺序按照</w:t>
      </w:r>
      <w:r>
        <w:rPr>
          <w:rFonts w:hint="eastAsia" w:ascii="宋体" w:hAnsi="宋体" w:eastAsia="宋体" w:cs="宋体"/>
          <w:b/>
          <w:bCs/>
          <w:color w:val="auto"/>
          <w:sz w:val="24"/>
          <w:highlight w:val="none"/>
          <w:lang w:eastAsia="zh-CN"/>
        </w:rPr>
        <w:t>官渡区太和街道跨境合作先行区太和1903</w:t>
      </w:r>
      <w:r>
        <w:rPr>
          <w:rFonts w:hint="eastAsia" w:ascii="宋体" w:hAnsi="宋体" w:eastAsia="宋体" w:cs="宋体"/>
          <w:b/>
          <w:color w:val="auto"/>
          <w:sz w:val="24"/>
          <w:highlight w:val="none"/>
          <w:lang w:val="en-US" w:eastAsia="zh-CN"/>
        </w:rPr>
        <w:t>（官渡区太和街道和平路前卫营片区三旧改造连片开发项目工作指挥部）项目新增地块房屋调查测绘服务四、五、六标段顺序依次进行</w:t>
      </w:r>
      <w:r>
        <w:rPr>
          <w:rFonts w:hint="eastAsia" w:ascii="宋体" w:hAnsi="宋体" w:eastAsia="宋体" w:cs="宋体"/>
          <w:b/>
          <w:color w:val="auto"/>
          <w:sz w:val="24"/>
          <w:highlight w:val="none"/>
          <w:lang w:eastAsia="zh-CN"/>
        </w:rPr>
        <w:t>。</w:t>
      </w:r>
    </w:p>
    <w:p>
      <w:pPr>
        <w:spacing w:line="360" w:lineRule="auto"/>
        <w:ind w:firstLine="482" w:firstLineChars="200"/>
        <w:jc w:val="left"/>
        <w:rPr>
          <w:rFonts w:ascii="宋体" w:hAnsi="宋体" w:eastAsia="宋体" w:cs="宋体"/>
          <w:color w:val="auto"/>
          <w:sz w:val="24"/>
          <w:highlight w:val="none"/>
        </w:rPr>
      </w:pPr>
      <w:r>
        <w:rPr>
          <w:rFonts w:hint="eastAsia" w:ascii="宋体" w:hAnsi="宋体" w:eastAsia="宋体" w:cs="宋体"/>
          <w:b/>
          <w:bCs/>
          <w:color w:val="auto"/>
          <w:sz w:val="24"/>
          <w:highlight w:val="none"/>
        </w:rPr>
        <w:t>注：如参与本项目的潜在投标人同时参与</w:t>
      </w:r>
      <w:r>
        <w:rPr>
          <w:rFonts w:hint="eastAsia" w:ascii="宋体" w:hAnsi="宋体" w:eastAsia="宋体" w:cs="宋体"/>
          <w:b/>
          <w:bCs/>
          <w:color w:val="auto"/>
          <w:sz w:val="24"/>
          <w:highlight w:val="none"/>
          <w:lang w:eastAsia="zh-CN"/>
        </w:rPr>
        <w:t>官渡区太和街道跨境合作先行区太和1903</w:t>
      </w:r>
      <w:r>
        <w:rPr>
          <w:rFonts w:hint="eastAsia" w:ascii="宋体" w:hAnsi="宋体" w:eastAsia="宋体" w:cs="宋体"/>
          <w:b/>
          <w:bCs/>
          <w:color w:val="auto"/>
          <w:sz w:val="24"/>
          <w:highlight w:val="none"/>
        </w:rPr>
        <w:t>（官渡区太和街道和平路前卫营片区三旧改造连片开发项目工作指挥部）项目新增地块土地利用现状调查及土地勘测定界服务项目的投标，若已在</w:t>
      </w:r>
      <w:r>
        <w:rPr>
          <w:rFonts w:hint="eastAsia" w:ascii="宋体" w:hAnsi="宋体" w:eastAsia="宋体" w:cs="宋体"/>
          <w:b/>
          <w:bCs/>
          <w:color w:val="auto"/>
          <w:sz w:val="24"/>
          <w:highlight w:val="none"/>
          <w:lang w:eastAsia="zh-CN"/>
        </w:rPr>
        <w:t>官渡区太和街道跨境合作先行区太和1903</w:t>
      </w:r>
      <w:r>
        <w:rPr>
          <w:rFonts w:hint="eastAsia" w:ascii="宋体" w:hAnsi="宋体" w:eastAsia="宋体" w:cs="宋体"/>
          <w:b/>
          <w:bCs/>
          <w:color w:val="auto"/>
          <w:sz w:val="24"/>
          <w:highlight w:val="none"/>
        </w:rPr>
        <w:t>（官渡区太和街道和平路前卫营片区三旧改造连片开发项目工作指挥部）项目新增地块土地利用现状调查及土地勘测定界服务项目被推荐为第一中标候选人，仍参加本项目</w:t>
      </w:r>
      <w:r>
        <w:rPr>
          <w:rFonts w:hint="eastAsia" w:ascii="宋体" w:hAnsi="宋体" w:eastAsia="宋体" w:cs="宋体"/>
          <w:b/>
          <w:color w:val="auto"/>
          <w:sz w:val="24"/>
          <w:highlight w:val="none"/>
        </w:rPr>
        <w:t>的评审，但不再参与本项目的中标候选人资格推荐排序。</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3.投标人资格要求</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3.1 第一中标候选人的行贿犯罪档案信息查询，招标人等可以通过“中国裁判文书网”查询相关信息。</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3.2 本项目对失信被执行人，按照《关于在招标投标活动中对失信被执行人实施联合惩戒的通知》 （法【2016】285号）执行。通过“信用中国”网站（www.creditchina.gov.cn）或各级信用信息共享平台查询投标人是否为失信被执行人，提供给评标委员会。</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对被列入失信被执行人的投标人处理方法和评标标准：按照《昆明市严重失信主体公共资源交易领域惩戒实施细则》（昆政规【2019】2号）和《关于规范失信行为的行政处罚信息在公共资源交易领域失信联合惩戒运用的通知》（昆政务通〔2020〕9号）文件规定执行。</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3.3 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社部门函请出具中标人“工资支付信用记录”等相关记录信息。</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3.4其他：对严重失信主体按照《昆明市严重失信主体公共资源交易领域惩戒实施细则》（昆政规【2019】2号）执行。</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3.5 其他要求：</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3.5.1投标人须为独立企业（事业）法人或其他组织，具备有效的营业执照或事业单位法人证书，且投标人名称与营业执照一致。</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3.5.2资质要求：具有行业行政主管部门核发的测绘乙级及其以上资质（业务范围含不动产测绘：地籍测绘、房屋测绘、行政区域界线测绘）且在有效期内。</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3.5.3业绩要求：自2018年1月1日至今至少承担过2项类似业绩（</w:t>
      </w:r>
      <w:r>
        <w:rPr>
          <w:rFonts w:hint="eastAsia" w:ascii="宋体" w:hAnsi="宋体" w:eastAsia="宋体" w:cs="宋体"/>
          <w:color w:val="auto"/>
          <w:sz w:val="24"/>
          <w:highlight w:val="none"/>
          <w:lang w:eastAsia="zh-CN"/>
        </w:rPr>
        <w:t>类似业绩指类似城中村拆迁或改造或一级开发或征地拆迁或土地收储或棚户区改造或三旧改造项目的房产测绘或房屋测量或房屋调查、不动产数据整合、不动产登记等相关业绩</w:t>
      </w:r>
      <w:r>
        <w:rPr>
          <w:rFonts w:hint="eastAsia" w:ascii="宋体" w:hAnsi="宋体" w:eastAsia="宋体" w:cs="宋体"/>
          <w:color w:val="auto"/>
          <w:sz w:val="24"/>
          <w:highlight w:val="none"/>
        </w:rPr>
        <w:t>）。业绩证明材料为合同协议书或中标通知书或所服务业主出具的证明材料。</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3.5.4项目负责人要求：拟派项目负责人须具备测绘（或测量）专业中级及以上职称或具备注册测绘师资格证书。</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3.5.5财务要求：提供近三年（2018年～2020年）经第三方审计机构审计的审计报告及财务报表（包括资产负债表、现金流量表、利润表等）。成立不满三年的企业提供成立至今经审计机构审计的审计报告及财务报表（包括资产负债表、现金流量表、利润表等）。</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3.5.6信誉要求：近三年（2019年1月1日至今）无因投标人违约或不恰当履约引起的合同中止、纠纷、争议、仲裁和诉讼记录被项目所在地建筑市场监管公共服务平台列入黑名单；投标人在经营活动中没有重大违法记录，投标人没有处于被责令停业，无因企业不良行为记录被项目所在地行政主管部门暂停或取消投标资格，无财产被接管、冻结、破产等状态，没有被项目所在地政府或国家部委禁止市场准入等情形。投标人未被“信用中国（网址：https://www.creditchina.gov.cn/）”列入失信被执行人名单；投标人未被“国家企业信用信息公示系统（网址：http://www.gsxt.gov.cn/index.html）”列入严重违法失信企业名单（黑名单）；投标人在“云南省政府采购网（网址：http://www.yngp.com/）”中没有政府采购严重违法失信行为信息记录。</w:t>
      </w:r>
    </w:p>
    <w:p>
      <w:pPr>
        <w:pBdr>
          <w:top w:val="none" w:color="auto" w:sz="0" w:space="1"/>
          <w:left w:val="none" w:color="auto" w:sz="0" w:space="4"/>
          <w:bottom w:val="none" w:color="auto" w:sz="0" w:space="1"/>
          <w:right w:val="none" w:color="auto" w:sz="0"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3.5.7</w:t>
      </w:r>
      <w:r>
        <w:rPr>
          <w:rFonts w:hint="eastAsia" w:hAnsi="宋体" w:cs="仿宋"/>
          <w:bCs/>
          <w:color w:val="auto"/>
          <w:sz w:val="24"/>
          <w:highlight w:val="none"/>
        </w:rPr>
        <w:t>投标人不得存在以下情形：单位负责人为同一人或者存在控股、管理关系的不同投标人，</w:t>
      </w:r>
      <w:r>
        <w:rPr>
          <w:rFonts w:hint="eastAsia" w:ascii="宋体" w:hAnsi="宋体" w:eastAsia="宋体" w:cs="宋体"/>
          <w:color w:val="auto"/>
          <w:sz w:val="24"/>
          <w:highlight w:val="none"/>
        </w:rPr>
        <w:t>不得参加同一项目（包括所有标段）的投标活动。</w:t>
      </w:r>
    </w:p>
    <w:p>
      <w:pPr>
        <w:tabs>
          <w:tab w:val="left" w:pos="5628"/>
        </w:tabs>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3.5.8已在“昆明市官渡区太和街道和平路前卫营片区三旧连片改造项目房屋调查测绘服务”</w:t>
      </w:r>
      <w:r>
        <w:rPr>
          <w:rFonts w:hint="eastAsia" w:ascii="宋体" w:hAnsi="宋体" w:eastAsia="宋体" w:cs="宋体"/>
          <w:color w:val="auto"/>
          <w:sz w:val="24"/>
          <w:highlight w:val="none"/>
          <w:lang w:eastAsia="zh-CN"/>
        </w:rPr>
        <w:t>一、二、三标段</w:t>
      </w:r>
      <w:r>
        <w:rPr>
          <w:rFonts w:hint="eastAsia" w:ascii="宋体" w:hAnsi="宋体" w:eastAsia="宋体" w:cs="宋体"/>
          <w:color w:val="auto"/>
          <w:sz w:val="24"/>
          <w:highlight w:val="none"/>
        </w:rPr>
        <w:t>项目中的中标人不得再参与本项目（包括所有标段）的投标活动</w:t>
      </w:r>
      <w:r>
        <w:rPr>
          <w:rFonts w:hint="eastAsia" w:ascii="宋体" w:hAnsi="宋体" w:eastAsia="宋体" w:cs="宋体"/>
          <w:color w:val="auto"/>
          <w:sz w:val="24"/>
          <w:highlight w:val="none"/>
          <w:lang w:eastAsia="zh-CN"/>
        </w:rPr>
        <w:t>。</w:t>
      </w:r>
    </w:p>
    <w:p>
      <w:pPr>
        <w:tabs>
          <w:tab w:val="left" w:pos="5628"/>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注：本项目</w:t>
      </w:r>
      <w:r>
        <w:rPr>
          <w:rFonts w:hint="eastAsia" w:ascii="宋体" w:hAnsi="宋体" w:eastAsia="宋体" w:cs="宋体"/>
          <w:color w:val="auto"/>
          <w:sz w:val="24"/>
          <w:highlight w:val="none"/>
        </w:rPr>
        <w:t>拟派项目团队人员</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“昆明市官渡区太和街道和平路前卫营片区三旧连片改造项目房屋调查测绘服务”</w:t>
      </w:r>
      <w:r>
        <w:rPr>
          <w:rFonts w:hint="eastAsia" w:ascii="宋体" w:hAnsi="宋体" w:eastAsia="宋体" w:cs="宋体"/>
          <w:color w:val="auto"/>
          <w:sz w:val="24"/>
          <w:highlight w:val="none"/>
          <w:lang w:val="en-US" w:eastAsia="zh-CN"/>
        </w:rPr>
        <w:t>一、二、三标段中标项目</w:t>
      </w:r>
      <w:r>
        <w:rPr>
          <w:rFonts w:hint="eastAsia" w:ascii="宋体" w:hAnsi="宋体" w:eastAsia="宋体" w:cs="宋体"/>
          <w:color w:val="auto"/>
          <w:sz w:val="24"/>
          <w:highlight w:val="none"/>
        </w:rPr>
        <w:t>团队人员</w:t>
      </w:r>
      <w:r>
        <w:rPr>
          <w:rFonts w:hint="eastAsia" w:ascii="宋体" w:hAnsi="宋体" w:eastAsia="宋体" w:cs="宋体"/>
          <w:color w:val="auto"/>
          <w:sz w:val="24"/>
          <w:highlight w:val="none"/>
          <w:lang w:val="en-US" w:eastAsia="zh-CN"/>
        </w:rPr>
        <w:t>如有雷同，视为围标串标行为，一经发现取消其投标和中标资格</w:t>
      </w:r>
      <w:r>
        <w:rPr>
          <w:rFonts w:hint="eastAsia" w:ascii="宋体" w:hAnsi="宋体" w:eastAsia="宋体" w:cs="宋体"/>
          <w:color w:val="auto"/>
          <w:sz w:val="24"/>
          <w:highlight w:val="none"/>
        </w:rPr>
        <w:t>。</w:t>
      </w:r>
    </w:p>
    <w:p>
      <w:pPr>
        <w:tabs>
          <w:tab w:val="left" w:pos="5628"/>
        </w:tab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3.5.</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本次资格审查方式采用</w:t>
      </w:r>
      <w:r>
        <w:rPr>
          <w:rFonts w:hint="eastAsia" w:ascii="宋体" w:hAnsi="宋体" w:eastAsia="宋体" w:cs="宋体"/>
          <w:color w:val="auto"/>
          <w:sz w:val="24"/>
          <w:highlight w:val="none"/>
          <w:u w:val="single"/>
        </w:rPr>
        <w:t> </w:t>
      </w:r>
      <w:r>
        <w:rPr>
          <w:rFonts w:hint="eastAsia" w:ascii="宋体" w:hAnsi="宋体" w:eastAsia="宋体" w:cs="宋体"/>
          <w:bCs/>
          <w:color w:val="auto"/>
          <w:sz w:val="24"/>
          <w:highlight w:val="none"/>
          <w:u w:val="single"/>
        </w:rPr>
        <w:t>资格后审 </w:t>
      </w:r>
      <w:r>
        <w:rPr>
          <w:rFonts w:hint="eastAsia" w:ascii="宋体" w:hAnsi="宋体" w:eastAsia="宋体" w:cs="宋体"/>
          <w:color w:val="auto"/>
          <w:sz w:val="24"/>
          <w:highlight w:val="none"/>
        </w:rPr>
        <w:t>。</w:t>
      </w:r>
      <w:r>
        <w:rPr>
          <w:rFonts w:ascii="宋体" w:hAnsi="宋体" w:eastAsia="宋体" w:cs="宋体"/>
          <w:color w:val="auto"/>
          <w:sz w:val="24"/>
          <w:highlight w:val="none"/>
        </w:rPr>
        <w:tab/>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4.招标文件的获取</w:t>
      </w:r>
    </w:p>
    <w:p>
      <w:pPr>
        <w:spacing w:line="360" w:lineRule="auto"/>
        <w:ind w:firstLine="480" w:firstLineChars="200"/>
        <w:jc w:val="left"/>
        <w:rPr>
          <w:rFonts w:hint="eastAsia" w:ascii="宋体" w:hAnsi="宋体" w:cs="宋体"/>
          <w:color w:val="auto"/>
          <w:sz w:val="21"/>
          <w:szCs w:val="21"/>
          <w:highlight w:val="none"/>
        </w:rPr>
      </w:pPr>
      <w:r>
        <w:rPr>
          <w:rFonts w:hint="eastAsia" w:ascii="宋体" w:hAnsi="宋体" w:eastAsia="宋体" w:cs="宋体"/>
          <w:color w:val="auto"/>
          <w:kern w:val="0"/>
          <w:sz w:val="24"/>
          <w:szCs w:val="24"/>
          <w:highlight w:val="none"/>
        </w:rPr>
        <w:t>凡有意参加投标者，请于</w:t>
      </w:r>
      <w:r>
        <w:rPr>
          <w:rFonts w:ascii="宋体" w:hAnsi="宋体" w:eastAsia="宋体" w:cs="宋体"/>
          <w:color w:val="auto"/>
          <w:kern w:val="0"/>
          <w:sz w:val="24"/>
          <w:szCs w:val="24"/>
          <w:highlight w:val="none"/>
        </w:rPr>
        <w:t>2022</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 xml:space="preserve">  时  分</w:t>
      </w:r>
      <w:r>
        <w:rPr>
          <w:rFonts w:hint="eastAsia" w:ascii="宋体" w:hAnsi="宋体" w:eastAsia="宋体" w:cs="宋体"/>
          <w:color w:val="auto"/>
          <w:kern w:val="0"/>
          <w:sz w:val="24"/>
          <w:szCs w:val="24"/>
          <w:highlight w:val="none"/>
        </w:rPr>
        <w:t>至</w:t>
      </w:r>
      <w:r>
        <w:rPr>
          <w:rFonts w:ascii="宋体" w:hAnsi="宋体" w:eastAsia="宋体" w:cs="宋体"/>
          <w:color w:val="auto"/>
          <w:kern w:val="0"/>
          <w:sz w:val="24"/>
          <w:szCs w:val="24"/>
          <w:highlight w:val="none"/>
        </w:rPr>
        <w:t>2022</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 xml:space="preserve">  时  分</w:t>
      </w:r>
      <w:r>
        <w:rPr>
          <w:rFonts w:hint="eastAsia" w:ascii="宋体" w:hAnsi="宋体" w:eastAsia="宋体" w:cs="宋体"/>
          <w:color w:val="auto"/>
          <w:kern w:val="0"/>
          <w:sz w:val="24"/>
          <w:szCs w:val="24"/>
          <w:highlight w:val="none"/>
        </w:rPr>
        <w:t>（北京时间，下同）登录</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AUTOTEXT  input415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lang w:eastAsia="zh-CN"/>
        </w:rPr>
        <w:t>云南省公共资源交易平台</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（点击切换至“昆明市”）（http://116.55.195.54:8001/#/homePage），凭企业数字证书（USBKEY）在网上获取招标文件及其它招标资料；未办理企业数字证书（USBKEY）的企业需要按照</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AUTOTEXT  input415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lang w:eastAsia="zh-CN"/>
        </w:rPr>
        <w:t>云南省公共资源交易平台</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sz w:val="24"/>
          <w:szCs w:val="24"/>
          <w:highlight w:val="none"/>
        </w:rPr>
        <w:t>（点击切换至“昆明市”）（http://116.55.195.54:8001/#/homePage）</w:t>
      </w:r>
      <w:r>
        <w:rPr>
          <w:rFonts w:hint="eastAsia" w:ascii="宋体" w:hAnsi="宋体" w:eastAsia="宋体" w:cs="宋体"/>
          <w:color w:val="auto"/>
          <w:kern w:val="0"/>
          <w:sz w:val="24"/>
          <w:szCs w:val="24"/>
          <w:highlight w:val="none"/>
        </w:rPr>
        <w:t>电子认证的要求，办理企业数字证书（USBKEY），并在</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AUTOTEXT  input415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lang w:eastAsia="zh-CN"/>
        </w:rPr>
        <w:t>云南省公共资源交易平台</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sz w:val="24"/>
          <w:szCs w:val="24"/>
          <w:highlight w:val="none"/>
        </w:rPr>
        <w:t>（点击切换至“昆明市”）（http://116.55.195.54:8001/#/homePage）</w:t>
      </w:r>
      <w:r>
        <w:rPr>
          <w:rFonts w:hint="eastAsia" w:ascii="宋体" w:hAnsi="宋体" w:eastAsia="宋体" w:cs="宋体"/>
          <w:color w:val="auto"/>
          <w:kern w:val="0"/>
          <w:sz w:val="24"/>
          <w:szCs w:val="24"/>
          <w:highlight w:val="none"/>
        </w:rPr>
        <w:t>完成注册通过后，便可获取招标文件，此为获取招标文件的唯一途径</w:t>
      </w:r>
      <w:r>
        <w:rPr>
          <w:rFonts w:hint="eastAsia" w:ascii="宋体" w:hAnsi="宋体" w:eastAsia="宋体" w:cs="宋体"/>
          <w:color w:val="auto"/>
          <w:sz w:val="24"/>
          <w:szCs w:val="24"/>
          <w:highlight w:val="none"/>
        </w:rPr>
        <w:t>。</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5.投标文件的递交</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5.1投标文件递交的截止时间（投标截止时间，下同）为   年  月  日  时  分(以最终发布的招标公告为准)。</w:t>
      </w:r>
    </w:p>
    <w:p>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网上递交：网上递交网址为</w:t>
      </w:r>
      <w:r>
        <w:rPr>
          <w:rFonts w:hint="eastAsia" w:ascii="宋体" w:hAnsi="宋体" w:eastAsia="宋体" w:cs="宋体"/>
          <w:color w:val="auto"/>
          <w:sz w:val="24"/>
          <w:szCs w:val="24"/>
          <w:highlight w:val="none"/>
          <w:lang w:eastAsia="zh-CN"/>
        </w:rPr>
        <w:t>云南省公共资源交易平台</w:t>
      </w:r>
      <w:r>
        <w:rPr>
          <w:rFonts w:hint="eastAsia" w:ascii="宋体" w:hAnsi="宋体" w:eastAsia="宋体" w:cs="宋体"/>
          <w:color w:val="auto"/>
          <w:sz w:val="24"/>
          <w:szCs w:val="24"/>
          <w:highlight w:val="none"/>
        </w:rPr>
        <w:t>（点击切换至“昆明市”）（http://116.55.195.54:8001/#/homePage），投标人须在投标截止时间前完成所有投标文件的上传，网上确认电子签名，并打印“上传投标文件回执”，投标截止时间前未完成投标文件传输的，视为撤回投标文件。</w:t>
      </w:r>
    </w:p>
    <w:p>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其他：根据昆明市政务服务管理局昆政务笺【2021】2号文规定，本项目开标采用“智能开标”的方式，开标网址为：</w:t>
      </w:r>
      <w:r>
        <w:rPr>
          <w:rFonts w:hint="eastAsia" w:ascii="宋体" w:hAnsi="宋体" w:eastAsia="宋体" w:cs="宋体"/>
          <w:color w:val="auto"/>
          <w:sz w:val="24"/>
          <w:szCs w:val="24"/>
          <w:highlight w:val="none"/>
          <w:lang w:eastAsia="zh-CN"/>
        </w:rPr>
        <w:t>云南省公共资源交易平台</w:t>
      </w:r>
      <w:r>
        <w:rPr>
          <w:rFonts w:hint="eastAsia" w:ascii="宋体" w:hAnsi="宋体" w:eastAsia="宋体" w:cs="宋体"/>
          <w:color w:val="auto"/>
          <w:sz w:val="24"/>
          <w:szCs w:val="24"/>
          <w:highlight w:val="none"/>
        </w:rPr>
        <w:t>（点击切换至“昆明市”）（网址：http://116.55.195.54:8001/#/homePage）。</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智能开标的操作流程详见《云南省公共资源交易电子化平台智能开标系统培训教材（适用投标人和供应商）》（http://116.55.195.54:8001/#/homePage）及附件。技术操作咨询：北京筑龙信息技术有限责任公司服务热线：010-86483801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无须</w:t>
      </w:r>
      <w:r>
        <w:rPr>
          <w:rFonts w:hint="eastAsia" w:ascii="宋体" w:hAnsi="宋体" w:eastAsia="宋体" w:cs="宋体"/>
          <w:color w:val="auto"/>
          <w:sz w:val="24"/>
          <w:szCs w:val="24"/>
          <w:highlight w:val="none"/>
        </w:rPr>
        <w:t>到现场开标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请投标人仔细阅读以保证开标顺利进行</w:t>
      </w:r>
      <w:r>
        <w:rPr>
          <w:rFonts w:hint="eastAsia" w:ascii="宋体" w:hAnsi="宋体" w:eastAsia="宋体" w:cs="宋体"/>
          <w:color w:val="auto"/>
          <w:sz w:val="24"/>
          <w:szCs w:val="24"/>
          <w:highlight w:val="none"/>
          <w:lang w:eastAsia="zh-CN"/>
        </w:rPr>
        <w:t>，投标人须在投标文件递交截止时间前1小时内登录云南省公共资源交易平台</w:t>
      </w:r>
      <w:r>
        <w:rPr>
          <w:rFonts w:hint="eastAsia" w:ascii="宋体" w:hAnsi="宋体" w:eastAsia="宋体" w:cs="宋体"/>
          <w:color w:val="auto"/>
          <w:sz w:val="24"/>
          <w:szCs w:val="24"/>
          <w:highlight w:val="none"/>
        </w:rPr>
        <w:t>（点击切换至“昆明市”）（http://116.55.195.54:8001/#/homePage）</w:t>
      </w:r>
      <w:r>
        <w:rPr>
          <w:rFonts w:hint="eastAsia" w:ascii="宋体" w:hAnsi="宋体" w:eastAsia="宋体" w:cs="宋体"/>
          <w:color w:val="auto"/>
          <w:sz w:val="24"/>
          <w:szCs w:val="24"/>
          <w:highlight w:val="none"/>
          <w:lang w:eastAsia="zh-CN"/>
        </w:rPr>
        <w:t>，找到网上开标室页签，进行网上签到。网上签到后，根据网上远程解密、开标的要求，须在规定时间内完成在线解密、开标一览表确认签字等相关操作。未在规定的时间完成以上相关操作的，则视为撤销其投标文件，不再进入评标阶段</w:t>
      </w:r>
      <w:r>
        <w:rPr>
          <w:rFonts w:hint="eastAsia" w:ascii="宋体" w:hAnsi="宋体" w:eastAsia="宋体" w:cs="宋体"/>
          <w:color w:val="auto"/>
          <w:sz w:val="24"/>
          <w:szCs w:val="24"/>
          <w:highlight w:val="none"/>
          <w:lang w:val="en-US" w:eastAsia="zh-CN"/>
        </w:rPr>
        <w:t>。</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6.发布公告的媒介</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本次招标公告在中国招标投标公共服务平台（http://www.cebpubservice.com/）、云南省公共资源交易</w:t>
      </w:r>
      <w:r>
        <w:rPr>
          <w:rFonts w:hint="eastAsia" w:ascii="宋体" w:hAnsi="宋体" w:eastAsia="宋体" w:cs="宋体"/>
          <w:color w:val="auto"/>
          <w:sz w:val="24"/>
          <w:highlight w:val="none"/>
          <w:lang w:val="en-US" w:eastAsia="zh-CN"/>
        </w:rPr>
        <w:t>中心</w:t>
      </w:r>
      <w:r>
        <w:rPr>
          <w:rFonts w:hint="eastAsia" w:ascii="宋体" w:hAnsi="宋体" w:eastAsia="宋体" w:cs="宋体"/>
          <w:color w:val="auto"/>
          <w:sz w:val="24"/>
          <w:highlight w:val="none"/>
        </w:rPr>
        <w:t>（http://116.55.195.54:8001/#/homePage）、</w:t>
      </w:r>
      <w:r>
        <w:rPr>
          <w:rFonts w:hint="eastAsia" w:ascii="宋体" w:hAnsi="宋体" w:eastAsia="宋体" w:cs="宋体"/>
          <w:color w:val="auto"/>
          <w:sz w:val="24"/>
          <w:highlight w:val="none"/>
          <w:lang w:eastAsia="zh-CN"/>
        </w:rPr>
        <w:t>昆明市公共资源交易中心（http://116.55.195.54:8001/#/homePage）</w:t>
      </w:r>
      <w:r>
        <w:rPr>
          <w:rFonts w:hint="eastAsia" w:ascii="宋体" w:hAnsi="宋体" w:eastAsia="宋体" w:cs="宋体"/>
          <w:color w:val="auto"/>
          <w:sz w:val="24"/>
          <w:highlight w:val="none"/>
        </w:rPr>
        <w:t>上发布。招标人和招标代理机构对其他网站或媒体转载的公告及公告内容不承担任何责任。</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7.联系方式</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联系地址：太和街道和平新村15号</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联系人：何老师</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联系电话：15987180180</w:t>
      </w:r>
    </w:p>
    <w:p>
      <w:pPr>
        <w:spacing w:line="360" w:lineRule="auto"/>
        <w:ind w:firstLine="480" w:firstLineChars="200"/>
        <w:rPr>
          <w:rFonts w:ascii="宋体" w:hAnsi="宋体" w:eastAsia="宋体" w:cs="宋体"/>
          <w:color w:val="auto"/>
          <w:sz w:val="24"/>
          <w:highlight w:val="none"/>
        </w:rPr>
      </w:pP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招标代理机构：云南南方招标有限公司</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地  址：昆明市西华北路218号恒丰大厦（原东陆饭店）18楼</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联系人：陈工   王工</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电  话：13648742378   0871-64140599 </w:t>
      </w: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监督部门名称：官渡区政务服务管理局</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联系电话：0871-67176611</w:t>
      </w:r>
    </w:p>
    <w:p>
      <w:pPr>
        <w:spacing w:line="360" w:lineRule="auto"/>
        <w:ind w:firstLine="6480" w:firstLineChars="2700"/>
        <w:rPr>
          <w:rFonts w:ascii="宋体" w:hAnsi="宋体" w:eastAsia="宋体" w:cs="宋体"/>
          <w:color w:val="auto"/>
          <w:sz w:val="24"/>
          <w:highlight w:val="none"/>
        </w:rPr>
      </w:pPr>
    </w:p>
    <w:p>
      <w:pPr>
        <w:spacing w:line="360" w:lineRule="auto"/>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pPr>
        <w:pStyle w:val="3"/>
        <w:rPr>
          <w:color w:val="auto"/>
          <w:highlight w:val="none"/>
        </w:rPr>
      </w:pPr>
      <w:bookmarkStart w:id="5" w:name="_Toc16538"/>
      <w:r>
        <w:rPr>
          <w:rFonts w:hint="eastAsia"/>
          <w:color w:val="auto"/>
          <w:highlight w:val="none"/>
        </w:rPr>
        <w:t>第二章  投标人须知</w:t>
      </w:r>
      <w:bookmarkEnd w:id="2"/>
      <w:bookmarkEnd w:id="3"/>
      <w:bookmarkEnd w:id="5"/>
    </w:p>
    <w:p>
      <w:pPr>
        <w:pStyle w:val="4"/>
        <w:spacing w:before="156" w:after="156"/>
        <w:rPr>
          <w:rFonts w:ascii="宋体" w:hAnsi="宋体" w:cs="宋体"/>
          <w:color w:val="auto"/>
          <w:highlight w:val="none"/>
        </w:rPr>
      </w:pPr>
      <w:bookmarkStart w:id="6" w:name="_Toc327197751"/>
      <w:bookmarkStart w:id="7" w:name="_Toc25742"/>
      <w:bookmarkStart w:id="8" w:name="_Toc457937139"/>
      <w:r>
        <w:rPr>
          <w:rFonts w:hint="eastAsia" w:ascii="宋体" w:hAnsi="宋体" w:cs="宋体"/>
          <w:color w:val="auto"/>
          <w:highlight w:val="none"/>
        </w:rPr>
        <w:t>投标人须知前附表</w:t>
      </w:r>
      <w:bookmarkEnd w:id="6"/>
      <w:bookmarkEnd w:id="7"/>
      <w:bookmarkEnd w:id="8"/>
    </w:p>
    <w:tbl>
      <w:tblPr>
        <w:tblStyle w:val="18"/>
        <w:tblW w:w="9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1373"/>
        <w:gridCol w:w="6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b/>
                <w:color w:val="auto"/>
                <w:sz w:val="24"/>
                <w:highlight w:val="none"/>
              </w:rPr>
            </w:pPr>
            <w:r>
              <w:rPr>
                <w:rFonts w:hint="eastAsia" w:ascii="宋体" w:hAnsi="宋体" w:eastAsia="宋体" w:cs="宋体"/>
                <w:b/>
                <w:color w:val="auto"/>
                <w:kern w:val="0"/>
                <w:sz w:val="24"/>
                <w:highlight w:val="none"/>
              </w:rPr>
              <w:t>条款号</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条款名称</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1.1.2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招标人</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联系地址：太和街道和平新村15号</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联系人：何老师</w:t>
            </w:r>
          </w:p>
          <w:p>
            <w:pPr>
              <w:spacing w:line="3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联系电话：15987180180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1.1.3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招标代理机构</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5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招标代理机构：云南南方招标有限公司</w:t>
            </w:r>
          </w:p>
          <w:p>
            <w:pPr>
              <w:spacing w:line="35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地  址：昆明市西华北路218号恒丰大厦（原东陆饭店）18楼</w:t>
            </w:r>
          </w:p>
          <w:p>
            <w:pPr>
              <w:spacing w:line="35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联系人：陈工   王工</w:t>
            </w:r>
          </w:p>
          <w:p>
            <w:pPr>
              <w:spacing w:line="35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电  话：13648742378   0871-64140599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1.1.4</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（官渡区太和街道和平路前卫营片区三旧改造连片开发项目工作指挥部）项目新增地块房屋调查测绘服务</w:t>
            </w:r>
            <w:r>
              <w:rPr>
                <w:rFonts w:hint="eastAsia" w:ascii="宋体" w:hAnsi="宋体" w:eastAsia="宋体" w:cs="宋体"/>
                <w:color w:val="auto"/>
                <w:sz w:val="24"/>
                <w:highlight w:val="none"/>
                <w:lang w:eastAsia="zh-CN"/>
              </w:rPr>
              <w:t>(六标段)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1.1.5</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建设地点</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项目用地位于官渡区太和街道辖区范围内，具体改造四至范围为：六标段（F地块）</w:t>
            </w:r>
            <w:r>
              <w:rPr>
                <w:rFonts w:hint="eastAsia" w:ascii="宋体" w:hAnsi="宋体" w:eastAsia="宋体" w:cs="宋体"/>
                <w:color w:val="auto"/>
                <w:sz w:val="24"/>
                <w:highlight w:val="none"/>
                <w:lang w:eastAsia="zh-CN"/>
              </w:rPr>
              <w:t>双龙桥社区</w:t>
            </w:r>
            <w:r>
              <w:rPr>
                <w:rFonts w:ascii="宋体" w:hAnsi="宋体" w:eastAsia="宋体" w:cs="宋体"/>
                <w:color w:val="auto"/>
                <w:sz w:val="24"/>
                <w:highlight w:val="none"/>
              </w:rPr>
              <w:t>北至</w:t>
            </w:r>
            <w:r>
              <w:rPr>
                <w:rFonts w:hint="eastAsia" w:ascii="宋体" w:hAnsi="宋体" w:eastAsia="宋体" w:cs="宋体"/>
                <w:color w:val="auto"/>
                <w:sz w:val="24"/>
                <w:highlight w:val="none"/>
              </w:rPr>
              <w:t>拓东</w:t>
            </w:r>
            <w:r>
              <w:rPr>
                <w:rFonts w:ascii="宋体" w:hAnsi="宋体" w:eastAsia="宋体" w:cs="宋体"/>
                <w:color w:val="auto"/>
                <w:sz w:val="24"/>
                <w:highlight w:val="none"/>
              </w:rPr>
              <w:t>路、南至</w:t>
            </w:r>
            <w:r>
              <w:rPr>
                <w:rFonts w:hint="eastAsia" w:ascii="宋体" w:hAnsi="宋体" w:eastAsia="宋体" w:cs="宋体"/>
                <w:color w:val="auto"/>
                <w:sz w:val="24"/>
                <w:highlight w:val="none"/>
              </w:rPr>
              <w:t>塘双</w:t>
            </w:r>
            <w:r>
              <w:rPr>
                <w:rFonts w:ascii="宋体" w:hAnsi="宋体" w:eastAsia="宋体" w:cs="宋体"/>
                <w:color w:val="auto"/>
                <w:sz w:val="24"/>
                <w:highlight w:val="none"/>
              </w:rPr>
              <w:t>路、西至</w:t>
            </w:r>
            <w:r>
              <w:rPr>
                <w:rFonts w:hint="eastAsia" w:ascii="宋体" w:hAnsi="宋体" w:eastAsia="宋体" w:cs="宋体"/>
                <w:color w:val="auto"/>
                <w:sz w:val="24"/>
                <w:highlight w:val="none"/>
              </w:rPr>
              <w:t>临江</w:t>
            </w:r>
            <w:r>
              <w:rPr>
                <w:rFonts w:ascii="宋体" w:hAnsi="宋体" w:eastAsia="宋体" w:cs="宋体"/>
                <w:color w:val="auto"/>
                <w:sz w:val="24"/>
                <w:highlight w:val="none"/>
              </w:rPr>
              <w:t>路、东至</w:t>
            </w:r>
            <w:r>
              <w:rPr>
                <w:rFonts w:hint="eastAsia" w:ascii="宋体" w:hAnsi="宋体" w:eastAsia="宋体" w:cs="宋体"/>
                <w:color w:val="auto"/>
                <w:sz w:val="24"/>
                <w:highlight w:val="none"/>
              </w:rPr>
              <w:t>塘双</w:t>
            </w:r>
            <w:r>
              <w:rPr>
                <w:rFonts w:ascii="宋体" w:hAnsi="宋体" w:eastAsia="宋体" w:cs="宋体"/>
                <w:color w:val="auto"/>
                <w:sz w:val="24"/>
                <w:highlight w:val="none"/>
              </w:rPr>
              <w:t>路</w:t>
            </w:r>
            <w:r>
              <w:rPr>
                <w:rFonts w:hint="eastAsia" w:ascii="宋体" w:hAnsi="宋体" w:eastAsia="宋体" w:cs="宋体"/>
                <w:color w:val="auto"/>
                <w:sz w:val="24"/>
                <w:highlight w:val="none"/>
              </w:rPr>
              <w:t>，最终以招标人委托为准。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1.2.1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资金来源</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1.2.2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出资比例</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1.2.3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资金落实情况</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1.3.1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招标范围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房屋调查测绘服务，项目用地位于官渡区太和街道辖区范围内,总用地面积约1015亩，总建筑面积约1204070.00平方米。本项目共划分为三个标段，基本情况如下（</w:t>
            </w:r>
            <w:r>
              <w:rPr>
                <w:rFonts w:hint="eastAsia" w:ascii="宋体" w:hAnsi="宋体" w:eastAsia="宋体" w:cs="宋体"/>
                <w:bCs/>
                <w:color w:val="auto"/>
                <w:sz w:val="24"/>
                <w:highlight w:val="none"/>
              </w:rPr>
              <w:t>各标段具体范围以招标人书面委托为准）</w:t>
            </w:r>
            <w:r>
              <w:rPr>
                <w:rFonts w:hint="eastAsia" w:ascii="宋体" w:hAnsi="宋体" w:eastAsia="宋体" w:cs="宋体"/>
                <w:color w:val="auto"/>
                <w:sz w:val="24"/>
                <w:highlight w:val="none"/>
              </w:rPr>
              <w:t>：</w:t>
            </w:r>
          </w:p>
          <w:p>
            <w:pPr>
              <w:spacing w:line="36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四标段（D地块）：</w:t>
            </w:r>
            <w:r>
              <w:rPr>
                <w:rFonts w:ascii="宋体" w:hAnsi="宋体" w:eastAsia="宋体" w:cs="宋体"/>
                <w:color w:val="auto"/>
                <w:sz w:val="24"/>
                <w:highlight w:val="none"/>
              </w:rPr>
              <w:t>永胜路社区北至环城南路、南至昆明火车站、西至北京路、东至春城路</w:t>
            </w:r>
            <w:r>
              <w:rPr>
                <w:rFonts w:hint="eastAsia" w:ascii="宋体" w:hAnsi="宋体" w:eastAsia="宋体" w:cs="宋体"/>
                <w:color w:val="auto"/>
                <w:sz w:val="24"/>
                <w:highlight w:val="none"/>
              </w:rPr>
              <w:t xml:space="preserve">。其中占地面积约570亩，建筑面积约 </w:t>
            </w:r>
            <w:r>
              <w:rPr>
                <w:rFonts w:ascii="宋体" w:hAnsi="宋体" w:eastAsia="宋体" w:cs="宋体"/>
                <w:color w:val="auto"/>
                <w:sz w:val="24"/>
                <w:highlight w:val="none"/>
              </w:rPr>
              <w:t>649989</w:t>
            </w:r>
            <w:r>
              <w:rPr>
                <w:rFonts w:hint="eastAsia" w:ascii="宋体" w:hAnsi="宋体" w:eastAsia="宋体" w:cs="宋体"/>
                <w:color w:val="auto"/>
                <w:sz w:val="24"/>
                <w:highlight w:val="none"/>
              </w:rPr>
              <w:t>.00平方米（最终以实际测绘面积为准）。</w:t>
            </w:r>
          </w:p>
          <w:p>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五标段（E地块）：佴家湾社区</w:t>
            </w:r>
            <w:r>
              <w:rPr>
                <w:rFonts w:ascii="宋体" w:hAnsi="宋体" w:eastAsia="宋体" w:cs="宋体"/>
                <w:color w:val="auto"/>
                <w:sz w:val="24"/>
                <w:highlight w:val="none"/>
              </w:rPr>
              <w:t>北至环城南路、南至长润街、西至春城路、东至吴井路</w:t>
            </w:r>
            <w:r>
              <w:rPr>
                <w:rFonts w:hint="eastAsia" w:ascii="宋体" w:hAnsi="宋体" w:eastAsia="宋体" w:cs="宋体"/>
                <w:color w:val="auto"/>
                <w:sz w:val="24"/>
                <w:highlight w:val="none"/>
              </w:rPr>
              <w:t>。其中占地面积约288亩，建筑面积约</w:t>
            </w:r>
            <w:r>
              <w:rPr>
                <w:rFonts w:ascii="宋体" w:hAnsi="宋体" w:eastAsia="宋体" w:cs="宋体"/>
                <w:color w:val="auto"/>
                <w:sz w:val="24"/>
                <w:highlight w:val="none"/>
              </w:rPr>
              <w:t>318758</w:t>
            </w:r>
            <w:r>
              <w:rPr>
                <w:rFonts w:hint="eastAsia" w:ascii="宋体" w:hAnsi="宋体" w:eastAsia="宋体" w:cs="宋体"/>
                <w:color w:val="auto"/>
                <w:sz w:val="24"/>
                <w:highlight w:val="none"/>
              </w:rPr>
              <w:t>.00平方米（最终以实际测绘面积为准）。</w:t>
            </w:r>
          </w:p>
          <w:p>
            <w:pPr>
              <w:spacing w:line="36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六标段（F地块）：</w:t>
            </w:r>
            <w:r>
              <w:rPr>
                <w:rFonts w:hint="eastAsia" w:ascii="宋体" w:hAnsi="宋体" w:eastAsia="宋体" w:cs="宋体"/>
                <w:color w:val="auto"/>
                <w:sz w:val="24"/>
                <w:highlight w:val="none"/>
                <w:lang w:eastAsia="zh-CN"/>
              </w:rPr>
              <w:t>双龙桥社区</w:t>
            </w:r>
            <w:r>
              <w:rPr>
                <w:rFonts w:ascii="宋体" w:hAnsi="宋体" w:eastAsia="宋体" w:cs="宋体"/>
                <w:color w:val="auto"/>
                <w:sz w:val="24"/>
                <w:highlight w:val="none"/>
              </w:rPr>
              <w:t>北至</w:t>
            </w:r>
            <w:r>
              <w:rPr>
                <w:rFonts w:hint="eastAsia" w:ascii="宋体" w:hAnsi="宋体" w:eastAsia="宋体" w:cs="宋体"/>
                <w:color w:val="auto"/>
                <w:sz w:val="24"/>
                <w:highlight w:val="none"/>
              </w:rPr>
              <w:t>拓东</w:t>
            </w:r>
            <w:r>
              <w:rPr>
                <w:rFonts w:ascii="宋体" w:hAnsi="宋体" w:eastAsia="宋体" w:cs="宋体"/>
                <w:color w:val="auto"/>
                <w:sz w:val="24"/>
                <w:highlight w:val="none"/>
              </w:rPr>
              <w:t>路、南至</w:t>
            </w:r>
            <w:r>
              <w:rPr>
                <w:rFonts w:hint="eastAsia" w:ascii="宋体" w:hAnsi="宋体" w:eastAsia="宋体" w:cs="宋体"/>
                <w:color w:val="auto"/>
                <w:sz w:val="24"/>
                <w:highlight w:val="none"/>
              </w:rPr>
              <w:t>塘双</w:t>
            </w:r>
            <w:r>
              <w:rPr>
                <w:rFonts w:ascii="宋体" w:hAnsi="宋体" w:eastAsia="宋体" w:cs="宋体"/>
                <w:color w:val="auto"/>
                <w:sz w:val="24"/>
                <w:highlight w:val="none"/>
              </w:rPr>
              <w:t>路、西至</w:t>
            </w:r>
            <w:r>
              <w:rPr>
                <w:rFonts w:hint="eastAsia" w:ascii="宋体" w:hAnsi="宋体" w:eastAsia="宋体" w:cs="宋体"/>
                <w:color w:val="auto"/>
                <w:sz w:val="24"/>
                <w:highlight w:val="none"/>
              </w:rPr>
              <w:t>临江</w:t>
            </w:r>
            <w:r>
              <w:rPr>
                <w:rFonts w:ascii="宋体" w:hAnsi="宋体" w:eastAsia="宋体" w:cs="宋体"/>
                <w:color w:val="auto"/>
                <w:sz w:val="24"/>
                <w:highlight w:val="none"/>
              </w:rPr>
              <w:t>路、东至</w:t>
            </w:r>
            <w:r>
              <w:rPr>
                <w:rFonts w:hint="eastAsia" w:ascii="宋体" w:hAnsi="宋体" w:eastAsia="宋体" w:cs="宋体"/>
                <w:color w:val="auto"/>
                <w:sz w:val="24"/>
                <w:highlight w:val="none"/>
              </w:rPr>
              <w:t>塘双</w:t>
            </w:r>
            <w:r>
              <w:rPr>
                <w:rFonts w:ascii="宋体" w:hAnsi="宋体" w:eastAsia="宋体" w:cs="宋体"/>
                <w:color w:val="auto"/>
                <w:sz w:val="24"/>
                <w:highlight w:val="none"/>
              </w:rPr>
              <w:t>路</w:t>
            </w:r>
            <w:r>
              <w:rPr>
                <w:rFonts w:hint="eastAsia" w:ascii="宋体" w:hAnsi="宋体" w:eastAsia="宋体" w:cs="宋体"/>
                <w:color w:val="auto"/>
                <w:sz w:val="24"/>
                <w:highlight w:val="none"/>
              </w:rPr>
              <w:t>。其中占地面积约157亩，建筑面积约235323.00平方米（最终以实际测绘面积为准）。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1.3.2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招标内容</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完成</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用地所涉及到的房屋调查测绘所有工作。房屋初步调查：包括但不限于权利人、房屋权属、地上建（构）筑物及附属设施、配套设施初步调查及房产面积、地上建（构）筑物及附属设施、配套设施面积初步测绘，完成房屋测绘工作并出具《前期房屋调查报告》及建(构)筑物及附属设施面积汇总表、房屋测绘平面图等（具体以招标人书面委托为准）。房屋入户调查：包括但不限于权利人、房屋权属、地上建（构）筑物及附属设施、配套设施入户调查及房产面积、地上建（构）筑物及附属设施、配套设施面积入户测绘，完成《入户测量及六方签证资料》、房产测绘平面图、房屋测绘建(构)筑物及附属设施面积汇总表、房屋测绘建(构)筑物及附属设施签证表等（具体以招标人书面委托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2"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1.3.3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标段划分</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本项目共分为三个标段。投标人可同时参加多个标段的投标，但应分别编制、递交投标文件，且只能中选一个标段。投标人若已在先评审的标段被推荐为第一中标候选人，仍参加后续标段的评审，</w:t>
            </w:r>
            <w:r>
              <w:rPr>
                <w:rFonts w:hint="eastAsia" w:ascii="宋体" w:hAnsi="宋体" w:eastAsia="宋体" w:cs="宋体"/>
                <w:b/>
                <w:color w:val="auto"/>
                <w:sz w:val="24"/>
                <w:highlight w:val="none"/>
                <w:lang w:val="en-US" w:eastAsia="zh-CN"/>
              </w:rPr>
              <w:t>但</w:t>
            </w:r>
            <w:r>
              <w:rPr>
                <w:rFonts w:hint="eastAsia" w:ascii="宋体" w:hAnsi="宋体" w:eastAsia="宋体" w:cs="宋体"/>
                <w:b/>
                <w:color w:val="auto"/>
                <w:sz w:val="24"/>
                <w:highlight w:val="none"/>
              </w:rPr>
              <w:t>不再被推荐为</w:t>
            </w:r>
            <w:r>
              <w:rPr>
                <w:rFonts w:hint="eastAsia" w:ascii="宋体" w:hAnsi="宋体" w:eastAsia="宋体" w:cs="宋体"/>
                <w:b/>
                <w:color w:val="auto"/>
                <w:sz w:val="24"/>
                <w:highlight w:val="none"/>
                <w:lang w:val="en-US" w:eastAsia="zh-CN"/>
              </w:rPr>
              <w:t>后续</w:t>
            </w:r>
            <w:r>
              <w:rPr>
                <w:rFonts w:hint="eastAsia" w:ascii="宋体" w:hAnsi="宋体" w:eastAsia="宋体" w:cs="宋体"/>
                <w:b/>
                <w:color w:val="auto"/>
                <w:sz w:val="24"/>
                <w:highlight w:val="none"/>
              </w:rPr>
              <w:t>其他标段的中标候选人</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评标顺序按照官渡区太和街道跨境合作先行区太和1903（官渡区太和街道和平路前卫营片区三旧改造连片开发项目工作指挥部）项目新增地块房屋调查测绘服务四、五、六标段顺序依次进行</w:t>
            </w:r>
            <w:r>
              <w:rPr>
                <w:rFonts w:hint="eastAsia" w:ascii="宋体" w:hAnsi="宋体" w:eastAsia="宋体" w:cs="宋体"/>
                <w:b/>
                <w:color w:val="auto"/>
                <w:sz w:val="24"/>
                <w:highlight w:val="none"/>
                <w:lang w:eastAsia="zh-CN"/>
              </w:rPr>
              <w:t>。</w:t>
            </w:r>
          </w:p>
          <w:p>
            <w:pPr>
              <w:spacing w:line="360" w:lineRule="exact"/>
              <w:rPr>
                <w:rFonts w:ascii="宋体" w:hAnsi="宋体" w:eastAsia="宋体" w:cs="宋体"/>
                <w:b/>
                <w:color w:val="auto"/>
                <w:sz w:val="24"/>
                <w:highlight w:val="none"/>
              </w:rPr>
            </w:pPr>
            <w:r>
              <w:rPr>
                <w:rFonts w:hint="eastAsia" w:ascii="宋体" w:hAnsi="宋体" w:eastAsia="宋体" w:cs="宋体"/>
                <w:b/>
                <w:bCs/>
                <w:color w:val="auto"/>
                <w:sz w:val="24"/>
                <w:highlight w:val="none"/>
              </w:rPr>
              <w:t>注：如参与本项目的潜在投标人同时参与</w:t>
            </w:r>
            <w:r>
              <w:rPr>
                <w:rFonts w:hint="eastAsia" w:ascii="宋体" w:hAnsi="宋体" w:eastAsia="宋体" w:cs="宋体"/>
                <w:b/>
                <w:bCs/>
                <w:color w:val="auto"/>
                <w:sz w:val="24"/>
                <w:highlight w:val="none"/>
                <w:lang w:eastAsia="zh-CN"/>
              </w:rPr>
              <w:t>官渡区太和街道跨境合作先行区太和1903</w:t>
            </w:r>
            <w:r>
              <w:rPr>
                <w:rFonts w:hint="eastAsia" w:ascii="宋体" w:hAnsi="宋体" w:eastAsia="宋体" w:cs="宋体"/>
                <w:b/>
                <w:bCs/>
                <w:color w:val="auto"/>
                <w:sz w:val="24"/>
                <w:highlight w:val="none"/>
              </w:rPr>
              <w:t>（官渡区太和街道和平路前卫营片区三旧改造连片开发项目工作指挥部）项目新增地块土地利用现状调查及土地勘测定界服务项目的投标，若已在</w:t>
            </w:r>
            <w:r>
              <w:rPr>
                <w:rFonts w:hint="eastAsia" w:ascii="宋体" w:hAnsi="宋体" w:eastAsia="宋体" w:cs="宋体"/>
                <w:b/>
                <w:bCs/>
                <w:color w:val="auto"/>
                <w:sz w:val="24"/>
                <w:highlight w:val="none"/>
                <w:lang w:eastAsia="zh-CN"/>
              </w:rPr>
              <w:t>官渡区太和街道跨境合作先行区太和1903</w:t>
            </w:r>
            <w:r>
              <w:rPr>
                <w:rFonts w:hint="eastAsia" w:ascii="宋体" w:hAnsi="宋体" w:eastAsia="宋体" w:cs="宋体"/>
                <w:b/>
                <w:bCs/>
                <w:color w:val="auto"/>
                <w:sz w:val="24"/>
                <w:highlight w:val="none"/>
              </w:rPr>
              <w:t>（官渡区太和街道和平路前卫营片区三旧改造连片开发项目工作指挥部）项目新增地块土地利用现状调查及土地勘测定界服务项目被推荐为第一中标候选人，仍参加本项目</w:t>
            </w:r>
            <w:r>
              <w:rPr>
                <w:rFonts w:hint="eastAsia" w:ascii="宋体" w:hAnsi="宋体" w:eastAsia="宋体" w:cs="宋体"/>
                <w:b/>
                <w:color w:val="auto"/>
                <w:sz w:val="24"/>
                <w:highlight w:val="none"/>
              </w:rPr>
              <w:t>的评审，但不再参与本项目的中标候选人资格推荐排序。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1.3.4</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服务周期</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分为两个阶段</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第一阶段：房屋初步调查</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签订合同之日起至本项目完成为止，满足招标人要求（以招标人书面委托起止日期为准）。</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第二阶段：房屋入户调查</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签订合同之日起至本项目完成为止，满足招标人要求（以招标人书面委托起止日期为准）。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1.3.5</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质量要求</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房屋调查测绘应符合国家、行业、地方现行的相关标准，确保成果资料完整、真实准确、清晰有据，符合招标人要求及项目需求，并一次性通过相关部门审查。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1.4.1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投标人资质条件、能力和信誉</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1. 第一中标候选人的行贿犯罪档案信息查询，招标人等可以通过“中国裁判文书网”查询相关信息。</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2. 本项目对失信被执行人，按照《关于在招标投标活动中对失信被执行人实施联合惩戒的通知》（法【2016】285号）执行。通过“信用中国”网站（www.creditchina.gov.cn）或各级信用信息共享平台查询投标人是否为失信被执行人，提供给评标委员会。</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对被列入失信被执行人的投标人处理方法和评标标准：按照《昆明市严重失信主体公共资源交易领域惩戒实施细则》（昆政规【2019】2号）和《关于规范失信行为的行政处罚信息在公共资源交易领域失信联合惩戒运用的通知》（昆政务通〔2020〕9号）文件规定执行。</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3.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社部门函请出具中标人“工资支付信用记录”等相关记录信息。</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4.对严重失信主体按照《昆明市严重失信主体公共资源交易领域惩戒实施细则》（昆政规【2019】2号）执行。</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5. 其他：</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5.1投标人须为独立企业（事业）法人或其他组织，具备有效的营业执照或事业单位法人证书，且投标人名称与营业执照一致。</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5.2资质要求：具有行业行政主管部门核发的测绘乙级及其以上资质（业务范围含不动产测绘：地籍测绘、房屋测绘、行政区域界线测绘）且在有效期内。</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5.3业绩要求：自2018年1月1日至今至少承担过2项类似业绩（</w:t>
            </w:r>
            <w:r>
              <w:rPr>
                <w:rFonts w:hint="eastAsia" w:ascii="宋体" w:hAnsi="宋体" w:eastAsia="宋体" w:cs="宋体"/>
                <w:color w:val="auto"/>
                <w:sz w:val="24"/>
                <w:highlight w:val="none"/>
                <w:lang w:eastAsia="zh-CN"/>
              </w:rPr>
              <w:t>类似业绩指类似城中村拆迁或改造或一级开发或征地拆迁或土地收储或棚户区改造或三旧改造项目的房产测绘或房屋测量或房屋调查、不动产数据整合、不动产登记等相关业绩</w:t>
            </w:r>
            <w:r>
              <w:rPr>
                <w:rFonts w:hint="eastAsia" w:ascii="宋体" w:hAnsi="宋体" w:eastAsia="宋体" w:cs="宋体"/>
                <w:color w:val="auto"/>
                <w:sz w:val="24"/>
                <w:highlight w:val="none"/>
              </w:rPr>
              <w:t>）。业绩证明材料为合同协议书或中标通知书或所服务业主出具的证明材料。</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5.4项目负责人要求：拟派项目负责人须具备测绘（或测量）专业中级及以上职称或具备注册测绘师资格证书。</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5.5财务要求：提供近三年（2018年～2020年）经第三方审计机构审计的审计报告及财务报表（包括资产负债表、现金流量表、利润表等）。成立不满三年的企业提供成立至今经审计机构审计的审计报告及财务报表（包括资产负债表、现金流量表、利润表等）。</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5.6信誉要求：近三年（2019年1月1日至今）无因投标人违约或不恰当履约引起的合同中止、纠纷、争议、仲裁和诉讼记录被项目所在地建筑市场监管公共服务平台列入黑名单；投标人在经营活动中没有重大违法记录，投标人没有处于被责令停业，无因企业不良行为记录被项目所在地行政主管部门暂停或取消投标资格，无财产被接管、冻结、破产等状态，没有被项目所在地政府或国家部委禁止市场准入等情形。投标人未被“信用中国（网址：https://www.creditchina.gov.cn/）”列入失信被执行人名单；投标人未被“国家企业信用信息公示系统（网址：http://www.gsxt.gov.cn/index.html）”列入严重违法失信企业名单（黑名单）；投标人在“云南省政府采购网（网址：</w:t>
            </w:r>
            <w:r>
              <w:rPr>
                <w:color w:val="auto"/>
                <w:highlight w:val="none"/>
              </w:rPr>
              <w:fldChar w:fldCharType="begin"/>
            </w:r>
            <w:r>
              <w:rPr>
                <w:color w:val="auto"/>
                <w:highlight w:val="none"/>
              </w:rPr>
              <w:instrText xml:space="preserve"> HYPERLINK "http://www.yngp.com/）" </w:instrText>
            </w:r>
            <w:r>
              <w:rPr>
                <w:color w:val="auto"/>
                <w:highlight w:val="none"/>
              </w:rPr>
              <w:fldChar w:fldCharType="separate"/>
            </w:r>
            <w:r>
              <w:rPr>
                <w:rFonts w:hint="eastAsia" w:ascii="宋体" w:hAnsi="宋体" w:eastAsia="宋体" w:cs="宋体"/>
                <w:color w:val="auto"/>
                <w:sz w:val="24"/>
                <w:highlight w:val="none"/>
              </w:rPr>
              <w:t>http://www.yngp.com/）”中没有政府采购严重违法失信行为信息记录。</w:t>
            </w:r>
            <w:r>
              <w:rPr>
                <w:rFonts w:hint="eastAsia" w:ascii="宋体" w:hAnsi="宋体" w:eastAsia="宋体" w:cs="宋体"/>
                <w:color w:val="auto"/>
                <w:sz w:val="24"/>
                <w:highlight w:val="none"/>
              </w:rPr>
              <w:fldChar w:fldCharType="end"/>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5.7投标人不得存在以下情形：单位负责人为同一人或者存在控股、管理关系的不同投标人，不得参加同一项目（包括所有标段）的投标活动。</w:t>
            </w:r>
          </w:p>
          <w:p>
            <w:pPr>
              <w:spacing w:line="36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5.8</w:t>
            </w:r>
            <w:r>
              <w:rPr>
                <w:rFonts w:hint="eastAsia" w:ascii="宋体" w:hAnsi="宋体" w:eastAsia="宋体" w:cs="宋体"/>
                <w:color w:val="auto"/>
                <w:sz w:val="24"/>
                <w:highlight w:val="none"/>
                <w:lang w:val="en-US" w:eastAsia="zh-CN"/>
              </w:rPr>
              <w:t>已在“昆明市官渡区太和街道和平路前卫营片区三旧连片改造项目房屋调查测绘服务”一、二、三标段项目中的中标人不得再参与本项目（包括所有标段）的投标活动。</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注：本项目</w:t>
            </w:r>
            <w:r>
              <w:rPr>
                <w:rFonts w:hint="eastAsia" w:ascii="宋体" w:hAnsi="宋体" w:eastAsia="宋体" w:cs="宋体"/>
                <w:color w:val="auto"/>
                <w:sz w:val="24"/>
                <w:highlight w:val="none"/>
              </w:rPr>
              <w:t>拟派项目团队人员</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“昆明市官渡区太和街道和平路前卫营片区三旧连片改造项目房屋调查测绘服务”</w:t>
            </w:r>
            <w:r>
              <w:rPr>
                <w:rFonts w:hint="eastAsia" w:ascii="宋体" w:hAnsi="宋体" w:eastAsia="宋体" w:cs="宋体"/>
                <w:color w:val="auto"/>
                <w:sz w:val="24"/>
                <w:highlight w:val="none"/>
                <w:lang w:val="en-US" w:eastAsia="zh-CN"/>
              </w:rPr>
              <w:t>一、二、三标段中标项目</w:t>
            </w:r>
            <w:r>
              <w:rPr>
                <w:rFonts w:hint="eastAsia" w:ascii="宋体" w:hAnsi="宋体" w:eastAsia="宋体" w:cs="宋体"/>
                <w:color w:val="auto"/>
                <w:sz w:val="24"/>
                <w:highlight w:val="none"/>
              </w:rPr>
              <w:t>团队人员</w:t>
            </w:r>
            <w:r>
              <w:rPr>
                <w:rFonts w:hint="eastAsia" w:ascii="宋体" w:hAnsi="宋体" w:eastAsia="宋体" w:cs="宋体"/>
                <w:color w:val="auto"/>
                <w:sz w:val="24"/>
                <w:highlight w:val="none"/>
                <w:lang w:val="en-US" w:eastAsia="zh-CN"/>
              </w:rPr>
              <w:t>如有雷同，视为围标串标行为，一经发现取消其投标和中标资格</w:t>
            </w:r>
            <w:r>
              <w:rPr>
                <w:rFonts w:hint="eastAsia" w:ascii="宋体" w:hAnsi="宋体" w:eastAsia="宋体" w:cs="宋体"/>
                <w:color w:val="auto"/>
                <w:sz w:val="24"/>
                <w:highlight w:val="none"/>
              </w:rPr>
              <w:t>。</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本次资格审查方式采用</w:t>
            </w:r>
            <w:r>
              <w:rPr>
                <w:rFonts w:hint="eastAsia" w:ascii="宋体" w:hAnsi="宋体" w:eastAsia="宋体" w:cs="宋体"/>
                <w:color w:val="auto"/>
                <w:sz w:val="24"/>
                <w:highlight w:val="none"/>
                <w:u w:val="single"/>
              </w:rPr>
              <w:t> </w:t>
            </w:r>
            <w:r>
              <w:rPr>
                <w:rFonts w:hint="eastAsia" w:ascii="宋体" w:hAnsi="宋体" w:eastAsia="宋体" w:cs="宋体"/>
                <w:bCs/>
                <w:color w:val="auto"/>
                <w:sz w:val="24"/>
                <w:highlight w:val="none"/>
                <w:u w:val="single"/>
              </w:rPr>
              <w:t>资格后审 </w:t>
            </w:r>
            <w:r>
              <w:rPr>
                <w:rFonts w:hint="eastAsia" w:ascii="宋体" w:hAnsi="宋体" w:eastAsia="宋体" w:cs="宋体"/>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2"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1.4.2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是否接受联合体投标</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u w:val="single"/>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1.9.1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踏勘现场</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1.10.1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投标预备会</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1.10.2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投标人提出问题的截止时间和方法</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即在投标截止时间10日前，所有获取了招标文件的潜在投标人凭企业数字证书（USBKEY）登录云南省公共资源交易平台（点击切换至“昆明市”）（http://116.55.195.54:8001/#/homePage），通过网络在线方式进行不署名提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1.10.3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招标人澄清的时间和方法</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即在投标截止时间至少15日前，由招标人以补遗书方式按程序报有关主管部门备案后，提交昆明市公共资源交易中心统一通过网络向潜在投标人发布，且投标人不须回函确认，所有获取了招标文件的潜在投标人登录云南省公共资源交易平台（点击切换至“昆明市”）（http://116.55.195.54:8001/#/homePage）凭企业身份认证数字证书（USBKEY）查看澄清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1.11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分包</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1.12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偏离</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投标人填报投标函附录时,在满足招标文件实质性要求的基础上,可以提出比招标文件要求更有利于招标人的承诺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构成招标文件的其他材料</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招标人发出的答疑书、补遗书或通知等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2.2.1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投标人要求澄清招标文件的截止时间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同1.10.2的时间要求</w:t>
            </w:r>
          </w:p>
          <w:p>
            <w:pPr>
              <w:spacing w:line="240" w:lineRule="auto"/>
              <w:rPr>
                <w:rFonts w:ascii="宋体" w:hAnsi="宋体" w:eastAsia="宋体" w:cs="宋体"/>
                <w:color w:val="auto"/>
                <w:sz w:val="24"/>
                <w:highlight w:val="none"/>
              </w:rPr>
            </w:pPr>
            <w:r>
              <w:rPr>
                <w:rFonts w:hint="eastAsia" w:ascii="宋体" w:hAnsi="宋体" w:eastAsia="宋体" w:cs="宋体"/>
                <w:color w:val="auto"/>
                <w:sz w:val="24"/>
                <w:szCs w:val="24"/>
                <w:highlight w:val="none"/>
              </w:rPr>
              <w:t>投标人应仔细阅读和检查招标文件的全部内容。如发现缺页或附件不全，应及时向招标人提出，以便补齐。如有疑问，应在投标人须知前附表规定的时间前以在线不署名提交方式登录云南省公共资源交易平台（点击切换至“昆明市”）（http://116.55.195.54:8001/#/homePage），要求招标人对招标文件予以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2.2.2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投标截止时间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_____年___月___日___时___分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2.2.3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投标人确认收到招标文件澄清的时间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投标人自行登陆云南省公共资源交易平台（点击切换至“昆明市”）（http://116.55.195.54:8001/#/homePage）获取澄清，无须回复确认已收到该澄清。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2.3.2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投标人确认收到招标文件修改的时间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投标人自行登录云南省公共资源交易平台（点击切换至“昆明市”）（http://116.55.195.54:8001/#/homePage）收取修改内容，无须回复确认已收到该修改。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投标报价及招标控制价</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1、投标报价：</w:t>
            </w:r>
            <w:r>
              <w:rPr>
                <w:rFonts w:hint="eastAsia" w:ascii="宋体" w:hAnsi="宋体" w:eastAsia="宋体"/>
                <w:color w:val="auto"/>
                <w:sz w:val="24"/>
                <w:highlight w:val="none"/>
              </w:rPr>
              <w:t>本项目采用全费用综合单价包干模式，最终按“审计部门审定的实际测算工程量×中标综合单价”为最终结算依据。</w:t>
            </w:r>
          </w:p>
          <w:p>
            <w:pPr>
              <w:pStyle w:val="10"/>
              <w:ind w:left="0"/>
              <w:rPr>
                <w:rFonts w:hint="eastAsia" w:ascii="宋体" w:hAnsi="宋体" w:cs="宋体"/>
                <w:color w:val="auto"/>
                <w:sz w:val="24"/>
                <w:highlight w:val="none"/>
              </w:rPr>
            </w:pPr>
            <w:r>
              <w:rPr>
                <w:rFonts w:hint="eastAsia" w:ascii="宋体" w:hAnsi="宋体" w:cs="宋体"/>
                <w:color w:val="auto"/>
                <w:sz w:val="24"/>
                <w:highlight w:val="none"/>
              </w:rPr>
              <w:t>2、招标控制价：测绘费2.10元/平方米</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不含</w:t>
            </w:r>
            <w:r>
              <w:rPr>
                <w:rFonts w:hint="eastAsia" w:ascii="宋体" w:hAnsi="宋体" w:eastAsia="宋体" w:cs="宋体"/>
                <w:color w:val="auto"/>
                <w:kern w:val="2"/>
                <w:sz w:val="24"/>
                <w:szCs w:val="18"/>
                <w:highlight w:val="none"/>
                <w:lang w:val="en-US" w:eastAsia="zh-CN" w:bidi="ar-SA"/>
              </w:rPr>
              <w:t>房屋附属设施、配套设施测绘费</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，投标人投标报价不得高于招标控制价，否则按否决投标处理。</w:t>
            </w:r>
          </w:p>
          <w:p>
            <w:pPr>
              <w:spacing w:line="360" w:lineRule="auto"/>
              <w:jc w:val="left"/>
              <w:rPr>
                <w:rFonts w:hint="eastAsia" w:ascii="宋体" w:hAnsi="宋体" w:eastAsia="宋体" w:cs="宋体"/>
                <w:color w:val="auto"/>
                <w:kern w:val="2"/>
                <w:sz w:val="24"/>
                <w:szCs w:val="18"/>
                <w:highlight w:val="none"/>
                <w:lang w:val="en-US" w:eastAsia="zh-CN" w:bidi="ar-SA"/>
              </w:rPr>
            </w:pPr>
            <w:r>
              <w:rPr>
                <w:rFonts w:hint="eastAsia" w:ascii="宋体" w:hAnsi="宋体" w:eastAsia="宋体" w:cs="宋体"/>
                <w:color w:val="auto"/>
                <w:kern w:val="2"/>
                <w:sz w:val="24"/>
                <w:szCs w:val="18"/>
                <w:highlight w:val="none"/>
                <w:lang w:val="en-US" w:eastAsia="zh-CN" w:bidi="ar-SA"/>
              </w:rPr>
              <w:t>房屋附属设施、配套设施调查，测绘费按如下标准计算：</w:t>
            </w:r>
          </w:p>
          <w:p>
            <w:pPr>
              <w:rPr>
                <w:rFonts w:hint="eastAsia" w:ascii="宋体" w:hAnsi="宋体" w:eastAsia="宋体" w:cs="宋体"/>
                <w:color w:val="auto"/>
                <w:kern w:val="2"/>
                <w:sz w:val="24"/>
                <w:szCs w:val="18"/>
                <w:highlight w:val="none"/>
                <w:lang w:val="en-US" w:eastAsia="zh-CN" w:bidi="ar-SA"/>
              </w:rPr>
            </w:pPr>
            <w:r>
              <w:rPr>
                <w:rFonts w:hint="eastAsia" w:ascii="宋体" w:hAnsi="宋体" w:eastAsia="宋体" w:cs="宋体"/>
                <w:color w:val="auto"/>
                <w:kern w:val="2"/>
                <w:sz w:val="24"/>
                <w:szCs w:val="18"/>
                <w:highlight w:val="none"/>
                <w:lang w:val="en-US" w:eastAsia="zh-CN" w:bidi="ar-SA"/>
              </w:rPr>
              <w:t>除昆明市人民政府办公厅关于印发昆明市集体土地上房屋拆迁补偿安置指导意见（昆政办【2015】103号）文件列明符合赔偿标准的23项附属设施、配套设施，其中含平方米的附属设施、配套设施可以计费，均按 0.60元/平方米计算。其余房屋附属设施及配套设施由乙方提供无偿服务，乙方不得收取甲方任何费用。</w:t>
            </w:r>
          </w:p>
          <w:p>
            <w:pPr>
              <w:pStyle w:val="10"/>
              <w:ind w:left="0"/>
              <w:rPr>
                <w:color w:val="auto"/>
                <w:highlight w:val="none"/>
              </w:rPr>
            </w:pPr>
            <w:r>
              <w:rPr>
                <w:rFonts w:hint="eastAsia" w:ascii="宋体" w:hAnsi="宋体" w:cs="宋体"/>
                <w:color w:val="auto"/>
                <w:sz w:val="24"/>
                <w:highlight w:val="none"/>
              </w:rPr>
              <w:t>3、测绘费报价中包含房屋初步调查及入户调查测绘等所有工作内容的包干单价费用。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3.3.1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90 日历天，从投标截止之日算起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3.4.1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投标保证金</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一、投标保证金的提交方式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保证金的提交方式：银行转账、保险保函、担保保函、银行保函，投标人可根据实际情况，选择保证金的提供或缴纳方式。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（一）银行转账：投标（交易）保证金应以投标人自身的名义提交，并且必须从其基本账户转出，不得以分支机构其他名义提交（按照规定，投标人可以为自然人的项目除外）。</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二）保险保函：1.当投标人未能按照招投标文件要求履行投标义务而导致招标人受到损失时，由保险公司按照保险合同对招标人的损失承担代偿责任。2.投标人在支付投标保证金保险费时，必须使用基本账号资金支付购买，未从基本账户转出支付保费造成经济纠纷的应由企业自行承担。3.在投标保证保险中，投标人为投保人，招标人为被保险人。</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（三）担保保函：1.当投标人未能按照招投标文件要求履行投标义务而导致招标人受到损失时，由担保公司按照要求对招标人的损失承担代偿责任。2.在投标担保中，投标人为被担保人，招标人为收益人。</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（四）银行保函：1.当投标人未能按照招投标文件要求履行投标义务而导致招标人受到损失时，由担保银行按照要求对招标人的损失承担代偿责任。2.在投标担保中，投标人为被担保人，招标人为收益人。</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二、投标保证金的提交时间</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保证金到账截止时间为投标截止时间，到账时间以实际到达专用账号时间为准，未按时到账的保证金视为未提交；采用投标保函方式的，在投标截止时间前，投标人应当提供有效的投标保函。</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三、投标保证金的办理程序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（一）采用银行转账方式：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（官渡区太和街道和平路前卫营片区三旧改造连片开发项目工作指挥部）项目新增地块房屋调查测绘服务</w:t>
            </w:r>
            <w:r>
              <w:rPr>
                <w:rFonts w:hint="eastAsia" w:ascii="宋体" w:hAnsi="宋体" w:eastAsia="宋体" w:cs="宋体"/>
                <w:color w:val="auto"/>
                <w:sz w:val="24"/>
                <w:highlight w:val="none"/>
                <w:lang w:eastAsia="zh-CN"/>
              </w:rPr>
              <w:t>（六标段）</w:t>
            </w:r>
            <w:r>
              <w:rPr>
                <w:rFonts w:hint="eastAsia" w:ascii="宋体" w:hAnsi="宋体" w:eastAsia="宋体" w:cs="宋体"/>
                <w:color w:val="auto"/>
                <w:sz w:val="24"/>
                <w:highlight w:val="none"/>
              </w:rPr>
              <w:t>。</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户名：昆明市公共资源交易中心</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开户行：招商银行昆明小康大道支行</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保证金提交账号：8719 0732 6010 906</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保证金金额：¥ </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0000.00元（大写：</w:t>
            </w:r>
            <w:r>
              <w:rPr>
                <w:rFonts w:hint="eastAsia" w:ascii="宋体" w:hAnsi="宋体" w:eastAsia="宋体" w:cs="宋体"/>
                <w:color w:val="auto"/>
                <w:sz w:val="24"/>
                <w:highlight w:val="none"/>
                <w:lang w:val="en-US" w:eastAsia="zh-CN"/>
              </w:rPr>
              <w:t>壹</w:t>
            </w:r>
            <w:r>
              <w:rPr>
                <w:rFonts w:hint="eastAsia" w:ascii="宋体" w:hAnsi="宋体" w:eastAsia="宋体" w:cs="宋体"/>
                <w:color w:val="auto"/>
                <w:sz w:val="24"/>
                <w:highlight w:val="none"/>
              </w:rPr>
              <w:t>万元整）。</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办理程序：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潜在投标人转账到保证金专项银行账户后，潜在投标人需要使用数字证书（CA）登录“</w:t>
            </w:r>
            <w:r>
              <w:rPr>
                <w:rFonts w:hint="eastAsia" w:ascii="宋体" w:hAnsi="宋体" w:eastAsia="宋体" w:cs="宋体"/>
                <w:color w:val="auto"/>
                <w:sz w:val="24"/>
                <w:highlight w:val="none"/>
                <w:lang w:eastAsia="zh-CN"/>
              </w:rPr>
              <w:t>云南省公共资源交易平台（点击切换至“昆明市”）</w:t>
            </w:r>
            <w:r>
              <w:rPr>
                <w:rFonts w:hint="eastAsia" w:ascii="宋体" w:hAnsi="宋体" w:eastAsia="宋体" w:cs="宋体"/>
                <w:color w:val="auto"/>
                <w:sz w:val="24"/>
                <w:highlight w:val="none"/>
              </w:rPr>
              <w:t>（网址：</w:t>
            </w:r>
            <w:r>
              <w:rPr>
                <w:rFonts w:hint="eastAsia" w:ascii="宋体" w:hAnsi="宋体" w:eastAsia="宋体" w:cs="宋体"/>
                <w:color w:val="auto"/>
                <w:sz w:val="24"/>
                <w:highlight w:val="none"/>
                <w:lang w:eastAsia="zh-CN"/>
              </w:rPr>
              <w:t>http://116.55.195.54:8001/#/homePage</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在投标保证金模块找到对应项目进行确认并打印确认回执；若保证金出现未绑定导致无法确认的请及时联系0871-67432024</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19187160207（市公管局财务室）或400-9618-998。</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注：1、保证金必须从投标方的法人基本账户划出；</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2、保证金转账方式仅限电汇、网银方式，其他转账方式视为无效；</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3、保证金截止时间为投标截止时间，到账时间以保证金专用账户实际到账时间为准，未按时到账的保证金无效；</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4、拒绝私人账户汇款及银行存现；</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5、投标保证金一般不得超过投标估算值的2%，最高不能超过80万元。</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请潜在投标人在跨行转账时考虑以下因素：1、按照人民银行相关规定，跨行转账在工作日下午4点半前办理手续，可以保证实时跨行到账；2、跨行转账尽量采用电汇方式。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（二）采用保险保函方式：</w:t>
            </w:r>
          </w:p>
          <w:p>
            <w:pPr>
              <w:snapToGrid w:val="0"/>
              <w:spacing w:line="36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（官渡区太和街道和平路前卫营片区三旧改造连片开发项目工作指挥部）项目新增地块房屋调查测绘服务</w:t>
            </w:r>
            <w:r>
              <w:rPr>
                <w:rFonts w:hint="eastAsia" w:ascii="宋体" w:hAnsi="宋体" w:eastAsia="宋体" w:cs="宋体"/>
                <w:color w:val="auto"/>
                <w:sz w:val="24"/>
                <w:highlight w:val="none"/>
                <w:lang w:eastAsia="zh-CN"/>
              </w:rPr>
              <w:t>（六标段）</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保证金金额：¥ </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0000.00元（大写：</w:t>
            </w:r>
            <w:r>
              <w:rPr>
                <w:rFonts w:hint="eastAsia" w:ascii="宋体" w:hAnsi="宋体" w:eastAsia="宋体" w:cs="宋体"/>
                <w:color w:val="auto"/>
                <w:sz w:val="24"/>
                <w:highlight w:val="none"/>
                <w:lang w:val="en-US" w:eastAsia="zh-CN"/>
              </w:rPr>
              <w:t>壹</w:t>
            </w:r>
            <w:r>
              <w:rPr>
                <w:rFonts w:hint="eastAsia" w:ascii="宋体" w:hAnsi="宋体" w:eastAsia="宋体" w:cs="宋体"/>
                <w:color w:val="auto"/>
                <w:sz w:val="24"/>
                <w:highlight w:val="none"/>
              </w:rPr>
              <w:t>万元整）。</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办理程序：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潜在投标人在保险公司购买保险保单后需要使用数字证书（CA）登录“</w:t>
            </w:r>
            <w:r>
              <w:rPr>
                <w:rFonts w:hint="eastAsia" w:ascii="宋体" w:hAnsi="宋体" w:eastAsia="宋体" w:cs="宋体"/>
                <w:color w:val="auto"/>
                <w:sz w:val="24"/>
                <w:highlight w:val="none"/>
                <w:lang w:eastAsia="zh-CN"/>
              </w:rPr>
              <w:t>云南省公共资源交易平台（点击切换至“昆明市”）</w:t>
            </w:r>
            <w:r>
              <w:rPr>
                <w:rFonts w:hint="eastAsia" w:ascii="宋体" w:hAnsi="宋体" w:eastAsia="宋体" w:cs="宋体"/>
                <w:color w:val="auto"/>
                <w:sz w:val="24"/>
                <w:highlight w:val="none"/>
              </w:rPr>
              <w:t>（网址：</w:t>
            </w:r>
            <w:r>
              <w:rPr>
                <w:rFonts w:hint="eastAsia" w:ascii="宋体" w:hAnsi="宋体" w:eastAsia="宋体" w:cs="宋体"/>
                <w:color w:val="auto"/>
                <w:sz w:val="24"/>
                <w:highlight w:val="none"/>
                <w:lang w:eastAsia="zh-CN"/>
              </w:rPr>
              <w:t>http://116.55.195.54:8001/#/homePage</w:t>
            </w:r>
            <w:r>
              <w:rPr>
                <w:rFonts w:hint="eastAsia" w:ascii="宋体" w:hAnsi="宋体" w:eastAsia="宋体" w:cs="宋体"/>
                <w:color w:val="auto"/>
                <w:sz w:val="24"/>
                <w:highlight w:val="none"/>
              </w:rPr>
              <w:t>）”在投标保证保险模块下找到对应项目进行分配并打印确认回执；若出现未分配导致无法确认的请及时联系相关出函机构。</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（三）采用担保保函方式：</w:t>
            </w:r>
          </w:p>
          <w:p>
            <w:pPr>
              <w:snapToGrid w:val="0"/>
              <w:spacing w:line="36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（官渡区太和街道和平路前卫营片区三旧改造连片开发项目工作指挥部）项目新增地块房屋调查测绘服务</w:t>
            </w:r>
            <w:r>
              <w:rPr>
                <w:rFonts w:hint="eastAsia" w:ascii="宋体" w:hAnsi="宋体" w:eastAsia="宋体" w:cs="宋体"/>
                <w:color w:val="auto"/>
                <w:sz w:val="24"/>
                <w:highlight w:val="none"/>
                <w:lang w:eastAsia="zh-CN"/>
              </w:rPr>
              <w:t>（六标段）</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保证金金额：¥ </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0000.00元（大写：</w:t>
            </w:r>
            <w:r>
              <w:rPr>
                <w:rFonts w:hint="eastAsia" w:ascii="宋体" w:hAnsi="宋体" w:eastAsia="宋体" w:cs="宋体"/>
                <w:color w:val="auto"/>
                <w:sz w:val="24"/>
                <w:highlight w:val="none"/>
                <w:lang w:val="en-US" w:eastAsia="zh-CN"/>
              </w:rPr>
              <w:t>壹</w:t>
            </w:r>
            <w:r>
              <w:rPr>
                <w:rFonts w:hint="eastAsia" w:ascii="宋体" w:hAnsi="宋体" w:eastAsia="宋体" w:cs="宋体"/>
                <w:color w:val="auto"/>
                <w:sz w:val="24"/>
                <w:highlight w:val="none"/>
              </w:rPr>
              <w:t>万元整）。</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办理程序：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潜在投标人需要使用数字证书（CA）登录“</w:t>
            </w:r>
            <w:r>
              <w:rPr>
                <w:rFonts w:hint="eastAsia" w:ascii="宋体" w:hAnsi="宋体" w:eastAsia="宋体" w:cs="宋体"/>
                <w:color w:val="auto"/>
                <w:sz w:val="24"/>
                <w:highlight w:val="none"/>
                <w:lang w:eastAsia="zh-CN"/>
              </w:rPr>
              <w:t>云南省公共资源交易平台（点击切换至“昆明市”）（网址： http://116.55.195.54:8001/#/homePage）</w:t>
            </w:r>
            <w:r>
              <w:rPr>
                <w:rFonts w:hint="eastAsia" w:ascii="宋体" w:hAnsi="宋体" w:eastAsia="宋体" w:cs="宋体"/>
                <w:color w:val="auto"/>
                <w:sz w:val="24"/>
                <w:highlight w:val="none"/>
              </w:rPr>
              <w:t>”在投标保函管理模块下找到对应项目，选择担保机构，购买担保保函，并进行分配打印确认回执；若出现未分配导致无法确认的请及时联系相关出函机构。</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（四）采用银行保函方式：</w:t>
            </w:r>
          </w:p>
          <w:p>
            <w:pPr>
              <w:snapToGrid w:val="0"/>
              <w:spacing w:line="36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（官渡区太和街道和平路前卫营片区三旧改造连片开发项目工作指挥部）项目新增地块房屋调查测绘服务</w:t>
            </w:r>
            <w:r>
              <w:rPr>
                <w:rFonts w:hint="eastAsia" w:ascii="宋体" w:hAnsi="宋体" w:eastAsia="宋体" w:cs="宋体"/>
                <w:color w:val="auto"/>
                <w:sz w:val="24"/>
                <w:highlight w:val="none"/>
                <w:lang w:eastAsia="zh-CN"/>
              </w:rPr>
              <w:t>（六标段）</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保证金金额：¥ </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0000.00元（大写：</w:t>
            </w:r>
            <w:r>
              <w:rPr>
                <w:rFonts w:hint="eastAsia" w:ascii="宋体" w:hAnsi="宋体" w:eastAsia="宋体" w:cs="宋体"/>
                <w:color w:val="auto"/>
                <w:sz w:val="24"/>
                <w:highlight w:val="none"/>
                <w:lang w:val="en-US" w:eastAsia="zh-CN"/>
              </w:rPr>
              <w:t>壹</w:t>
            </w:r>
            <w:r>
              <w:rPr>
                <w:rFonts w:hint="eastAsia" w:ascii="宋体" w:hAnsi="宋体" w:eastAsia="宋体" w:cs="宋体"/>
                <w:color w:val="auto"/>
                <w:sz w:val="24"/>
                <w:highlight w:val="none"/>
              </w:rPr>
              <w:t>万元整）。</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办理程序：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潜在投标人需要使用数字证书（CA）登录“</w:t>
            </w:r>
            <w:r>
              <w:rPr>
                <w:rFonts w:hint="eastAsia" w:ascii="宋体" w:hAnsi="宋体" w:eastAsia="宋体" w:cs="宋体"/>
                <w:color w:val="auto"/>
                <w:sz w:val="24"/>
                <w:highlight w:val="none"/>
                <w:lang w:eastAsia="zh-CN"/>
              </w:rPr>
              <w:t>云南省公共资源交易平台（点击切换至“昆明市”）（网址： http://116.55.195.54:8001/#/homePage）</w:t>
            </w:r>
            <w:r>
              <w:rPr>
                <w:rFonts w:hint="eastAsia" w:ascii="宋体" w:hAnsi="宋体" w:eastAsia="宋体" w:cs="宋体"/>
                <w:color w:val="auto"/>
                <w:sz w:val="24"/>
                <w:highlight w:val="none"/>
              </w:rPr>
              <w:t>”在投标保函管理模块下找到对应项目，选择银行，购买银行保函，并进行分配打印确认回执；若出现未分配导致无法确认的请及时联系相关出函机构。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3.4.3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投标保证金的退还</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投标保证金退还到投标人的基本账户。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3.4.4</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投标保证金不予退还的情形</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投标人必须按照第六章投标文件格式中“投标人承诺书”进行承诺，若有违法违规或不良行为的，投标保证金不予退还。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3.5.2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近年完成的类似项目业绩年份要求</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2018</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rPr>
              <w:t>日起至</w:t>
            </w:r>
            <w:r>
              <w:rPr>
                <w:rFonts w:hint="eastAsia" w:ascii="宋体" w:hAnsi="宋体" w:eastAsia="宋体" w:cs="宋体"/>
                <w:color w:val="auto"/>
                <w:sz w:val="24"/>
                <w:highlight w:val="none"/>
                <w:u w:val="single"/>
              </w:rPr>
              <w:t>今</w:t>
            </w:r>
            <w:r>
              <w:rPr>
                <w:rFonts w:hint="eastAsia" w:ascii="宋体" w:hAnsi="宋体" w:eastAsia="宋体" w:cs="宋体"/>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3.6</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是否允许递交备选投标方案</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3.7.1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投标文件格式</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kern w:val="0"/>
                <w:sz w:val="24"/>
                <w:highlight w:val="none"/>
              </w:rPr>
            </w:pPr>
            <w:r>
              <w:rPr>
                <w:rFonts w:hint="eastAsia" w:ascii="Times New Roman" w:hAnsi="Times New Roman" w:eastAsia="宋体" w:cs="Times New Roman"/>
                <w:color w:val="auto"/>
                <w:sz w:val="24"/>
                <w:szCs w:val="24"/>
                <w:highlight w:val="none"/>
              </w:rPr>
              <w:t>投标文件全部采用电子文档，必须使用《</w:t>
            </w:r>
            <w:r>
              <w:rPr>
                <w:rFonts w:hint="eastAsia" w:ascii="Times New Roman" w:hAnsi="Times New Roman" w:eastAsia="宋体" w:cs="Times New Roman"/>
                <w:color w:val="auto"/>
                <w:sz w:val="24"/>
                <w:szCs w:val="24"/>
                <w:highlight w:val="none"/>
                <w:lang w:eastAsia="zh-CN"/>
              </w:rPr>
              <w:t>云南省工程建设模块化投标文件编制系统</w:t>
            </w:r>
            <w:r>
              <w:rPr>
                <w:rFonts w:hint="eastAsia" w:ascii="Times New Roman" w:hAnsi="Times New Roman" w:eastAsia="宋体" w:cs="Times New Roman"/>
                <w:color w:val="auto"/>
                <w:sz w:val="24"/>
                <w:szCs w:val="24"/>
                <w:highlight w:val="none"/>
              </w:rPr>
              <w:t>》</w:t>
            </w:r>
            <w:r>
              <w:rPr>
                <w:rFonts w:hint="eastAsia" w:ascii="宋体" w:hAnsi="宋体" w:eastAsia="宋体" w:cs="宋体"/>
                <w:color w:val="auto"/>
                <w:kern w:val="0"/>
                <w:sz w:val="24"/>
                <w:highlight w:val="none"/>
              </w:rPr>
              <w:t>制作，（电子文件格式为*.BTBJ）。</w:t>
            </w:r>
          </w:p>
          <w:p>
            <w:pPr>
              <w:spacing w:line="360" w:lineRule="exac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编制要求详见《电子投标文件编制及报送要求》。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3.7.4</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投标文件的签署</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kern w:val="0"/>
                <w:sz w:val="24"/>
                <w:highlight w:val="none"/>
              </w:rPr>
              <w:t>按照投标文件格式，采用单位和个人数字证书电子签章；电子投标文件需要企业、法定代表人电子签章或电子签名的地方，由企业、法定代表人电子签章或电子签名；如允许联合体投标的，在需要电子签章的地方由联合体牵头人进行电子签章；无须逐页电子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3.7.5</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投标文件的提交及份数</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b/>
                <w:color w:val="auto"/>
                <w:kern w:val="0"/>
                <w:sz w:val="24"/>
                <w:highlight w:val="none"/>
              </w:rPr>
              <w:t>网上递交：</w:t>
            </w:r>
            <w:r>
              <w:rPr>
                <w:rFonts w:hint="eastAsia" w:ascii="宋体" w:hAnsi="宋体" w:eastAsia="宋体" w:cs="宋体"/>
                <w:color w:val="auto"/>
                <w:kern w:val="0"/>
                <w:sz w:val="24"/>
                <w:highlight w:val="none"/>
              </w:rPr>
              <w:t>网上递交网址为云南省公共资源交易平台（点击切换至“昆明市”）（http://116.55.195.54:8001/#/homePage），投标人须在投标截止时间前完成所有投标文件的上传，网上确认电子签名，并打印“上传投标文件回执”，</w:t>
            </w:r>
            <w:r>
              <w:rPr>
                <w:rFonts w:hint="eastAsia" w:ascii="宋体" w:hAnsi="宋体" w:eastAsia="宋体" w:cs="宋体"/>
                <w:color w:val="auto"/>
                <w:sz w:val="24"/>
                <w:highlight w:val="none"/>
              </w:rPr>
              <w:t>投标截止时间前未完成投标文件传输的，视为撤回投标文件</w:t>
            </w:r>
            <w:r>
              <w:rPr>
                <w:rFonts w:hint="eastAsia" w:ascii="宋体" w:hAnsi="宋体" w:eastAsia="宋体" w:cs="宋体"/>
                <w:color w:val="auto"/>
                <w:kern w:val="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3.7.6</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投标文件光盘刻录要求</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光盘刻录时，请使用正规刻录软件进行刻录CD光盘，不要对电子投标文件进行压缩，光盘刻录完成后，应检验光盘刻录的质量，检验光盘时不要在本机的刻录光驱上进行，将刻录好的光盘用另外一台电脑的“只读光驱”进行读取测试。测试的方法：将刻录光盘上的投标文件数据拷贝到电脑硬盘上，检查拷贝是否成功，同时使用相应标书文件编制系统或查看工具中的【查看标书】功能对刻录后光盘中的电子标书文件进行查看。</w:t>
            </w:r>
          </w:p>
          <w:p>
            <w:pPr>
              <w:spacing w:line="360" w:lineRule="exact"/>
              <w:rPr>
                <w:rFonts w:ascii="宋体" w:hAnsi="宋体" w:eastAsia="宋体" w:cs="宋体"/>
                <w:b/>
                <w:color w:val="auto"/>
                <w:kern w:val="0"/>
                <w:sz w:val="24"/>
                <w:highlight w:val="none"/>
              </w:rPr>
            </w:pPr>
            <w:r>
              <w:rPr>
                <w:rFonts w:hint="eastAsia" w:ascii="宋体" w:hAnsi="宋体" w:eastAsia="宋体" w:cs="宋体"/>
                <w:b/>
                <w:bCs/>
                <w:color w:val="auto"/>
                <w:sz w:val="24"/>
                <w:highlight w:val="none"/>
              </w:rPr>
              <w:t>注：</w:t>
            </w:r>
            <w:r>
              <w:rPr>
                <w:rFonts w:hint="eastAsia" w:ascii="宋体" w:hAnsi="宋体" w:cs="宋体"/>
                <w:b/>
                <w:bCs/>
                <w:color w:val="auto"/>
                <w:sz w:val="24"/>
                <w:highlight w:val="none"/>
              </w:rPr>
              <w:t>本项目</w:t>
            </w:r>
            <w:r>
              <w:rPr>
                <w:rFonts w:hint="eastAsia" w:ascii="宋体" w:hAnsi="宋体" w:eastAsia="宋体" w:cs="宋体"/>
                <w:b/>
                <w:bCs/>
                <w:color w:val="auto"/>
                <w:sz w:val="24"/>
                <w:highlight w:val="none"/>
              </w:rPr>
              <w:t>选择智能开标</w:t>
            </w:r>
            <w:r>
              <w:rPr>
                <w:rFonts w:hint="eastAsia" w:ascii="宋体" w:hAnsi="宋体" w:cs="宋体"/>
                <w:b/>
                <w:bCs/>
                <w:color w:val="auto"/>
                <w:sz w:val="24"/>
                <w:highlight w:val="none"/>
              </w:rPr>
              <w:t>，</w:t>
            </w:r>
            <w:r>
              <w:rPr>
                <w:rFonts w:hint="eastAsia" w:ascii="宋体" w:hAnsi="宋体" w:eastAsia="宋体" w:cs="宋体"/>
                <w:b/>
                <w:bCs/>
                <w:color w:val="auto"/>
                <w:sz w:val="24"/>
                <w:highlight w:val="none"/>
              </w:rPr>
              <w:t>投标人无需递交。《招标文件》中描述不一致的以此处为准。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center"/>
              <w:rPr>
                <w:rFonts w:hint="eastAsia" w:ascii="宋体" w:hAnsi="宋体" w:eastAsia="宋体" w:cs="宋体"/>
                <w:color w:val="auto"/>
                <w:sz w:val="24"/>
                <w:highlight w:val="none"/>
              </w:rPr>
            </w:pPr>
            <w:r>
              <w:rPr>
                <w:rFonts w:ascii="宋体" w:hAnsi="宋体" w:eastAsia="宋体" w:cs="宋体"/>
                <w:color w:val="auto"/>
                <w:sz w:val="24"/>
                <w:szCs w:val="24"/>
                <w:highlight w:val="none"/>
                <w:lang w:val="en-US" w:eastAsia="zh-CN" w:bidi="ar-SA"/>
              </w:rPr>
              <w:t>4.1.1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bidi="ar-SA"/>
              </w:rPr>
              <w:t>投标文件的加密和密封</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rPr>
                <w:rFonts w:hint="eastAsia" w:ascii="宋体" w:hAnsi="宋体" w:eastAsia="宋体" w:cs="宋体"/>
                <w:b/>
                <w:bCs/>
                <w:color w:val="auto"/>
                <w:sz w:val="24"/>
                <w:highlight w:val="none"/>
              </w:rPr>
            </w:pPr>
            <w:r>
              <w:rPr>
                <w:rFonts w:hint="eastAsia" w:ascii="宋体" w:hAnsi="宋体" w:eastAsia="宋体" w:cs="宋体"/>
                <w:color w:val="auto"/>
                <w:sz w:val="24"/>
                <w:szCs w:val="24"/>
                <w:highlight w:val="none"/>
                <w:lang w:val="en-US" w:eastAsia="zh-CN" w:bidi="ar-SA"/>
              </w:rPr>
              <w:t>网上递交的投标文件应使用数字证书进行加密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bidi="ar-SA"/>
              </w:rPr>
              <w:t>4.2.3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bidi="ar-SA"/>
              </w:rPr>
              <w:t>是否退还投标文件</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left"/>
              <w:rPr>
                <w:rFonts w:hint="eastAsia" w:ascii="宋体" w:hAnsi="宋体" w:eastAsia="宋体" w:cs="宋体"/>
                <w:b/>
                <w:bCs/>
                <w:color w:val="auto"/>
                <w:sz w:val="24"/>
                <w:highlight w:val="none"/>
              </w:rPr>
            </w:pPr>
            <w:r>
              <w:rPr>
                <w:rFonts w:hint="eastAsia" w:ascii="宋体" w:hAnsi="宋体" w:eastAsia="宋体" w:cs="宋体"/>
                <w:color w:val="auto"/>
                <w:sz w:val="24"/>
                <w:szCs w:val="24"/>
                <w:highlight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5.1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开标时间和地点</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开标时间：同投标截止时间</w:t>
            </w:r>
          </w:p>
          <w:p>
            <w:pPr>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开标地点：</w:t>
            </w:r>
            <w:r>
              <w:rPr>
                <w:rFonts w:hint="eastAsia" w:ascii="宋体" w:hAnsi="宋体" w:eastAsia="宋体" w:cs="宋体"/>
                <w:color w:val="auto"/>
                <w:sz w:val="24"/>
                <w:szCs w:val="24"/>
                <w:highlight w:val="none"/>
                <w:lang w:val="en-US" w:eastAsia="zh-CN" w:bidi="ar-SA"/>
              </w:rPr>
              <w:t>昆明市公共资源交易中心（昆明市呈贡区市级行政中心锦绣大街1号综合服务楼2楼）或网上开标，投标人登录</w:t>
            </w:r>
            <w:r>
              <w:rPr>
                <w:rFonts w:hint="eastAsia" w:ascii="宋体" w:hAnsi="宋体" w:eastAsia="宋体" w:cs="宋体"/>
                <w:color w:val="auto"/>
                <w:sz w:val="24"/>
                <w:szCs w:val="24"/>
                <w:highlight w:val="none"/>
              </w:rPr>
              <w:t>云南省公共资源交易平台（点击切换至“昆明市”）（网址：http://116.55.195.54:8001/#/homePage）</w:t>
            </w:r>
            <w:r>
              <w:rPr>
                <w:rFonts w:hint="eastAsia" w:ascii="宋体" w:hAnsi="宋体" w:eastAsia="宋体" w:cs="宋体"/>
                <w:color w:val="auto"/>
                <w:sz w:val="24"/>
                <w:szCs w:val="24"/>
                <w:highlight w:val="none"/>
                <w:lang w:val="en-US" w:eastAsia="zh-CN" w:bidi="ar-SA"/>
              </w:rPr>
              <w:t>，在截标时间前须提前签到后进入到“网上开标室”。)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5.2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开标程序</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bidi="ar-SA"/>
              </w:rPr>
              <w:t>投标人须在投标文件递交截止时间前登录云南省公共资源交易平台（点击切换至“昆明市”）（网址：http://116.55.195.54:8001/#/homePage），找到网上开标室页面，进行网上签到。网上签到后，根据网上远程解密、开标的要求，须在规定时间内完成在线解密、开标一览表确认签字等相关操作。未在规定的时间完成以上相关操作的，则视为撤销其投标文件，不再进入评标阶段。开标过程中如有问题，请发起在线异议，由代理机构给予对应的回复。同时，请投标人提前熟悉智能开标的相关操作（详见智能开标的操作流程，详见《云南省公共资源交易电子化平台智能开标系统操作手册》。②投标人提前熟悉智能开标的相关操作）。技术操作咨询：北京筑龙信息技术有限责任公司服务热线：010-86483801，QQ：4009618998。注：本项目不接受现场递交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6.1.1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评标委员会的组建</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ascii="宋体" w:hAnsi="宋体" w:cs="宋体"/>
                <w:color w:val="auto"/>
                <w:sz w:val="24"/>
                <w:highlight w:val="none"/>
              </w:rPr>
              <w:t>评标委员会构成：</w:t>
            </w:r>
            <w:r>
              <w:rPr>
                <w:rFonts w:ascii="宋体" w:hAnsi="宋体"/>
                <w:color w:val="auto"/>
                <w:sz w:val="24"/>
                <w:highlight w:val="none"/>
              </w:rPr>
              <w:t>5</w:t>
            </w:r>
            <w:r>
              <w:rPr>
                <w:rFonts w:hint="eastAsia" w:ascii="宋体" w:hAnsi="宋体"/>
                <w:color w:val="auto"/>
                <w:sz w:val="24"/>
                <w:highlight w:val="none"/>
              </w:rPr>
              <w:t>人及</w:t>
            </w:r>
            <w:r>
              <w:rPr>
                <w:rFonts w:ascii="宋体" w:hAnsi="宋体"/>
                <w:color w:val="auto"/>
                <w:sz w:val="24"/>
                <w:highlight w:val="none"/>
              </w:rPr>
              <w:t>以上单数，其中</w:t>
            </w:r>
            <w:r>
              <w:rPr>
                <w:rFonts w:ascii="宋体" w:hAnsi="宋体" w:cs="宋体"/>
                <w:color w:val="auto"/>
                <w:sz w:val="24"/>
                <w:highlight w:val="none"/>
              </w:rPr>
              <w:t>招标人代表</w:t>
            </w:r>
            <w:r>
              <w:rPr>
                <w:rFonts w:hint="eastAsia" w:ascii="宋体" w:hAnsi="宋体" w:cs="宋体"/>
                <w:color w:val="auto"/>
                <w:sz w:val="24"/>
                <w:highlight w:val="none"/>
              </w:rPr>
              <w:t>不</w:t>
            </w:r>
            <w:r>
              <w:rPr>
                <w:rFonts w:ascii="宋体" w:hAnsi="宋体" w:cs="宋体"/>
                <w:color w:val="auto"/>
                <w:sz w:val="24"/>
                <w:highlight w:val="none"/>
              </w:rPr>
              <w:t>超过1/3；</w:t>
            </w:r>
            <w:r>
              <w:rPr>
                <w:rFonts w:hint="eastAsia" w:ascii="宋体" w:hAnsi="宋体" w:eastAsia="宋体" w:cs="宋体"/>
                <w:color w:val="auto"/>
                <w:sz w:val="24"/>
                <w:highlight w:val="none"/>
              </w:rPr>
              <w:t>评标专家确定方式：在评标专家库中随机抽取。</w:t>
            </w:r>
          </w:p>
          <w:p>
            <w:pPr>
              <w:spacing w:line="360" w:lineRule="exact"/>
              <w:rPr>
                <w:rFonts w:ascii="宋体" w:hAnsi="宋体" w:eastAsia="宋体" w:cs="宋体"/>
                <w:color w:val="auto"/>
                <w:kern w:val="0"/>
                <w:sz w:val="24"/>
                <w:highlight w:val="none"/>
              </w:rPr>
            </w:pPr>
            <w:r>
              <w:rPr>
                <w:rFonts w:hint="eastAsia" w:ascii="宋体" w:hAnsi="宋体" w:eastAsia="宋体" w:cs="宋体"/>
                <w:color w:val="auto"/>
                <w:sz w:val="24"/>
                <w:highlight w:val="none"/>
              </w:rPr>
              <w:t>注：特殊情况经审批后确定。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6.3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评标办法</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■采用综合评估法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7.1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是否授权评标委员会确定中标人</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■否</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评标委员会推荐1～3名中标候选人。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7.3.1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履约担保</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履约担保的形式：现金、转账或保函</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履约担保的金额：不高于合同价款的10％，具体金额以招标人通知为准（履约担保金额以预估工程量即</w:t>
            </w:r>
            <w:r>
              <w:rPr>
                <w:rFonts w:hint="eastAsia" w:ascii="宋体" w:hAnsi="宋体" w:eastAsia="宋体" w:cs="宋体"/>
                <w:color w:val="auto"/>
                <w:sz w:val="24"/>
                <w:highlight w:val="none"/>
                <w:u w:val="single"/>
              </w:rPr>
              <w:t xml:space="preserve"> 235323.00 </w:t>
            </w:r>
            <w:r>
              <w:rPr>
                <w:rFonts w:hint="eastAsia" w:ascii="宋体" w:hAnsi="宋体" w:eastAsia="宋体" w:cs="宋体"/>
                <w:color w:val="auto"/>
                <w:sz w:val="24"/>
                <w:highlight w:val="none"/>
              </w:rPr>
              <w:t>平方米为基数进行测算）</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交付履约担保时间：接到招标人书面通知书后5个工作日内向招标人支付。</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履约担保退还期限：双方签订合同时具体约定。</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（其他未明确事项执行昆政办[2017]36号文规定）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w:t>
            </w:r>
          </w:p>
        </w:tc>
        <w:tc>
          <w:tcPr>
            <w:tcW w:w="8086"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10.1.1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类似业绩</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类似业绩是指：类似城中村拆迁或改造或一级开发或征地拆迁或土地收储或棚户区改造或三旧改造项目的房产测绘或房屋测量或房屋调查、不动产数据整合、不动产登记等相关业绩。</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注：业绩证明材料为合同协议书或中标通知书或所服务业主出具的证明材料。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10.1.2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严禁转包和违法分包</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严禁转包和违法分包。未经行政主管部门批准。凡招标文件未明确可以分包的，中标人不得进行任何形式的分包。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10.1.3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招标文件内容冲突的解决及优先适用次序</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(1)招标人发出的招标文件（包括修改、澄清或补遗文件）与招标投标行政监督备案的招标文件不一致的，以备案的招标文件为准，并对不一致的地方进行修改。没有备案的招标文件（包括修改、澄清或补遗文件）不作为评标的依据。</w:t>
            </w:r>
          </w:p>
          <w:p>
            <w:pPr>
              <w:spacing w:line="360" w:lineRule="exact"/>
              <w:rPr>
                <w:rFonts w:ascii="宋体" w:hAnsi="宋体" w:eastAsia="宋体" w:cs="宋体"/>
                <w:color w:val="auto"/>
                <w:spacing w:val="-2"/>
                <w:sz w:val="24"/>
                <w:highlight w:val="none"/>
              </w:rPr>
            </w:pPr>
            <w:r>
              <w:rPr>
                <w:rFonts w:hint="eastAsia" w:ascii="宋体" w:hAnsi="宋体" w:eastAsia="宋体" w:cs="宋体"/>
                <w:color w:val="auto"/>
                <w:spacing w:val="-2"/>
                <w:sz w:val="24"/>
                <w:highlight w:val="none"/>
              </w:rPr>
              <w:t>(2)招标文件中招标人编制的内容前后有矛盾或不一致，有时间先后顺序的，以时间在后的修改、澄清或补正文件为准；没有时间先后顺序的，以公平的原则进行处理。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10.1.4</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招标文件的解释</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招标人自行编写的内容由招标人（招标代理机构）解释。对招标人自行编写的内容理解有争议的，由备案的行政监督部门按照招标文件所使用的词句、招标文件的有关条款、招标的目的、习惯以及诚实信用原则，确定该条款的真实意思。有两种以上解释的，作出不利于招标人一方的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10.2</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“暗标”评审</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不采用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10.3</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投标文件电子版</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1、电子投标文件必须使用</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云南省工程建设模块化投标文件编制系统</w:t>
            </w:r>
            <w:r>
              <w:rPr>
                <w:rFonts w:hint="eastAsia" w:ascii="Times New Roman" w:hAnsi="Times New Roman" w:eastAsia="宋体" w:cs="Times New Roman"/>
                <w:color w:val="auto"/>
                <w:sz w:val="24"/>
                <w:szCs w:val="24"/>
                <w:highlight w:val="none"/>
              </w:rPr>
              <w:t>》</w:t>
            </w:r>
            <w:r>
              <w:rPr>
                <w:rFonts w:hint="eastAsia" w:ascii="宋体" w:hAnsi="宋体" w:eastAsia="宋体" w:cs="宋体"/>
                <w:color w:val="auto"/>
                <w:sz w:val="24"/>
                <w:highlight w:val="none"/>
              </w:rPr>
              <w:t>制作，生成电子签名的投标文件，格式为*.BTBJ（此文件必须网上递交）。编制要求见《电子投标文件编制及报送要求》。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10.4</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中标后须提交的投标文件</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中标人须提供</w:t>
            </w:r>
            <w:r>
              <w:rPr>
                <w:rFonts w:hint="eastAsia" w:ascii="宋体" w:hAnsi="宋体" w:eastAsia="宋体" w:cs="宋体"/>
                <w:color w:val="auto"/>
                <w:sz w:val="24"/>
                <w:highlight w:val="none"/>
                <w:u w:val="single"/>
              </w:rPr>
              <w:t>叁</w:t>
            </w:r>
            <w:r>
              <w:rPr>
                <w:rFonts w:hint="eastAsia" w:ascii="宋体" w:hAnsi="宋体" w:eastAsia="宋体" w:cs="宋体"/>
                <w:color w:val="auto"/>
                <w:sz w:val="24"/>
                <w:highlight w:val="none"/>
              </w:rPr>
              <w:t>份与网上上传的电子投标文件完全一致的纸质标书。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10.5</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评标结果公示</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在中标通知书发出前，招标人将中标候选人的情况在本招标项目招标公告发布的同一媒介予以公示，公示期不少于3日。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10.6</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知识产权</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10.7</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重新招标的其他情形</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10.8</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同义词语</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构成招标文件组成部分的“通用合同条款”、“专用合同条款”等章节中出现的措辞“发包人”和“承包人”，在招标投标阶段应当分别按“招标人”和“投标人”进行理解。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10.9</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监  督</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本项目的招标投标活动及其相关当事人应当接受有管辖权的建设工程招标投标行政监督部门依法实施的监督。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10.10</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u w:val="single"/>
              </w:rPr>
            </w:pPr>
            <w:r>
              <w:rPr>
                <w:rFonts w:hint="eastAsia" w:ascii="宋体" w:hAnsi="宋体" w:eastAsia="宋体" w:cs="宋体"/>
                <w:color w:val="auto"/>
                <w:sz w:val="24"/>
                <w:highlight w:val="none"/>
              </w:rPr>
              <w:t>招标人补充的其他内容</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（一）本项目投标阶段无需提供原件审核，招标人可要求中标人在领取中标通知书时，提供相应原件与其投标文件进行比对，如发现有不实，招标人有权取消其中标候选人资格。</w:t>
            </w:r>
          </w:p>
          <w:p>
            <w:pPr>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（二）中标人须在收到中标通知书后7日内提供3份与网上上传的电子投标文件完全一致的纸质标书。</w:t>
            </w:r>
          </w:p>
          <w:p>
            <w:pPr>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（三）中标人应按云价费发[2017]160号《云南省公证服务收费标准》中规定的支付招投标公证费。</w:t>
            </w:r>
          </w:p>
          <w:p>
            <w:pPr>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（四）招标代理费由中标人支付，按人民币</w:t>
            </w:r>
            <w:r>
              <w:rPr>
                <w:rFonts w:hint="eastAsia" w:ascii="宋体" w:hAnsi="宋体" w:eastAsia="宋体" w:cs="宋体"/>
                <w:b/>
                <w:color w:val="auto"/>
                <w:sz w:val="24"/>
                <w:highlight w:val="none"/>
                <w:u w:val="single"/>
                <w:lang w:val="en-US" w:eastAsia="zh-CN"/>
              </w:rPr>
              <w:t>15000.00</w:t>
            </w:r>
            <w:r>
              <w:rPr>
                <w:rFonts w:hint="eastAsia" w:ascii="宋体" w:hAnsi="宋体" w:eastAsia="宋体" w:cs="宋体"/>
                <w:b/>
                <w:color w:val="auto"/>
                <w:sz w:val="24"/>
                <w:highlight w:val="none"/>
                <w:u w:val="single"/>
              </w:rPr>
              <w:t>元（</w:t>
            </w:r>
            <w:r>
              <w:rPr>
                <w:rFonts w:hint="eastAsia" w:ascii="宋体" w:hAnsi="宋体" w:eastAsia="宋体" w:cs="宋体"/>
                <w:b/>
                <w:color w:val="auto"/>
                <w:sz w:val="24"/>
                <w:highlight w:val="none"/>
                <w:u w:val="single"/>
                <w:lang w:val="en-US" w:eastAsia="zh-CN"/>
              </w:rPr>
              <w:t>壹万伍仟元整</w:t>
            </w:r>
            <w:r>
              <w:rPr>
                <w:rFonts w:hint="eastAsia" w:ascii="宋体" w:hAnsi="宋体" w:eastAsia="宋体" w:cs="宋体"/>
                <w:b/>
                <w:color w:val="auto"/>
                <w:sz w:val="24"/>
                <w:highlight w:val="none"/>
                <w:u w:val="single"/>
              </w:rPr>
              <w:t>）收取。中标人在领取中标通知书时向代理机构一次性全额支付。</w:t>
            </w:r>
          </w:p>
          <w:p>
            <w:pPr>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五）如果投标人使用某个数字证书（CA）对投标文件进行了数字证书（CA）加密，需要在开标会上使用该数字证书（CA）进行解密，才能读取或导入投标文件，因投标人原因造成投标文件未解密的，视为撤回其投标文件。</w:t>
            </w:r>
          </w:p>
          <w:p>
            <w:pPr>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六）按照《中华人民共和国招标投标法》第三十三条规定，投标人应对其投标文件中提供材料的真实性、合法性负责；投标人在其投标文件中提供虚假材料的，按《中华人民共和国招标投标法》、《中华人民共和国招标投标法实施条例》和昆明市现行公共资源交易相关规定进行处理。</w:t>
            </w:r>
          </w:p>
          <w:p>
            <w:pPr>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（七）投标人如有串标、围标、弄虚作假等违法违规行为，评审委员会将否决其投标，保证金不予退还。如已中标的，中标无效。</w:t>
            </w:r>
          </w:p>
          <w:p>
            <w:pPr>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（八）在项目实施过程中，招标人可能会根据实际情况对整个项目进行分步实施、部分取消或变更项目实施范围，最终以招标人确认的实施范围为准。</w:t>
            </w:r>
          </w:p>
          <w:p>
            <w:pPr>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（九）合同履约期间若因政府政策改变等不可控因素造成无法履行，已签订的合同自动解除，招标人不承担任何违约责任。</w:t>
            </w:r>
          </w:p>
          <w:p>
            <w:pPr>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（十）税金：本项目投标报价为含税价，投标阶段税率按国家现行规定执行，招标人有权根据合同履行时国家颁布的有效的税率对税额进行调整，中标人按国家规定向招标人提供发票，相关税金由中标人承担。</w:t>
            </w:r>
          </w:p>
          <w:p>
            <w:pPr>
              <w:spacing w:line="360" w:lineRule="exact"/>
              <w:rPr>
                <w:rFonts w:ascii="宋体" w:hAnsi="宋体" w:eastAsia="宋体" w:cs="宋体"/>
                <w:color w:val="auto"/>
                <w:sz w:val="24"/>
                <w:highlight w:val="none"/>
                <w:u w:val="single"/>
              </w:rPr>
            </w:pPr>
            <w:r>
              <w:rPr>
                <w:rFonts w:hint="eastAsia" w:ascii="宋体" w:hAnsi="宋体" w:eastAsia="宋体" w:cs="宋体"/>
                <w:b/>
                <w:color w:val="auto"/>
                <w:sz w:val="24"/>
                <w:highlight w:val="none"/>
                <w:u w:val="single"/>
              </w:rPr>
              <w:t>（十一）投标人属于《昆明市人民政府 关于印发昆明市严重失信主体公共资源交易领域惩戒实施细则的通知》（昆政规【2019】2号文）、“《昆明市严重失信主体公共资源交易领域惩戒实施细则》政策解读”、《关于规范失信行为的行政处罚信息在公共资源交易领域失信联合惩戒运用的通知》（昆政务通〔2020〕9号）规定的，在进行详细评审、统计最终得分时按《昆明市人民政府 关于印发昆明市严重失信主体公共资源交易领域惩戒实施细则的通知》（昆政规【2019】2号文）规定执行。 《昆明市人民政府 关于印发昆明市严重失信主体公共资源交易领域惩戒实施细则的通知》（昆政规【2019】2号文） 第八条  在公共资源交易领域中采用综合评估法评审的项目，应当在评标办法中明确按照下列规定实施惩戒： （一）记录期限为6个月以下的，在综合评分的基础上减5分，为其综合评分的最终得分；  （二）记录期限超过6个月至12个月以下的，在综合评分的基础上减10分，为其综合评分的最终得分；   （三）记录期限超过12个月至24个月以下的，在综合评分的基础上减15分，为其综合评分的最终得分；  （四）记录期限超过24个月的，在综合评分的基础上减20分，为其综合评分的最终得分。</w:t>
            </w:r>
          </w:p>
        </w:tc>
      </w:tr>
    </w:tbl>
    <w:p>
      <w:pPr>
        <w:spacing w:line="360" w:lineRule="auto"/>
        <w:jc w:val="center"/>
        <w:outlineLvl w:val="2"/>
        <w:rPr>
          <w:rFonts w:ascii="宋体" w:hAnsi="宋体"/>
          <w:b/>
          <w:color w:val="auto"/>
          <w:sz w:val="28"/>
          <w:highlight w:val="none"/>
        </w:rPr>
      </w:pPr>
      <w:r>
        <w:rPr>
          <w:rFonts w:hint="eastAsia" w:ascii="宋体" w:hAnsi="宋体" w:eastAsia="宋体" w:cs="宋体"/>
          <w:color w:val="auto"/>
          <w:sz w:val="24"/>
          <w:highlight w:val="none"/>
        </w:rPr>
        <w:br w:type="page"/>
      </w:r>
      <w:bookmarkStart w:id="9" w:name="_Toc20763"/>
      <w:r>
        <w:rPr>
          <w:rFonts w:hint="eastAsia" w:ascii="宋体" w:hAnsi="宋体"/>
          <w:b/>
          <w:color w:val="auto"/>
          <w:sz w:val="28"/>
          <w:highlight w:val="none"/>
        </w:rPr>
        <w:t>投标人须知正文部分</w:t>
      </w:r>
      <w:bookmarkEnd w:id="9"/>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1.总则</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1.1项目概况</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1.1.1根据《中华人民共和国招标投标法》</w:t>
      </w:r>
      <w:r>
        <w:rPr>
          <w:rFonts w:ascii="宋体" w:hAnsi="宋体" w:eastAsia="宋体" w:cs="宋体"/>
          <w:color w:val="auto"/>
          <w:sz w:val="24"/>
          <w:highlight w:val="none"/>
        </w:rPr>
        <w:t>、《</w:t>
      </w:r>
      <w:r>
        <w:rPr>
          <w:rFonts w:hint="eastAsia" w:ascii="宋体" w:hAnsi="宋体" w:eastAsia="宋体" w:cs="宋体"/>
          <w:color w:val="auto"/>
          <w:sz w:val="24"/>
          <w:highlight w:val="none"/>
        </w:rPr>
        <w:t>中华人民共和国政府采购法</w:t>
      </w:r>
      <w:r>
        <w:rPr>
          <w:rFonts w:ascii="宋体" w:hAnsi="宋体" w:eastAsia="宋体" w:cs="宋体"/>
          <w:color w:val="auto"/>
          <w:sz w:val="24"/>
          <w:highlight w:val="none"/>
        </w:rPr>
        <w:t>》</w:t>
      </w:r>
      <w:r>
        <w:rPr>
          <w:rFonts w:hint="eastAsia" w:ascii="宋体" w:hAnsi="宋体" w:eastAsia="宋体" w:cs="宋体"/>
          <w:color w:val="auto"/>
          <w:sz w:val="24"/>
          <w:highlight w:val="none"/>
        </w:rPr>
        <w:t>等有关法律、法规和规章的规定，本招标项目已具备招标条件，现对本标段进行招标。</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1.1.2本招标项目招标人：见投标人须知前附表。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1.1.3本标段招标代理机构：见投标人须知前附表。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1.1.4本招标项目名称：见投标人须知前附表。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1.1.5项目实施地点：见投标人须知前附表。</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1.2资金来源和落实情况</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1.2.1本招标项目的资金来源：见投标人须知前附表。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1.2.2本招标项目的出资比例：见投标人须知前附表。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1.2.3本招标项目的资金落实情况：见投标人须知前附表。</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1.3招标范围、服务周期和质量要求</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1.3.1本次招标范围：见投标人须知前附表。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1.3.2项目实施时间：见投标人须知前附表。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1.3.3本标段的质量要求：见投标人须知前附表。</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1.4投标人资格要求</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1.4.1投标人应具备承担本标段的资质条件、能力和信誉。见投标人须知前附表。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1.4.2投标人须知前附表规定接受联合体投标的，除应符合本章第1.4.1项和投标人须知前附表的要求外，还应遵守以下规定：</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(1)联合体各方应按招标文件提供的格式签订联合体协议书，明确联合体牵头人和各方权利义务；</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(2)由同一专业的单位组成的联合体，按照资质等级较低的单位确定资质等级；</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(3)联合体各方不得再以自己名义单独或参加其他联合体在同一标段中投标；</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(4)投标人的投标文件及中标后签署的合同协议书对联合体各方均具法律约束力；</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(5)联合体中标后，联合体各方应当共同与招标人签订合同，为履行合同向招标人承担连带责任；</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(6)联合体的牵头人应被授权作为联合体各方的代表，承担责任和接受指令，并负责整个合同的全面履行和接受本工程款的支付；</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(7)联合体的投标，应当以联合体中牵头人的名义提交投标保证金。以联合体中牵头人名义提交的投标保证金，对联合体各成员具有约束力。</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1.4.3投标人不得存在下列情形之一：</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(1)为招标人不具有独立法人资格的附属机构（单位）；</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(2)为本标段前期准备提供设计或咨询服务的，但设计施工总承包的除外；</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(3)为本标段的监理人；</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(4)为本标段的代建人；</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(5)为本标段提供招标代理服务的；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(6)与本标段的监理人或代建人或招标代理机构同为一个法定代表人的；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(7)与本标段的监理人或代建人或招标代理机构相互控股或参股的；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(8)与本标段的监理人或代建人或招标代理机构相互任职或工作的；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(9)被责令停业的；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(10)被暂停或取消投标资格的；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(11)财产被接管或冻结的；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(12)在最近三年内有骗取中标或严重违约或重大工程质量问题的。</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1.5费用承担</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1.5.1投标人应承担其参加本招标活动自身所发生的全部费用及所有规费。</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1.6保密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参与招标投标活动的各方应对招标文件和投标文件中的商业和技术等秘密保密，违者应对由此造成的后果承担法律责任。</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1.7语言文字</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除专用术语外，与招标投标有关的语言均使用中文。必要时专用术语应附有中文注释。</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1.8计量单位</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所有计量均采用中华人民共和国法定计量单位。</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1.9踏勘现场</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1.9.1招标人不组织投标现场踏勘，投标人需要了解现场情况的，可自行进行现场踏勘地点见投标人须知前附表。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1.9.2投标人踏勘现场发生的费用自理。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1.9.3投标人自行负责在踏勘现场中所发生的人员伤亡和财产损失。</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1.10投标预备会</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1.10.1招标人不召开投标预备会，实行网上答疑。投标人若有疑问，需要招标人予以答疑，应以不署名的形式在“</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”提出。</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1.10.2投标人提出问题的截止时间和方法：见投标人须知前附表。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1.10.3招标人澄清的时间和方法：见投标人须知前附表。</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1.11分包</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本招标项目是否允许分包：不允许。</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1.12偏离</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投标人须知前附表允许投标文件偏离招标文件某些要求的，偏离应当符合招标文件规定的偏离范围和幅度。</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2.招标文件</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2.1招标文件的组成</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本招标文件包括：</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(1)电子技术招标文件，格式为*.BZBJ，包含招标公告（或投标邀请书）、投标人须知、评标办法、合同条款及格式、技术标准和要求、投标文件格式、投标人须知前附表规定的其他材料；</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(2)其它。</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根据本章第1.10款、第2.2款和第2.3款对招标文件所作的澄清、修改，构成招标文件的组成部分。</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2.2招标文件的澄清</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2.2.1同1.10.2的时间要求。投标人应仔细阅读和检查招标文件的全部内容。如发现缺页或附件不全，应及时向招标人提出，以便补齐。如有疑问，应在投标人须知前附表规定的时间前以在线不署名提交方式登录</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，要求招标人对招标文件予以澄清。</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2.2.2投标截止时间：见投标人须知前附表。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2.2.3招标澄清和补遗全部通过网络送达，请投标人在开标截止日前，务必查询网站信息，投标人自行登录</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获取澄清，无须回复确认已收到该澄清。</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2.3招标文件的修改</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2.3.1在投标截止时间15天前，招标人确需要变更招标文件内容的，招标人可主动或在解答投标人提出的澄清问题时对招标文件进行修改，并同时报主管部门备案。招标人无论对评标办法、评审项目等重要评审内容作何种变更，都要重新制作电子招标文件（*.BZBJ），并重新备案，同时发布补遗文件进行说明以保证各投标人都能重新下载最新的电子招标文件用于编制电子投标文件。招标文件的修改将在“</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”发布，招标文件的修改作为招标文件的组成部分，并具有约束力。</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2.3.2投标人自行登录</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收取修改内容，无须回复确认已收到该修改。投标人应在截标时间前随时查看“</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”中有关该工程招标文件的答疑、补遗内容。否则，由此引起的投标损失自负。</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2.3.3招标文件、招标文件澄清、招标文件修改文件内容均以网上发布的为准，当招标文件、招标文件澄清、招标文件修改文件内容相互矛盾时，以最后发出的为准。</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3.投标文件</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3.1投标文件的组成</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3.1.1投标文件全部采用电子文档，由资格审查部分、商务部分、技术部分三部分组成。</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3.1.2在编制技术标投标文件时，粘贴图片使用JPG格式的文件，并且每张图片的分辩率应小于100dpi，最终的每份标书文件所占用的磁盘空间小于100M。</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3.2投标报价</w:t>
      </w:r>
    </w:p>
    <w:p>
      <w:pPr>
        <w:spacing w:line="360" w:lineRule="auto"/>
        <w:ind w:firstLine="480" w:firstLineChars="200"/>
        <w:jc w:val="left"/>
        <w:rPr>
          <w:rFonts w:ascii="宋体" w:hAnsi="宋体" w:eastAsia="宋体" w:cs="宋体"/>
          <w:color w:val="auto"/>
          <w:sz w:val="24"/>
          <w:highlight w:val="none"/>
        </w:rPr>
      </w:pPr>
      <w:bookmarkStart w:id="10" w:name="_Hlk25226651"/>
      <w:r>
        <w:rPr>
          <w:rFonts w:hint="eastAsia" w:ascii="宋体" w:hAnsi="宋体" w:eastAsia="宋体" w:cs="宋体"/>
          <w:color w:val="auto"/>
          <w:sz w:val="24"/>
          <w:highlight w:val="none"/>
        </w:rPr>
        <w:t>3.2.1投标人应根据本文件明确的工作内容，参考</w:t>
      </w:r>
      <w:r>
        <w:rPr>
          <w:rFonts w:ascii="宋体" w:hAnsi="宋体" w:eastAsia="宋体" w:cs="宋体"/>
          <w:color w:val="auto"/>
          <w:sz w:val="24"/>
          <w:highlight w:val="none"/>
        </w:rPr>
        <w:t>国家、行业相关收费标准</w:t>
      </w:r>
      <w:r>
        <w:rPr>
          <w:rFonts w:hint="eastAsia" w:ascii="宋体" w:hAnsi="宋体" w:eastAsia="宋体" w:cs="宋体"/>
          <w:color w:val="auto"/>
          <w:sz w:val="24"/>
          <w:highlight w:val="none"/>
        </w:rPr>
        <w:t>规定，根据自身企业实力、市场行情、项目情况并考虑招标文件和合同可能存在的明示或暗示的风险，填报</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（官渡区太和街道和平路前卫营片区三旧改造连片开发项目工作指挥部）项目新增地块房屋调查测绘服务</w:t>
      </w:r>
      <w:r>
        <w:rPr>
          <w:rFonts w:hint="eastAsia" w:ascii="宋体" w:hAnsi="宋体" w:eastAsia="宋体" w:cs="宋体"/>
          <w:color w:val="auto"/>
          <w:sz w:val="24"/>
          <w:highlight w:val="none"/>
          <w:lang w:eastAsia="zh-CN"/>
        </w:rPr>
        <w:t>（六标段）</w:t>
      </w:r>
      <w:r>
        <w:rPr>
          <w:rFonts w:hint="eastAsia" w:ascii="宋体" w:hAnsi="宋体" w:eastAsia="宋体" w:cs="宋体"/>
          <w:color w:val="auto"/>
          <w:sz w:val="24"/>
          <w:highlight w:val="none"/>
        </w:rPr>
        <w:t>的投标报价。</w:t>
      </w:r>
    </w:p>
    <w:p>
      <w:pPr>
        <w:spacing w:line="360" w:lineRule="auto"/>
        <w:ind w:firstLine="480" w:firstLineChars="200"/>
        <w:jc w:val="left"/>
        <w:rPr>
          <w:rFonts w:hint="eastAsia" w:ascii="宋体" w:hAnsi="宋体" w:eastAsia="宋体" w:cs="宋体"/>
          <w:color w:val="auto"/>
          <w:sz w:val="24"/>
          <w:highlight w:val="none"/>
        </w:rPr>
      </w:pPr>
      <w:bookmarkStart w:id="11" w:name="_Hlk18406463"/>
      <w:r>
        <w:rPr>
          <w:rFonts w:hint="eastAsia" w:ascii="宋体" w:hAnsi="宋体" w:eastAsia="宋体" w:cs="宋体"/>
          <w:color w:val="auto"/>
          <w:sz w:val="24"/>
          <w:highlight w:val="none"/>
        </w:rPr>
        <w:t>招标人设有招标控制价（具体价格信息详见下表），投标人所报投标报价（单价）不得超过招标人公布的招标控制价，否则按照否决投标处理。</w:t>
      </w:r>
      <w:bookmarkEnd w:id="11"/>
    </w:p>
    <w:tbl>
      <w:tblPr>
        <w:tblStyle w:val="1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35"/>
        <w:gridCol w:w="915"/>
        <w:gridCol w:w="2100"/>
        <w:gridCol w:w="3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shd w:val="clear" w:color="auto" w:fill="auto"/>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35" w:type="dxa"/>
            <w:shd w:val="clear" w:color="auto" w:fill="auto"/>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915" w:type="dxa"/>
            <w:shd w:val="clear" w:color="auto" w:fill="auto"/>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2100" w:type="dxa"/>
            <w:shd w:val="clear" w:color="auto" w:fill="auto"/>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招标控制价（元）</w:t>
            </w:r>
          </w:p>
        </w:tc>
        <w:tc>
          <w:tcPr>
            <w:tcW w:w="3915" w:type="dxa"/>
            <w:shd w:val="clear" w:color="auto" w:fill="auto"/>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shd w:val="clear" w:color="auto" w:fill="auto"/>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1635" w:type="dxa"/>
            <w:shd w:val="clear" w:color="auto" w:fill="auto"/>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测绘费</w:t>
            </w:r>
          </w:p>
        </w:tc>
        <w:tc>
          <w:tcPr>
            <w:tcW w:w="915" w:type="dxa"/>
            <w:shd w:val="clear" w:color="auto" w:fill="auto"/>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w:t>
            </w:r>
          </w:p>
        </w:tc>
        <w:tc>
          <w:tcPr>
            <w:tcW w:w="2100" w:type="dxa"/>
            <w:shd w:val="clear" w:color="auto" w:fill="auto"/>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2.10</w:t>
            </w:r>
          </w:p>
        </w:tc>
        <w:tc>
          <w:tcPr>
            <w:tcW w:w="3915" w:type="dxa"/>
            <w:shd w:val="clear" w:color="auto" w:fill="auto"/>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测绘费报价中包含房屋初步调查及入户调查测绘等所有工作内容的包干单价费用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不含</w:t>
            </w:r>
            <w:r>
              <w:rPr>
                <w:rFonts w:hint="eastAsia" w:ascii="宋体" w:hAnsi="Calibri" w:eastAsia="宋体" w:cs="宋体"/>
                <w:color w:val="auto"/>
                <w:sz w:val="24"/>
                <w:highlight w:val="none"/>
              </w:rPr>
              <w:t>房屋附属设施、配套设施调查，测绘费</w:t>
            </w:r>
            <w:r>
              <w:rPr>
                <w:rFonts w:hint="eastAsia" w:ascii="宋体" w:hAnsi="Calibri" w:eastAsia="宋体" w:cs="宋体"/>
                <w:color w:val="auto"/>
                <w:sz w:val="24"/>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Calibri" w:eastAsia="宋体" w:cs="宋体"/>
          <w:color w:val="auto"/>
          <w:sz w:val="24"/>
          <w:highlight w:val="none"/>
        </w:rPr>
      </w:pPr>
      <w:r>
        <w:rPr>
          <w:rFonts w:hint="eastAsia" w:ascii="宋体" w:hAnsi="Calibri" w:eastAsia="宋体" w:cs="宋体"/>
          <w:color w:val="auto"/>
          <w:sz w:val="24"/>
          <w:highlight w:val="none"/>
        </w:rPr>
        <w:t>房屋附属设施、配套设施调查，测绘费按如下标准计算：</w:t>
      </w:r>
    </w:p>
    <w:p>
      <w:pPr>
        <w:spacing w:line="360" w:lineRule="auto"/>
        <w:ind w:firstLine="480" w:firstLineChars="200"/>
        <w:jc w:val="left"/>
        <w:rPr>
          <w:rFonts w:hint="eastAsia" w:ascii="Calibri" w:hAnsi="Calibri" w:eastAsia="宋体" w:cs="宋体"/>
          <w:color w:val="auto"/>
          <w:sz w:val="24"/>
          <w:highlight w:val="none"/>
        </w:rPr>
      </w:pPr>
      <w:r>
        <w:rPr>
          <w:rFonts w:hint="eastAsia" w:ascii="宋体" w:hAnsi="Calibri" w:eastAsia="宋体" w:cs="宋体"/>
          <w:color w:val="auto"/>
          <w:sz w:val="24"/>
          <w:highlight w:val="none"/>
        </w:rPr>
        <w:t>除昆明市人民政府办公厅关于印发昆明市集体土地上房屋拆迁补偿安置指导意见（昆政办【2015】103号）文件列明符合赔偿标准的23项附属设施、配套设施，其中含平方米的附属设施、配套设施可以计费，均按</w:t>
      </w:r>
      <w:r>
        <w:rPr>
          <w:rFonts w:hint="eastAsia" w:ascii="宋体" w:hAnsi="Calibri" w:eastAsia="宋体" w:cs="宋体"/>
          <w:color w:val="auto"/>
          <w:sz w:val="24"/>
          <w:highlight w:val="none"/>
          <w:u w:val="single"/>
          <w:lang w:val="en-US" w:eastAsia="zh-CN"/>
        </w:rPr>
        <w:t xml:space="preserve"> 0.60</w:t>
      </w:r>
      <w:r>
        <w:rPr>
          <w:rFonts w:hint="eastAsia" w:ascii="宋体" w:hAnsi="Calibri" w:eastAsia="宋体" w:cs="宋体"/>
          <w:color w:val="auto"/>
          <w:sz w:val="24"/>
          <w:highlight w:val="none"/>
          <w:u w:val="single"/>
        </w:rPr>
        <w:t>元</w:t>
      </w:r>
      <w:r>
        <w:rPr>
          <w:rFonts w:hint="eastAsia" w:ascii="宋体" w:hAnsi="宋体" w:eastAsia="宋体" w:cs="宋体"/>
          <w:color w:val="auto"/>
          <w:sz w:val="24"/>
          <w:highlight w:val="none"/>
          <w:u w:val="single"/>
        </w:rPr>
        <w:t>/平方米</w:t>
      </w:r>
      <w:r>
        <w:rPr>
          <w:rFonts w:hint="eastAsia" w:ascii="宋体" w:hAnsi="Calibri" w:eastAsia="宋体" w:cs="宋体"/>
          <w:color w:val="auto"/>
          <w:sz w:val="24"/>
          <w:highlight w:val="none"/>
        </w:rPr>
        <w:t>计算。其余房屋附属设施及配套设施由乙方</w:t>
      </w:r>
      <w:r>
        <w:rPr>
          <w:rFonts w:hint="eastAsia" w:ascii="Calibri" w:hAnsi="Calibri" w:eastAsia="宋体" w:cs="宋体"/>
          <w:color w:val="auto"/>
          <w:sz w:val="24"/>
          <w:highlight w:val="none"/>
        </w:rPr>
        <w:t>提供无偿服务，乙方不得收取甲方任何费用。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3.2.2投标报价</w:t>
      </w:r>
      <w:r>
        <w:rPr>
          <w:rFonts w:ascii="宋体" w:hAnsi="宋体" w:eastAsia="宋体" w:cs="宋体"/>
          <w:color w:val="auto"/>
          <w:sz w:val="24"/>
          <w:highlight w:val="none"/>
        </w:rPr>
        <w:t>包括但不限于以下内容：</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项目采用全费用综合单价包干模式，投标报价为完成本项目招标范围及内容所有工作的费用总和，包含但不限于：人工费（含人员工资、加班费）、专家咨询费、考察调研及踏勘费、工作辅助设备费（含电子设备）、过程及成果资料打印复印装订费、电子资料光盘或U盘购买费、管理费、培训费、人员出差费、保险、成本、税收、利润和物价等各项应有费用，并能保证投标人完成履行合同所需的一切工作。包括合同明示或暗示的所有责任、义务和风险可能导致发生的所有费用及项目分期实施的风险，投标人均应考虑在内。招标人在项目合同实施履行期间不再另行支付任何费用。最终按“审计部门审定的实际测算工程量×中标综合单价”为最终结算依据。若出现特殊情况（如出现新的增项内容等），由招标人及中标人另行签订补充协议解决。</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3.2.3投标报价说明</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3.2.3.1投标人的投标报价，应是完成本次招标范围及工作完成时限内所有工作的报价，房屋初步调查：包括但不限于权利人、房屋权属、地上建（构）筑物及附属设施、配套设施初步调查及房产面积、地上建（构）筑物及附属设施、配套设施面积初步测绘，完成房屋测绘工作并出具《前期房屋调查报告》及建(构)筑物及附属设施面积汇总表、房屋测绘平面图等（具体以招标人书面委托为准）。房屋入户调查：包括但不限于权利人、房屋权属、地上建（构）筑物及附属设施、配套设施入户调查及房产面积、地上建（构）筑物及附属设施、配套设施面积入户测绘，完成《入户测量及六方签证资料》、房产测绘平面图、房屋测绘建(构)筑物及附属设施面积汇总表、房屋测绘建(构)筑物及附属设施签证表等（具体以招标人书面委托为准），并配合其他参建单位服务工作及招标人指定的其他后续服务工作。在</w:t>
      </w:r>
      <w:r>
        <w:rPr>
          <w:rFonts w:ascii="宋体" w:hAnsi="宋体" w:eastAsia="宋体" w:cs="宋体"/>
          <w:color w:val="auto"/>
          <w:sz w:val="24"/>
          <w:highlight w:val="none"/>
        </w:rPr>
        <w:t>合同实施过程中不进行调整，</w:t>
      </w:r>
      <w:r>
        <w:rPr>
          <w:rFonts w:hint="eastAsia" w:ascii="宋体" w:hAnsi="宋体" w:eastAsia="宋体" w:cs="宋体"/>
          <w:color w:val="auto"/>
          <w:sz w:val="24"/>
          <w:highlight w:val="none"/>
        </w:rPr>
        <w:t>不得以任何理由予以重复。投标人没有报价的项目，招标人将认为有关费用已包含在其项目之中，不另行支付。</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3.2.3.2招标人提供的项目资料是招标人现有的能使投标人利用的资料，招标人对投标人由此而做出的推论、理解和结论概不负责。</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3.2.3.</w:t>
      </w:r>
      <w:r>
        <w:rPr>
          <w:rFonts w:ascii="宋体" w:hAnsi="宋体" w:eastAsia="宋体" w:cs="宋体"/>
          <w:color w:val="auto"/>
          <w:sz w:val="24"/>
          <w:highlight w:val="none"/>
        </w:rPr>
        <w:t>3</w:t>
      </w:r>
      <w:r>
        <w:rPr>
          <w:rFonts w:hint="eastAsia" w:ascii="宋体" w:hAnsi="宋体" w:eastAsia="宋体" w:cs="宋体"/>
          <w:color w:val="auto"/>
          <w:sz w:val="24"/>
          <w:highlight w:val="none"/>
        </w:rPr>
        <w:t>本报价的币种为人民币，每个投标人只能提交一个投标报价，</w:t>
      </w:r>
      <w:r>
        <w:rPr>
          <w:rFonts w:ascii="宋体" w:hAnsi="宋体" w:eastAsia="宋体" w:cs="宋体"/>
          <w:color w:val="auto"/>
          <w:sz w:val="24"/>
          <w:highlight w:val="none"/>
        </w:rPr>
        <w:t>否则其投标文件做否决投标处理。</w:t>
      </w:r>
      <w:bookmarkEnd w:id="10"/>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3.3投标有效期</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3.3.1在投标人须知前附表规定的投标有效期内，投标人不得要求撤销或修改其投标文件。</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3.4投标保证金</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3.4.1投标人在递交投标文件的同时，应按投标人须知前附表的规定递交投标保证金。联合体投标的，其投标保证金由牵头人递交，并应符合投标人须知前附表的规定。</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3.4.2投标人不按本章第3.4.1项要求提交投标保证金的，其投标文件作否决投标处理。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3.4.3投标保证金退还到投标人的基本账户。</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3.4.4投标保证金不予退还的情形：详见投标人须知前附表的规定。</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3.5资格审查资料</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3.5.1“投标人基本情况表”应附营业执照副本、资质证书副本及其它证明材料扫描件。</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3.5.2“近年类似项目情况表”应附合同协议书或中标通知书等材料扫描件（若证明材料中无法体现实质信息的，还须同时提交业主证明），具体年份要求见投标人须知前附表。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3.5.3投标人须知前附表规定接受联合体投标的，本章第3.5.1项至第3.5.2项规定的表格和资料应包括联合体各方相关情况。</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3.6备选投标方案</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3.7投标文件的编制</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3.7.1投标文件全部采用电子文档，必须使用《</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》制作。（电子文件格式为*.BTBJ）。编制要求见《电子投标文件编制及报送要求》。</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3.7.2如投标人提交的电子标书不符合3.7.1要求或开标时无法读取导入或解密，其投标文件将不予受理。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3.7.3投标文件应当对招标文件有关项目实施时间、投标有效期、质量要求、技术标准和要求、招标范围等实质性内容作出响应。</w:t>
      </w:r>
    </w:p>
    <w:p>
      <w:pPr>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3.7.4投标文件的签署：</w:t>
      </w:r>
      <w:r>
        <w:rPr>
          <w:rFonts w:hint="eastAsia" w:ascii="宋体" w:hAnsi="宋体" w:eastAsia="宋体" w:cs="宋体"/>
          <w:color w:val="auto"/>
          <w:kern w:val="0"/>
          <w:sz w:val="24"/>
          <w:highlight w:val="none"/>
        </w:rPr>
        <w:t>按照投标文件格式，采用单位和个人数字证书电子签章及电子签名。</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3.7.5投标文件的提交及份数：见投标人须知前附表。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3.7.6投标文件光盘刻录要求：见投标人须知前附表的规定。</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4.投标</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4.1投标文件的密封和标记</w:t>
      </w:r>
    </w:p>
    <w:p>
      <w:pPr>
        <w:pStyle w:val="24"/>
        <w:spacing w:after="0" w:line="360" w:lineRule="auto"/>
        <w:ind w:firstLine="480" w:firstLineChars="200"/>
        <w:contextualSpacing/>
        <w:jc w:val="left"/>
        <w:rPr>
          <w:rFonts w:ascii="宋体" w:hAnsi="宋体" w:cs="宋体"/>
          <w:snapToGrid w:val="0"/>
          <w:color w:val="auto"/>
          <w:kern w:val="0"/>
          <w:sz w:val="24"/>
          <w:highlight w:val="none"/>
        </w:rPr>
      </w:pPr>
      <w:r>
        <w:rPr>
          <w:rFonts w:hint="eastAsia" w:ascii="宋体" w:hAnsi="宋体" w:cs="宋体"/>
          <w:color w:val="auto"/>
          <w:sz w:val="24"/>
          <w:highlight w:val="none"/>
        </w:rPr>
        <w:t>4.1.1网上递交的投标文件需要对投标文件进行加密。</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4.2投标文件的递交</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4.2.1投标人应在本章第2.2.2项规定的投标截止时间前递交投标文件。</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4.2.2网上上传：投标人登录“</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”，根据拟要投标的项目，上传投标文件，投标文件全部采用电子文档，必须使用《</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》制作，并完成最后的“确认并签名”，打印“上传投标文件回执”，表明投标人网上上传投标文件成功。</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4.2.3除投标人须知前附表另有规定外，投标人所递交的投标文件不予退还。</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4.2.4投标人在提交投标文件截止时间前，首先应将电子投标文件上传到</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，如果投标人没有按规定网上递交电子投标文件，视为投标无效。</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4.3投标文件的修改与撤回</w:t>
      </w:r>
    </w:p>
    <w:p>
      <w:pPr>
        <w:pStyle w:val="24"/>
        <w:spacing w:after="0" w:line="360" w:lineRule="auto"/>
        <w:ind w:firstLine="480" w:firstLineChars="200"/>
        <w:contextualSpacing/>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在本章第2.2.2项规定的投标截止时间前，投标人可以修改或撤回已递交的投标文件，已递交的投标文件，无须以书面形式通知招标人。</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5.开标</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5.1开标时间和地点</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招标人在本章第2.2.2项规定的投标截止时间（开标时间）和投标人须知前附表规定的地点公开开标，并邀请所有投标人的法定代表人或其委托代理人准时参加。</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5.2开标程序</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主持人按下列程序进行开标：</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(1)宣布开标纪律；</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(2)公布在投标截止时间前递交投标文件的投标人名称；</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(3)宣布开标人、唱标人、记录人、监标人等有关人员姓名；</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(4)按照投标人须知前附表规定检查投标文件的密封情况；</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(5)按照投标人须知前附表的规定确定并宣布投标文件开标顺序；</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 按照交易平台自动提取所有投标人顺序当众开标，导入有效投标人的电子投标文件，同时，对网上递交加密投标文件的投标文件，提供远程解密，解密完成后，公布投标人名称、标段名称、投标保证金的递交情况、投标报价、服务承诺及其他内容，并记录在案。因投标人原因造成投标文件未解密的，视为撤销其投标文件；</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(7)投标人代表、招标人代表、监标人、记录人等有关人员在开标记录上签字确认；</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(8)开标结束。</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5.3投标文件不予受理情形</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投标文件有下列情形之一的，招标人不予受理：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(1)在2.2.2项规定的“投标截止时间”以后逾期送达的；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(2)不符合4.1.1项规定的“投标文件密封”要求的；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(3)投标人提交的电子标书格式不符合3.7.1项要求或无法读取导入的。</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6.评标</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6.1评标委员会</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6.1.1</w:t>
      </w:r>
      <w:r>
        <w:rPr>
          <w:rFonts w:ascii="宋体" w:hAnsi="宋体" w:eastAsia="宋体" w:cs="宋体"/>
          <w:color w:val="auto"/>
          <w:sz w:val="24"/>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6.1.2评标委员会成员有下列情形之一的，应当回避：</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(1)招标人或投标人的主要负责人的近亲属；</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(2)项目主管部门或者行政监督部门的人员；</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(3)与投标人有经济利益关系，可能影响对投标公正评审的；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(4)曾因在招标、评标以及其他与招标投标有关活动中从事违法行为而受过行政处罚或刑事处罚的。</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6.2评标原则</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评标活动遵循公平、公正、科学和择优的原则。</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6.3评标</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评标委员会按照第三章“评标办法”规定的方法、评审因素、标准和程序对投标文件进行评审。第三章“评标办法”没有规定的方法、评审因素和标准，不作为评标依据。</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7.合同授予</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7.1定标方式</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除投标人须知前附表规定评标委员会直接确定中标人外，招标人依据评标委员会推荐的中标候选人确定中标人，评标委员会推荐中标候选人的人数见投标人须知前附表。</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7.2中标通知</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在本章第3.3款规定的投标有效期内，招标人以书面形式向中标人发出中标通知书，同时将中标结果通知未中标的投标人。</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7.3履约担保</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7.3.1在签订合同前，中标人应按投标人须知前附表规定的金额、担保形式向招标人提交履约担保。联合体中标的，其履约担保由牵头人递交，并应符合投标人须知前附表规定的金额、担保形式。</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7.3.2中标人不能按本章第7.3.1项要求提交履约担保的，视为放弃中标，其投标保证金不予退还，给招标人造成的损失超过投标保证金数额的，中标人还应当对超过部分予以赔偿。</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7.4签订合同</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7.4.2发出中标通知书后，招标人无正当理由拒签合同的，招标人向中标人退还投标保证金；给中标人造成损失的，还应当赔偿损失。</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8.重新招标</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有下列情形之一的，招标人将重新招标：</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(1)投标截止时间止，投标人少于3个的；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(2)经评标委员会评审后否决所有投标的。</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9.纪律和监督</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9.1对招标人的纪律要求</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招标人不得泄漏招标投标活动中应当保密的情况和资料，不得与投标人串通损害国家利益、社会公共利益或者他人合法权益。</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9.2对投标人的纪律要求</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9.3对评标委员会成员的纪律要求</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9.4对与评标活动有关的工作人员的纪律要求</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9.5投诉</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投标人和其他利害关系人认为本次招标活动违反法律、法规和规章规定的，按相关法律法规执行。</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10.需要补充的其他内容</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需要补充的其他内容：见投标人须知前附表。</w:t>
      </w:r>
    </w:p>
    <w:p>
      <w:pPr>
        <w:spacing w:line="360" w:lineRule="auto"/>
        <w:jc w:val="left"/>
        <w:rPr>
          <w:rFonts w:ascii="宋体" w:hAnsi="宋体" w:eastAsia="宋体" w:cs="宋体"/>
          <w:b/>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rPr>
        <w:t>附件一：电子投标文件编制及报送要求</w:t>
      </w:r>
    </w:p>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电子投标文件编制及报送要求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1、电子投标文件的制作必须使用《</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》，生成电子签名的技术标投标文件，格式为*.BTBJ（此文件必须网上递交）。如果要求提供电子效果图纸文件/电子视频演示文件，也必须使用《</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制作生成电子签名的效果图纸文件（格式为*.BTBT）/视频演示文件（格式为*.BTBY），这两个文件无须网上递交上传，需单独刻录一张光盘密封，密封袋上应写明“XXX单位电子签名的效果图纸和视频演示文件”，并提交到开标现场，在开标现场由工作人员现场开启光盘并导入开标系统。光盘刻录时，请使用正规刻录软件进行刻录CD或DVD光盘，不要对电子投标文件进行压缩，光盘刻录完成后，应检验光盘刻录的质量，检验光盘时不要在本机的刻录光驱上进行，将刻录好的光盘用另外一台电脑的“只读光驱”进行读取测试。测试的方法：将刻录光盘上的投标文件数据拷贝到电脑硬盘上，检查拷贝是否成功，同时使用相应标书文件编制系统或查看工具中的【查看标书】功能对刻录后光盘中的电子标书文件进行查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提供数字证书（CA）对投标文件进行加密功能。投标人对网上递交的投标文件应加密。如果投标人使用某个数字证书（CA）对投标文件进行了数字证书（CA）加密，需要在开标会上使用该数字证书（CA）进行现场解密，才能读取或导入投标文件，因投标人原因造成投标文件未解密的，视为撤回其投标文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3、网上递交投标文件应根据招标文件要求，在投标截止时间前将电子投标文件通过“</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”网上上传指定的开标项目，并打印“上传投标文件回执”，以表明上传成功。</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、投标人投标时，须按本附件 “电子投标文件编制及报送要求”规定编制及网上递交电子投标文件</w:t>
      </w:r>
      <w:r>
        <w:rPr>
          <w:rFonts w:hint="eastAsia" w:ascii="宋体" w:hAnsi="宋体" w:eastAsia="宋体" w:cs="宋体"/>
          <w:color w:val="auto"/>
          <w:sz w:val="24"/>
          <w:highlight w:val="none"/>
          <w:lang w:eastAsia="zh-CN"/>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、该投标文件制作及报送要求如果与招标文件规定不一致，以此投标文件制作及报送要求为准。</w:t>
      </w:r>
      <w:r>
        <w:rPr>
          <w:rFonts w:hint="eastAsia" w:ascii="宋体" w:hAnsi="宋体" w:eastAsia="宋体" w:cs="宋体"/>
          <w:vanish/>
          <w:color w:val="auto"/>
          <w:sz w:val="24"/>
          <w:highlight w:val="none"/>
        </w:rPr>
        <w:t>7、工程建设施工项目竞争性谈判工程量清单（商务标）报价和投标函及附录，以《昆明市房屋建筑及市政工程商务标投标文件编制系统》/《昆明市公路工程商务标投标文件编制系统》/《昆明市水利水电工程商务标投标文件编制系统》/《昆明市土地整理项目商务标投标文件编制系统》为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、潜在投标人电汇和网银到市保证金专项银行账户后，潜在投标人需要使用数字证书（CA）登陆“</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”对所投标项目标段进行投标保证金金额对应。如不进行对应，将无法对本项目标段投标</w:t>
      </w:r>
      <w:r>
        <w:rPr>
          <w:rFonts w:hint="eastAsia" w:ascii="宋体" w:hAnsi="宋体" w:eastAsia="宋体" w:cs="宋体"/>
          <w:color w:val="auto"/>
          <w:sz w:val="24"/>
          <w:highlight w:val="none"/>
          <w:lang w:eastAsia="zh-CN"/>
        </w:rPr>
        <w:t>。</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注：不同单位的投标文件若芯片序列号、硬盘序列号、网卡序列号一致，视为由同一台电脑编制！</w:t>
      </w:r>
    </w:p>
    <w:p>
      <w:pPr>
        <w:pStyle w:val="3"/>
        <w:rPr>
          <w:rFonts w:ascii="宋体" w:hAnsi="宋体" w:cs="宋体"/>
          <w:color w:val="auto"/>
          <w:kern w:val="2"/>
          <w:szCs w:val="44"/>
          <w:highlight w:val="none"/>
        </w:rPr>
      </w:pPr>
      <w:r>
        <w:rPr>
          <w:rFonts w:hint="eastAsia" w:ascii="宋体" w:hAnsi="宋体" w:cs="宋体"/>
          <w:color w:val="auto"/>
          <w:sz w:val="24"/>
          <w:szCs w:val="24"/>
          <w:highlight w:val="none"/>
        </w:rPr>
        <w:br w:type="page"/>
      </w:r>
      <w:bookmarkStart w:id="12" w:name="_Toc68192796"/>
      <w:bookmarkStart w:id="13" w:name="_Toc24868"/>
      <w:r>
        <w:rPr>
          <w:rFonts w:hint="eastAsia" w:ascii="宋体" w:hAnsi="宋体" w:cs="宋体"/>
          <w:color w:val="auto"/>
          <w:kern w:val="2"/>
          <w:szCs w:val="44"/>
          <w:highlight w:val="none"/>
        </w:rPr>
        <w:t>第三章  评标办法</w:t>
      </w:r>
      <w:bookmarkEnd w:id="12"/>
      <w:bookmarkEnd w:id="13"/>
    </w:p>
    <w:p>
      <w:pPr>
        <w:spacing w:line="360" w:lineRule="auto"/>
        <w:jc w:val="center"/>
        <w:outlineLvl w:val="2"/>
        <w:rPr>
          <w:rFonts w:ascii="宋体" w:hAnsi="宋体" w:eastAsia="宋体" w:cs="宋体"/>
          <w:b/>
          <w:color w:val="auto"/>
          <w:sz w:val="28"/>
          <w:highlight w:val="none"/>
        </w:rPr>
      </w:pPr>
      <w:bookmarkStart w:id="14" w:name="_Toc21292"/>
      <w:r>
        <w:rPr>
          <w:rFonts w:hint="eastAsia" w:ascii="宋体" w:hAnsi="宋体" w:eastAsia="宋体" w:cs="宋体"/>
          <w:b/>
          <w:color w:val="auto"/>
          <w:sz w:val="28"/>
          <w:highlight w:val="none"/>
        </w:rPr>
        <w:t>评标办法前附表</w:t>
      </w:r>
      <w:bookmarkEnd w:id="14"/>
    </w:p>
    <w:tbl>
      <w:tblPr>
        <w:tblStyle w:val="18"/>
        <w:tblW w:w="9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884"/>
        <w:gridCol w:w="1961"/>
        <w:gridCol w:w="5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787"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评审因素</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restart"/>
            <w:tcBorders>
              <w:top w:val="single" w:color="000000" w:sz="4" w:space="0"/>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2.1.1</w:t>
            </w:r>
          </w:p>
        </w:tc>
        <w:tc>
          <w:tcPr>
            <w:tcW w:w="884" w:type="dxa"/>
            <w:vMerge w:val="restart"/>
            <w:tcBorders>
              <w:top w:val="single" w:color="000000" w:sz="4" w:space="0"/>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形式</w:t>
            </w: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响应性</w:t>
            </w: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评审</w:t>
            </w: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标准</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投标人名称</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投标文件的签署</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符合第二章“投标人须知前附表”第3.7.4项要求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投标文件格式</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符合第二章附件一电子投标文件编制及报送要求和“投标人须知”第3.7.1项要求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投标内容</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服务周期</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质量</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符合第二章“投标人须知前附表”第1.3.5项规定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权利义务</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符合第四章“合同条款及格式”规定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技术要求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符合第五章“技术要求”规定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报价唯一</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只能有一个有效报价，不高于招标控制价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restart"/>
            <w:tcBorders>
              <w:top w:val="single" w:color="000000" w:sz="4" w:space="0"/>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2.1.2</w:t>
            </w:r>
          </w:p>
        </w:tc>
        <w:tc>
          <w:tcPr>
            <w:tcW w:w="884" w:type="dxa"/>
            <w:vMerge w:val="restart"/>
            <w:tcBorders>
              <w:top w:val="single" w:color="000000" w:sz="4" w:space="0"/>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资格</w:t>
            </w: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评审</w:t>
            </w: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标准</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投标人基本情况</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符合第二章“投标人须知前附表”第1.4.1项和第六章资格审查部分第一项规定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法定代表人身份证明及授权委托书</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符合第六章资格审查部分第二项规定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业绩要求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符合第二章“投标人须知前附表”第1.4.1项和第六章资格审查部分第三项规定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项目负责人要求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符合第二章“投标人须知前附表”第1.4.1项和第六章资格审查部分第四项规定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财务要求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符合第二章“投标人须知前附表”第1.4.1项规定和符合第六章资格审查部分第五项规定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退出制度的承诺</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符合第六章资格审查部分第六项规定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企业信誉</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符合第二章“投标人须知前附表”第1.4.1项规定和符合第六章资格审查部分第七项规定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不得存在控股、管理等情形</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符合第二章“投标人须知前附表”第1.4.1项规定和符合第六章资格审查部分第八项规定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不存在不得参与投标的其他情形</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符合第二章“投标人须知前附表”第1.4.1项中的5.8的规定和第六章资格审查部分第九项规定。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投标保证金缴纳凭证</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符合第二章“投标人须知前附表”第3.4.1项和第六章资格审查部分第十项规定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投标人承诺书</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符合第六章资格审查部分第十一项规定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bottom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bottom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其它</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不存在本章《附件B：否决投标条件》中所列的否决投标情形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tcBorders>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2.2</w:t>
            </w:r>
          </w:p>
        </w:tc>
        <w:tc>
          <w:tcPr>
            <w:tcW w:w="884" w:type="dxa"/>
            <w:tcBorders>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详细评审</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评审办法说明</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本项目详细评审办法为采用综合评估法。</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最后得分计算公式为：Z＝S＋J</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其中：Z为投标人最终得分</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S为投标文件商务部分得分</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J为投标文件技术部分得分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restart"/>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2.2.1</w:t>
            </w:r>
          </w:p>
        </w:tc>
        <w:tc>
          <w:tcPr>
            <w:tcW w:w="884" w:type="dxa"/>
            <w:vMerge w:val="restart"/>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技术部分评审</w:t>
            </w: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（满分85分）</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项目服务方案（满分20分）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①服务方案重点明确，工作进度计划安排合理、紧凑，测绘设备先进、完善；实施方式及保障措施具体，针对性较强，思路明确，阐述具体、有序的得15-20分；</w:t>
            </w:r>
          </w:p>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②服务方案重点基本明确，工作进度计划安排合理性一般，测绘设备较完善，能满足项目实施；实施方式及保障措施基本可行，针对性一般，思路基本明确，阐述基本具体，不混乱的得8-14分；</w:t>
            </w:r>
          </w:p>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③服务方案中重点不够明确，工作进度计划安排合理性较差，测绘设备基本能满足项目实施需要，但有明显缺陷；实施方式及保障措施针对性较差，思路不明确，有明显错误或缺漏，阐述混乱的得1-7分；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服务质量承诺及保证措施（满分15分）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①质量承诺及保证措施较好，内容较详细，重点突出，措施具体可行且针对性强，违约责任承诺详细具体的得11-15分；</w:t>
            </w:r>
          </w:p>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②有完整的质量承诺及保证措施，措施具有可操作性，有具体的违约责任承诺的得6-10分；</w:t>
            </w:r>
          </w:p>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③质量承诺基本满足竞争性招标文件要求，有违约责任承诺但不具体，或有重大错漏的得1-5分。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成果资料质量承诺及保证措施（满分20分）</w:t>
            </w:r>
          </w:p>
          <w:p>
            <w:pPr>
              <w:pBdr>
                <w:top w:val="none" w:color="auto" w:sz="0" w:space="1"/>
                <w:left w:val="none" w:color="auto" w:sz="0" w:space="4"/>
                <w:bottom w:val="none" w:color="auto" w:sz="0" w:space="1"/>
                <w:right w:val="none" w:color="auto" w:sz="0" w:space="4"/>
              </w:pBdr>
              <w:spacing w:line="400" w:lineRule="exact"/>
              <w:jc w:val="center"/>
              <w:rPr>
                <w:rFonts w:ascii="宋体" w:hAnsi="宋体" w:eastAsia="宋体" w:cs="宋体"/>
                <w:color w:val="auto"/>
                <w:sz w:val="24"/>
                <w:highlight w:val="none"/>
              </w:rPr>
            </w:pPr>
          </w:p>
        </w:tc>
        <w:tc>
          <w:tcPr>
            <w:tcW w:w="5426" w:type="dxa"/>
            <w:tcBorders>
              <w:top w:val="single" w:color="000000" w:sz="4" w:space="0"/>
              <w:left w:val="single" w:color="000000" w:sz="4" w:space="0"/>
              <w:bottom w:val="single" w:color="000000" w:sz="4" w:space="0"/>
              <w:right w:val="single" w:color="000000" w:sz="4" w:space="0"/>
            </w:tcBorders>
            <w:noWrap/>
            <w:vAlign w:val="center"/>
          </w:tcPr>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①成果资料质量承诺能较好的满足招标文件要求，保证措施完善、可行且有具体违约处罚承诺的得15-20分；</w:t>
            </w:r>
          </w:p>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②成果资料质量承诺满足招标文件要求，但承诺条件较一般，保证措施基本完善、基本可行且有违约承诺的得8-14分；</w:t>
            </w:r>
          </w:p>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③成果资料质量承诺满足招标文件要求，但承诺条件较差，保证措施不完善的得1-7分。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keepNext/>
              <w:keepLines/>
              <w:pBdr>
                <w:top w:val="none" w:color="auto" w:sz="0" w:space="1"/>
                <w:left w:val="none" w:color="auto" w:sz="0" w:space="4"/>
                <w:bottom w:val="none" w:color="auto" w:sz="0" w:space="1"/>
                <w:right w:val="none" w:color="auto" w:sz="0" w:space="4"/>
              </w:pBdr>
              <w:tabs>
                <w:tab w:val="left" w:pos="1021"/>
              </w:tabs>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拟派本项目团队人员情况 </w:t>
            </w:r>
          </w:p>
          <w:p>
            <w:pPr>
              <w:keepNext/>
              <w:keepLines/>
              <w:pBdr>
                <w:top w:val="none" w:color="auto" w:sz="0" w:space="1"/>
                <w:left w:val="none" w:color="auto" w:sz="0" w:space="4"/>
                <w:bottom w:val="none" w:color="auto" w:sz="0" w:space="1"/>
                <w:right w:val="none" w:color="auto" w:sz="0" w:space="4"/>
              </w:pBdr>
              <w:tabs>
                <w:tab w:val="left" w:pos="1021"/>
              </w:tabs>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（满分15）</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①投标人为本项目配置的人员优于招标文件要求，人员总体搭配较为完善合理、切合实际，服务经验丰富，项目团队业务经验较佳，人员配置与项目需求匹配度较高，有利于其较好开展本项目工作，对本项目有较强的针对性，且优于招标文件要求的得11-15分；</w:t>
            </w:r>
          </w:p>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②投标人为本项目配置的人员满足招标文件要求，人员总体搭配合理、切合实际，对本项目有一定针对性，且较好满足招标文件要求的得6-10分；</w:t>
            </w:r>
          </w:p>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③投标人为本项目配置的人员满足招标文件要求，人员总体搭配简单，对本项目针对性一般的，且基本满足招标文件要求的得1-5分；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类似业绩（满分15分）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投标人2018年1月1日至今承担过2项类似业绩的得基本分2分，在此基础上每增加一项类似业绩加1分，最多得15分。（</w:t>
            </w:r>
            <w:r>
              <w:rPr>
                <w:rFonts w:hint="eastAsia" w:ascii="宋体" w:hAnsi="宋体" w:eastAsia="宋体" w:cs="宋体"/>
                <w:color w:val="auto"/>
                <w:sz w:val="24"/>
                <w:highlight w:val="none"/>
                <w:lang w:eastAsia="zh-CN"/>
              </w:rPr>
              <w:t>类似业绩指类似城中村拆迁或改造或一级开发或征地拆迁或土地收储或棚户区改造或三旧改造项目的房产测绘或房屋测量或房屋调查、不动产数据整合、不动产登记等相关业绩</w:t>
            </w:r>
            <w:r>
              <w:rPr>
                <w:rFonts w:hint="eastAsia" w:ascii="宋体" w:hAnsi="宋体" w:eastAsia="宋体" w:cs="宋体"/>
                <w:color w:val="auto"/>
                <w:sz w:val="24"/>
                <w:highlight w:val="none"/>
              </w:rPr>
              <w:t>。）</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注：业绩证明材料为合同协议书或中标通知书或所服务业主出具的证明材料。扫描件附在电子投标文件中，否则评分时不得分。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restart"/>
            <w:tcBorders>
              <w:left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2.2.2</w:t>
            </w:r>
          </w:p>
        </w:tc>
        <w:tc>
          <w:tcPr>
            <w:tcW w:w="884" w:type="dxa"/>
            <w:vMerge w:val="restart"/>
            <w:tcBorders>
              <w:left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商务部分评审</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（满分15分）</w:t>
            </w:r>
          </w:p>
        </w:tc>
        <w:tc>
          <w:tcPr>
            <w:tcW w:w="1961" w:type="dxa"/>
            <w:vMerge w:val="restart"/>
            <w:tcBorders>
              <w:top w:val="single" w:color="000000" w:sz="4" w:space="0"/>
              <w:left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投标报价（满分15分）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一、平均价计算公式：</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公式一：（适用于当投标报价个数n在n≥5范围时）</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P=（ t1＋t2＋…tn－2）÷（n－2）</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其中：</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（1）P为平均价；</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（2）t1、t2、…、tn－2指去掉一个最高值和一个最低值后的投标报价；</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（3）n指投标报价个数。</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公式二：（适用于当投标报价个数n在5 &gt;n≥3范围时）</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P=（ t1＋t2＋…tn）÷ n</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其中：</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（1）P为平均价；</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（2）t1、t2、…、tn指投标报价；</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（3）n指投标报价个数。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p>
        </w:tc>
        <w:tc>
          <w:tcPr>
            <w:tcW w:w="1961" w:type="dxa"/>
            <w:vMerge w:val="continue"/>
            <w:tcBorders>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二、投标报价评审（满分15分）:</w:t>
            </w:r>
          </w:p>
          <w:p>
            <w:pPr>
              <w:spacing w:line="400" w:lineRule="exact"/>
              <w:jc w:val="left"/>
              <w:rPr>
                <w:rFonts w:ascii="宋体" w:hAnsi="宋体" w:eastAsia="宋体" w:cs="宋体"/>
                <w:color w:val="auto"/>
                <w:sz w:val="24"/>
                <w:highlight w:val="none"/>
              </w:rPr>
            </w:pPr>
            <w:r>
              <w:rPr>
                <w:rFonts w:ascii="宋体" w:hAnsi="宋体" w:eastAsia="宋体" w:cs="宋体"/>
                <w:color w:val="auto"/>
                <w:sz w:val="24"/>
                <w:highlight w:val="none"/>
              </w:rPr>
              <w:t>投标报价等于</w:t>
            </w:r>
            <w:r>
              <w:rPr>
                <w:rFonts w:hint="eastAsia" w:ascii="宋体" w:hAnsi="宋体" w:eastAsia="宋体" w:cs="宋体"/>
                <w:color w:val="auto"/>
                <w:sz w:val="24"/>
                <w:highlight w:val="none"/>
              </w:rPr>
              <w:t>平均价</w:t>
            </w:r>
            <w:r>
              <w:rPr>
                <w:rFonts w:ascii="宋体" w:hAnsi="宋体" w:eastAsia="宋体" w:cs="宋体"/>
                <w:color w:val="auto"/>
                <w:sz w:val="24"/>
                <w:highlight w:val="none"/>
              </w:rPr>
              <w:t>时，得满分</w:t>
            </w:r>
            <w:r>
              <w:rPr>
                <w:rFonts w:hint="eastAsia" w:ascii="宋体" w:hAnsi="宋体" w:eastAsia="宋体" w:cs="宋体"/>
                <w:color w:val="auto"/>
                <w:sz w:val="24"/>
                <w:highlight w:val="none"/>
              </w:rPr>
              <w:t>15</w:t>
            </w:r>
            <w:r>
              <w:rPr>
                <w:rFonts w:ascii="宋体" w:hAnsi="宋体" w:eastAsia="宋体" w:cs="宋体"/>
                <w:color w:val="auto"/>
                <w:sz w:val="24"/>
                <w:highlight w:val="none"/>
              </w:rPr>
              <w:t>分。投标报价与</w:t>
            </w:r>
            <w:r>
              <w:rPr>
                <w:rFonts w:hint="eastAsia" w:ascii="宋体" w:hAnsi="宋体" w:eastAsia="宋体" w:cs="宋体"/>
                <w:color w:val="auto"/>
                <w:sz w:val="24"/>
                <w:highlight w:val="none"/>
              </w:rPr>
              <w:t>平均</w:t>
            </w:r>
            <w:r>
              <w:rPr>
                <w:rFonts w:ascii="宋体" w:hAnsi="宋体" w:eastAsia="宋体" w:cs="宋体"/>
                <w:color w:val="auto"/>
                <w:sz w:val="24"/>
                <w:highlight w:val="none"/>
              </w:rPr>
              <w:t>价相比（比值）每向上或向下浮动1%，扣0.</w:t>
            </w:r>
            <w:r>
              <w:rPr>
                <w:rFonts w:hint="eastAsia" w:ascii="宋体" w:hAnsi="宋体" w:eastAsia="宋体" w:cs="宋体"/>
                <w:color w:val="auto"/>
                <w:sz w:val="24"/>
                <w:highlight w:val="none"/>
              </w:rPr>
              <w:t>4</w:t>
            </w:r>
            <w:r>
              <w:rPr>
                <w:rFonts w:ascii="宋体" w:hAnsi="宋体" w:eastAsia="宋体" w:cs="宋体"/>
                <w:color w:val="auto"/>
                <w:sz w:val="24"/>
                <w:highlight w:val="none"/>
              </w:rPr>
              <w:t>分，本项分数扣完为止。</w:t>
            </w:r>
            <w:r>
              <w:rPr>
                <w:rFonts w:hint="eastAsia" w:ascii="宋体" w:hAnsi="宋体" w:eastAsia="宋体" w:cs="宋体"/>
                <w:color w:val="auto"/>
                <w:sz w:val="24"/>
                <w:highlight w:val="none"/>
              </w:rPr>
              <w:t>（分值中间值用插入法计算，小数点后保留两位）。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tcBorders>
              <w:top w:val="single" w:color="auto" w:sz="4" w:space="0"/>
              <w:left w:val="single" w:color="000000" w:sz="4" w:space="0"/>
              <w:bottom w:val="single" w:color="auto"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845"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评标程序</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详见本章附件A：评标详细程序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tcBorders>
              <w:top w:val="single" w:color="auto" w:sz="4" w:space="0"/>
              <w:left w:val="single" w:color="000000" w:sz="4" w:space="0"/>
              <w:bottom w:val="single" w:color="auto"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3.1.2</w:t>
            </w:r>
          </w:p>
        </w:tc>
        <w:tc>
          <w:tcPr>
            <w:tcW w:w="2845"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否决投标条件</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详见本章附件B：否决投标条件</w:t>
            </w:r>
          </w:p>
        </w:tc>
      </w:tr>
    </w:tbl>
    <w:p>
      <w:pPr>
        <w:spacing w:line="360" w:lineRule="auto"/>
        <w:jc w:val="center"/>
        <w:outlineLvl w:val="2"/>
        <w:rPr>
          <w:rFonts w:ascii="宋体" w:hAnsi="宋体"/>
          <w:b/>
          <w:color w:val="auto"/>
          <w:sz w:val="28"/>
          <w:highlight w:val="none"/>
        </w:rPr>
      </w:pPr>
      <w:r>
        <w:rPr>
          <w:rFonts w:hint="eastAsia"/>
          <w:color w:val="auto"/>
          <w:highlight w:val="none"/>
        </w:rPr>
        <w:br w:type="page"/>
      </w:r>
      <w:bookmarkStart w:id="15" w:name="_Toc27932"/>
      <w:r>
        <w:rPr>
          <w:rFonts w:hint="eastAsia" w:ascii="宋体" w:hAnsi="宋体"/>
          <w:b/>
          <w:color w:val="auto"/>
          <w:sz w:val="28"/>
          <w:highlight w:val="none"/>
        </w:rPr>
        <w:t>评标办法正文部分</w:t>
      </w:r>
      <w:bookmarkEnd w:id="15"/>
    </w:p>
    <w:p>
      <w:pPr>
        <w:pStyle w:val="5"/>
        <w:rPr>
          <w:color w:val="auto"/>
          <w:sz w:val="24"/>
          <w:szCs w:val="24"/>
          <w:highlight w:val="none"/>
        </w:rPr>
      </w:pPr>
      <w:bookmarkStart w:id="16" w:name="_Toc375409595"/>
      <w:bookmarkStart w:id="17" w:name="_Toc443642482"/>
      <w:bookmarkStart w:id="18" w:name="_Toc3044"/>
      <w:r>
        <w:rPr>
          <w:color w:val="auto"/>
          <w:sz w:val="24"/>
          <w:szCs w:val="24"/>
          <w:highlight w:val="none"/>
        </w:rPr>
        <w:t>1．评标方法</w:t>
      </w:r>
      <w:bookmarkEnd w:id="16"/>
      <w:bookmarkEnd w:id="17"/>
      <w:bookmarkEnd w:id="18"/>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本次评标采用综合评估法。评标委员会对满足招标文件实质要求的投标文件，根据本章第2.2 款规定的评标办法进行打分，按照最后得分由高到低的顺序推荐中标候选人。最后得分相等时，投标报价较低的优先；若投标报价相同，则以技术部分得分高的优先；若技术部分得分也相等的，由评标委员会投票确定。</w:t>
      </w:r>
    </w:p>
    <w:p>
      <w:pPr>
        <w:pStyle w:val="5"/>
        <w:rPr>
          <w:rFonts w:ascii="宋体" w:hAnsi="宋体" w:cs="宋体"/>
          <w:color w:val="auto"/>
          <w:sz w:val="24"/>
          <w:szCs w:val="24"/>
          <w:highlight w:val="none"/>
        </w:rPr>
      </w:pPr>
      <w:bookmarkStart w:id="19" w:name="_Toc443642483"/>
      <w:bookmarkStart w:id="20" w:name="_Toc375409596"/>
      <w:bookmarkStart w:id="21" w:name="_Toc184635090"/>
      <w:bookmarkStart w:id="22" w:name="_Toc29615"/>
      <w:r>
        <w:rPr>
          <w:rFonts w:hint="eastAsia" w:ascii="宋体" w:hAnsi="宋体" w:cs="宋体"/>
          <w:color w:val="auto"/>
          <w:sz w:val="24"/>
          <w:szCs w:val="24"/>
          <w:highlight w:val="none"/>
        </w:rPr>
        <w:t>2．评审标准</w:t>
      </w:r>
      <w:bookmarkEnd w:id="19"/>
      <w:bookmarkEnd w:id="20"/>
      <w:bookmarkEnd w:id="21"/>
      <w:bookmarkEnd w:id="22"/>
    </w:p>
    <w:p>
      <w:pPr>
        <w:pStyle w:val="6"/>
        <w:spacing w:before="0" w:after="0" w:line="360" w:lineRule="auto"/>
        <w:rPr>
          <w:rFonts w:ascii="宋体" w:hAnsi="宋体" w:cs="宋体"/>
          <w:color w:val="auto"/>
          <w:sz w:val="24"/>
          <w:szCs w:val="24"/>
          <w:highlight w:val="none"/>
        </w:rPr>
      </w:pPr>
      <w:bookmarkStart w:id="23" w:name="_Toc443642484"/>
      <w:bookmarkStart w:id="24" w:name="_Toc375409597"/>
      <w:r>
        <w:rPr>
          <w:rFonts w:hint="eastAsia" w:ascii="宋体" w:hAnsi="宋体" w:cs="宋体"/>
          <w:color w:val="auto"/>
          <w:sz w:val="24"/>
          <w:szCs w:val="24"/>
          <w:highlight w:val="none"/>
        </w:rPr>
        <w:t>2.1 初步评审标准</w:t>
      </w:r>
      <w:bookmarkEnd w:id="23"/>
      <w:bookmarkEnd w:id="24"/>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2.1.1 形式响应性评审标准：见评标办法前附表。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2.1.2 资格评审标准：见评标办法前附表。</w:t>
      </w:r>
    </w:p>
    <w:p>
      <w:pPr>
        <w:pStyle w:val="6"/>
        <w:spacing w:before="0" w:after="0" w:line="360" w:lineRule="auto"/>
        <w:rPr>
          <w:rFonts w:ascii="宋体" w:hAnsi="宋体" w:cs="宋体"/>
          <w:color w:val="auto"/>
          <w:sz w:val="24"/>
          <w:szCs w:val="24"/>
          <w:highlight w:val="none"/>
        </w:rPr>
      </w:pPr>
      <w:bookmarkStart w:id="25" w:name="_Toc443642485"/>
      <w:bookmarkStart w:id="26" w:name="_Toc375409598"/>
      <w:r>
        <w:rPr>
          <w:rFonts w:hint="eastAsia" w:ascii="宋体" w:hAnsi="宋体" w:cs="宋体"/>
          <w:color w:val="auto"/>
          <w:sz w:val="24"/>
          <w:szCs w:val="24"/>
          <w:highlight w:val="none"/>
        </w:rPr>
        <w:t>2.2 详细评审标准</w:t>
      </w:r>
      <w:bookmarkEnd w:id="25"/>
      <w:bookmarkEnd w:id="26"/>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办法采用综合评估打分法，评标时应先评技术部分后评商务部分，对通过资格审查及初步评审的投标文件的技术、商务部分分别按照百分制打分方法打分后，再按下列公式计算出投标的最后得分，按最后得分由高至低的顺序推荐中标候选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Z＝S＋J</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其中：</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Z：指投标人的最后得分；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S：指投标人的商务部分得分；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J：指投标人的技术部分得分。</w:t>
      </w:r>
    </w:p>
    <w:p>
      <w:pPr>
        <w:spacing w:line="360" w:lineRule="auto"/>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rPr>
        <w:t>2.2.1 技术部分评审：</w:t>
      </w:r>
      <w:r>
        <w:rPr>
          <w:rFonts w:hint="eastAsia" w:ascii="宋体" w:hAnsi="宋体" w:eastAsia="宋体" w:cs="宋体"/>
          <w:color w:val="auto"/>
          <w:sz w:val="24"/>
          <w:highlight w:val="none"/>
        </w:rPr>
        <w:t>详见评标办法前附表。</w:t>
      </w:r>
    </w:p>
    <w:p>
      <w:pPr>
        <w:spacing w:line="360" w:lineRule="auto"/>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rPr>
        <w:t>2.2.2 商务部分评审：</w:t>
      </w:r>
      <w:r>
        <w:rPr>
          <w:rFonts w:hint="eastAsia" w:ascii="宋体" w:hAnsi="宋体" w:eastAsia="宋体" w:cs="宋体"/>
          <w:color w:val="auto"/>
          <w:sz w:val="24"/>
          <w:highlight w:val="none"/>
        </w:rPr>
        <w:t>详见评标办法前附表。</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2.2.3 评分要求和统计分数原则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1、评标委员会评委应首先对各投标人投标书进行评审，并按招标文件规定分值评分。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2、技术部分评分中，各评委应自主评分。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 统计分数原则：评标委员会全体成员的评分计算出平均得分，为投标人评审因素最后得分（保留小数点后两位）。</w:t>
      </w:r>
    </w:p>
    <w:p>
      <w:pPr>
        <w:pStyle w:val="5"/>
        <w:rPr>
          <w:rFonts w:ascii="宋体" w:hAnsi="宋体" w:cs="宋体"/>
          <w:color w:val="auto"/>
          <w:sz w:val="24"/>
          <w:szCs w:val="24"/>
          <w:highlight w:val="none"/>
        </w:rPr>
      </w:pPr>
      <w:bookmarkStart w:id="27" w:name="_Toc184635091"/>
      <w:bookmarkStart w:id="28" w:name="_Toc4632"/>
      <w:bookmarkStart w:id="29" w:name="_Toc443642486"/>
      <w:bookmarkStart w:id="30" w:name="_Toc375409599"/>
      <w:r>
        <w:rPr>
          <w:rFonts w:hint="eastAsia" w:ascii="宋体" w:hAnsi="宋体" w:cs="宋体"/>
          <w:color w:val="auto"/>
          <w:sz w:val="24"/>
          <w:szCs w:val="24"/>
          <w:highlight w:val="none"/>
        </w:rPr>
        <w:t>3．评标程序</w:t>
      </w:r>
      <w:bookmarkEnd w:id="27"/>
      <w:bookmarkEnd w:id="28"/>
      <w:bookmarkEnd w:id="29"/>
      <w:bookmarkEnd w:id="30"/>
    </w:p>
    <w:p>
      <w:pPr>
        <w:pStyle w:val="6"/>
        <w:spacing w:before="0" w:after="0" w:line="360" w:lineRule="auto"/>
        <w:rPr>
          <w:rFonts w:ascii="宋体" w:hAnsi="宋体" w:cs="宋体"/>
          <w:color w:val="auto"/>
          <w:sz w:val="24"/>
          <w:szCs w:val="24"/>
          <w:highlight w:val="none"/>
        </w:rPr>
      </w:pPr>
      <w:bookmarkStart w:id="31" w:name="_Toc375409600"/>
      <w:bookmarkStart w:id="32" w:name="_Toc443642487"/>
      <w:r>
        <w:rPr>
          <w:rFonts w:hint="eastAsia" w:ascii="宋体" w:hAnsi="宋体" w:cs="宋体"/>
          <w:color w:val="auto"/>
          <w:sz w:val="24"/>
          <w:szCs w:val="24"/>
          <w:highlight w:val="none"/>
        </w:rPr>
        <w:t>3.1 初步评审</w:t>
      </w:r>
      <w:bookmarkEnd w:id="31"/>
      <w:bookmarkEnd w:id="32"/>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3.1.1 评标委员会依据本章第2.1款规定的标准对投标文件进行初步评审。有一项不符合评审标准的，作否决投标处理。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3.1.2 投标人有以下情形之一的，其投标作否决投标处理：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（1）串通投标或弄虚作假或有其他违法行为的；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（2）不按评标委员会要求澄清、说明或补正的。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3.1.3 投标报价有算术错误的，评标委员会按以下原则对投标报价进行修正，修正的价格经投标人书面确认后具有约束力。投标人不接受修正价格的，其投标作否决投标处理。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（1）投标文件中的大写金额与小写金额不一致的，以大写金额为准；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（2）总价金额与依据单价计算出的结果不一致的，以单价金额为准修正总价，但单价金额小数点有明显错误的除外。</w:t>
      </w:r>
    </w:p>
    <w:p>
      <w:pPr>
        <w:pStyle w:val="6"/>
        <w:spacing w:before="0" w:after="0" w:line="360" w:lineRule="auto"/>
        <w:rPr>
          <w:rFonts w:ascii="宋体" w:hAnsi="宋体" w:cs="宋体"/>
          <w:color w:val="auto"/>
          <w:sz w:val="24"/>
          <w:szCs w:val="24"/>
          <w:highlight w:val="none"/>
        </w:rPr>
      </w:pPr>
      <w:bookmarkStart w:id="33" w:name="_Toc375409601"/>
      <w:bookmarkStart w:id="34" w:name="_Toc443642488"/>
      <w:r>
        <w:rPr>
          <w:rFonts w:hint="eastAsia" w:ascii="宋体" w:hAnsi="宋体" w:cs="宋体"/>
          <w:color w:val="auto"/>
          <w:sz w:val="24"/>
          <w:szCs w:val="24"/>
          <w:highlight w:val="none"/>
        </w:rPr>
        <w:t>3.2 详细评审</w:t>
      </w:r>
      <w:bookmarkEnd w:id="33"/>
      <w:bookmarkEnd w:id="34"/>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3.2.1 评标委员会技术组评委应首先对各投标人投标书进行评审，并按招标文件规定分值评分。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3.2.2统计分数原则：评标委员会全体成员的评分计算出平均得分，为投标人评审因素最后得分（保留小数点后两位）。</w:t>
      </w:r>
    </w:p>
    <w:p>
      <w:pPr>
        <w:pStyle w:val="6"/>
        <w:spacing w:before="0" w:after="0" w:line="360" w:lineRule="auto"/>
        <w:rPr>
          <w:rFonts w:ascii="宋体" w:hAnsi="宋体" w:cs="宋体"/>
          <w:color w:val="auto"/>
          <w:sz w:val="24"/>
          <w:szCs w:val="24"/>
          <w:highlight w:val="none"/>
        </w:rPr>
      </w:pPr>
      <w:bookmarkStart w:id="35" w:name="_Toc443642489"/>
      <w:bookmarkStart w:id="36" w:name="_Toc375409602"/>
      <w:r>
        <w:rPr>
          <w:rFonts w:hint="eastAsia" w:ascii="宋体" w:hAnsi="宋体" w:cs="宋体"/>
          <w:color w:val="auto"/>
          <w:sz w:val="24"/>
          <w:szCs w:val="24"/>
          <w:highlight w:val="none"/>
        </w:rPr>
        <w:t>3.3 投标文件的澄清和补正</w:t>
      </w:r>
      <w:bookmarkEnd w:id="35"/>
      <w:bookmarkEnd w:id="36"/>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3.3.1 在评标过程中，评标委员会可以书面形式要求投标人对所提交的投标文件中不明确的内容进行书面澄清或说明，或者对细微偏差进行补正。评标委员会不接受投标人主动提出的澄清、说明或补正。</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3.3.2 澄清、说明和补正不得改变投标文件的实质性内容（算术性错误修正的除外）。投标人的书面澄清、说明和补正属于投标文件的组成部分。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3.3.3 评标委员会对投标人提交的澄清、说明或补正有疑问的，可以要求投标人进一步澄清、说明或补正，直至满足评标委员会的要求。</w:t>
      </w:r>
    </w:p>
    <w:p>
      <w:pPr>
        <w:pStyle w:val="6"/>
        <w:spacing w:before="0" w:after="0" w:line="360" w:lineRule="auto"/>
        <w:rPr>
          <w:rFonts w:ascii="宋体" w:hAnsi="宋体" w:cs="宋体"/>
          <w:color w:val="auto"/>
          <w:sz w:val="24"/>
          <w:szCs w:val="24"/>
          <w:highlight w:val="none"/>
        </w:rPr>
      </w:pPr>
      <w:bookmarkStart w:id="37" w:name="_Toc375409603"/>
      <w:bookmarkStart w:id="38" w:name="_Toc443642490"/>
      <w:r>
        <w:rPr>
          <w:rFonts w:hint="eastAsia" w:ascii="宋体" w:hAnsi="宋体" w:cs="宋体"/>
          <w:color w:val="auto"/>
          <w:sz w:val="24"/>
          <w:szCs w:val="24"/>
          <w:highlight w:val="none"/>
        </w:rPr>
        <w:t>3.4 评标结果</w:t>
      </w:r>
      <w:bookmarkEnd w:id="37"/>
      <w:bookmarkEnd w:id="38"/>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3.4.1 除第二章“投标人须知”前附表授权直接确定中标单位外，评标委员会按照最后得分由高到低的顺序推荐中标候选人。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3.4.2 评标委员会完成评标后，应当向招标人提交书面评标报告。</w:t>
      </w:r>
      <w:r>
        <w:rPr>
          <w:rFonts w:hint="eastAsia" w:ascii="宋体" w:hAnsi="宋体" w:eastAsia="宋体" w:cs="宋体"/>
          <w:color w:val="auto"/>
          <w:sz w:val="24"/>
          <w:highlight w:val="none"/>
        </w:rPr>
        <w:br w:type="page"/>
      </w:r>
      <w:bookmarkStart w:id="39" w:name="_Toc375409604"/>
      <w:r>
        <w:rPr>
          <w:rFonts w:hint="eastAsia" w:ascii="宋体" w:hAnsi="宋体" w:eastAsia="宋体" w:cs="宋体"/>
          <w:b/>
          <w:color w:val="auto"/>
          <w:sz w:val="24"/>
          <w:highlight w:val="none"/>
        </w:rPr>
        <w:t>附件A：评标详细程序</w:t>
      </w:r>
      <w:bookmarkEnd w:id="39"/>
    </w:p>
    <w:p>
      <w:pPr>
        <w:pStyle w:val="6"/>
        <w:spacing w:before="0" w:after="0" w:line="360" w:lineRule="auto"/>
        <w:rPr>
          <w:rFonts w:ascii="宋体" w:hAnsi="宋体" w:cs="宋体"/>
          <w:color w:val="auto"/>
          <w:sz w:val="24"/>
          <w:szCs w:val="24"/>
          <w:highlight w:val="none"/>
        </w:rPr>
      </w:pPr>
      <w:bookmarkStart w:id="40" w:name="_Toc443642491"/>
      <w:bookmarkStart w:id="41" w:name="_Toc375409605"/>
      <w:r>
        <w:rPr>
          <w:rFonts w:hint="eastAsia" w:ascii="宋体" w:hAnsi="宋体" w:cs="宋体"/>
          <w:color w:val="auto"/>
          <w:sz w:val="24"/>
          <w:szCs w:val="24"/>
          <w:highlight w:val="none"/>
        </w:rPr>
        <w:t>A0. 总则</w:t>
      </w:r>
      <w:bookmarkEnd w:id="40"/>
      <w:bookmarkEnd w:id="41"/>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本附件是本章“评标办法”的组成部分，是对本章第3条所规定的评标程序的进一步细化，评标委员会应当按照本附件所规定的详细程序开展并完成评标工作。</w:t>
      </w:r>
    </w:p>
    <w:p>
      <w:pPr>
        <w:pStyle w:val="6"/>
        <w:spacing w:before="0" w:after="0" w:line="360" w:lineRule="auto"/>
        <w:rPr>
          <w:rFonts w:ascii="宋体" w:hAnsi="宋体" w:cs="宋体"/>
          <w:color w:val="auto"/>
          <w:sz w:val="24"/>
          <w:szCs w:val="24"/>
          <w:highlight w:val="none"/>
        </w:rPr>
      </w:pPr>
      <w:bookmarkStart w:id="42" w:name="_Toc443642492"/>
      <w:bookmarkStart w:id="43" w:name="_Toc375409606"/>
      <w:r>
        <w:rPr>
          <w:rFonts w:hint="eastAsia" w:ascii="宋体" w:hAnsi="宋体" w:cs="宋体"/>
          <w:color w:val="auto"/>
          <w:sz w:val="24"/>
          <w:szCs w:val="24"/>
          <w:highlight w:val="none"/>
        </w:rPr>
        <w:t>A1. 基本程序</w:t>
      </w:r>
      <w:bookmarkEnd w:id="42"/>
      <w:bookmarkEnd w:id="43"/>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评标活动将按以下五个步骤进行：</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（1）评标准备；</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（2）初步评审：</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（3）详细评审；</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（4）澄清、说明或补正；</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（5）推荐中标候选人或者直接确定中标单位及提交评标报告。</w:t>
      </w:r>
    </w:p>
    <w:p>
      <w:pPr>
        <w:pStyle w:val="6"/>
        <w:spacing w:before="0" w:after="0" w:line="360" w:lineRule="auto"/>
        <w:rPr>
          <w:rFonts w:ascii="宋体" w:hAnsi="宋体" w:cs="宋体"/>
          <w:color w:val="auto"/>
          <w:sz w:val="24"/>
          <w:szCs w:val="24"/>
          <w:highlight w:val="none"/>
        </w:rPr>
      </w:pPr>
      <w:bookmarkStart w:id="44" w:name="_Toc375409607"/>
      <w:bookmarkStart w:id="45" w:name="_Toc443642493"/>
      <w:r>
        <w:rPr>
          <w:rFonts w:hint="eastAsia" w:ascii="宋体" w:hAnsi="宋体" w:cs="宋体"/>
          <w:color w:val="auto"/>
          <w:sz w:val="24"/>
          <w:szCs w:val="24"/>
          <w:highlight w:val="none"/>
        </w:rPr>
        <w:t>A2. 评标准备</w:t>
      </w:r>
      <w:bookmarkEnd w:id="44"/>
      <w:bookmarkEnd w:id="45"/>
    </w:p>
    <w:p>
      <w:pPr>
        <w:spacing w:line="360" w:lineRule="auto"/>
        <w:ind w:firstLine="482" w:firstLineChars="200"/>
        <w:rPr>
          <w:rFonts w:ascii="宋体" w:hAnsi="宋体" w:eastAsia="宋体" w:cs="宋体"/>
          <w:b/>
          <w:color w:val="auto"/>
          <w:sz w:val="24"/>
          <w:highlight w:val="none"/>
        </w:rPr>
      </w:pPr>
      <w:bookmarkStart w:id="46" w:name="_Toc375409608"/>
      <w:r>
        <w:rPr>
          <w:rFonts w:hint="eastAsia" w:ascii="宋体" w:hAnsi="宋体" w:eastAsia="宋体" w:cs="宋体"/>
          <w:b/>
          <w:color w:val="auto"/>
          <w:sz w:val="24"/>
          <w:highlight w:val="none"/>
        </w:rPr>
        <w:t>A2.1 评标委员会成员签到</w:t>
      </w:r>
      <w:bookmarkEnd w:id="46"/>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评标委员会成员到达评标现场签到并组建评标委员会。 </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A2.2 评标委员会的分工</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评标委员会首先推选一名评标委员会主任。招标人也可以直接指定评标委员会主任。评标委员会主任负责评标活动的组织领导工作。评标委员会主任在与其他评标委员会成员协商的基础上，可以将评标委员会划分为技术组和商务组。</w:t>
      </w:r>
    </w:p>
    <w:p>
      <w:pPr>
        <w:spacing w:line="360" w:lineRule="auto"/>
        <w:ind w:firstLine="482" w:firstLineChars="200"/>
        <w:rPr>
          <w:rFonts w:ascii="宋体" w:hAnsi="宋体" w:eastAsia="宋体" w:cs="宋体"/>
          <w:b/>
          <w:color w:val="auto"/>
          <w:sz w:val="24"/>
          <w:highlight w:val="none"/>
        </w:rPr>
      </w:pPr>
      <w:bookmarkStart w:id="47" w:name="_Toc375409609"/>
      <w:r>
        <w:rPr>
          <w:rFonts w:hint="eastAsia" w:ascii="宋体" w:hAnsi="宋体" w:eastAsia="宋体" w:cs="宋体"/>
          <w:b/>
          <w:color w:val="auto"/>
          <w:sz w:val="24"/>
          <w:highlight w:val="none"/>
        </w:rPr>
        <w:t>A2.3 熟悉文件资料</w:t>
      </w:r>
      <w:bookmarkEnd w:id="47"/>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A2.3.1 评标委员会主任应组织评标委员会成员认真研究招标文件，了解和熟悉招标目的、招标范围、主要合同条件、技术标准、质量要求和服务周期要求等，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A2.3.2 招标人或招标代理机构应向评标委员会提供评标所需的信息和数据，包括招标文件、未在开标会上当场拒绝的各投标文件、开标会记录、有关的法律、法规、规章、国家标准以及招标人或评标委员会认为必要的其他信息和数据。</w:t>
      </w:r>
    </w:p>
    <w:p>
      <w:pPr>
        <w:pStyle w:val="6"/>
        <w:spacing w:before="0" w:after="0" w:line="360" w:lineRule="auto"/>
        <w:rPr>
          <w:rFonts w:ascii="宋体" w:hAnsi="宋体" w:cs="宋体"/>
          <w:color w:val="auto"/>
          <w:sz w:val="24"/>
          <w:szCs w:val="24"/>
          <w:highlight w:val="none"/>
        </w:rPr>
      </w:pPr>
      <w:bookmarkStart w:id="48" w:name="_Toc443642494"/>
      <w:bookmarkStart w:id="49" w:name="_Toc375409612"/>
      <w:r>
        <w:rPr>
          <w:rFonts w:hint="eastAsia" w:ascii="宋体" w:hAnsi="宋体" w:cs="宋体"/>
          <w:color w:val="auto"/>
          <w:sz w:val="24"/>
          <w:szCs w:val="24"/>
          <w:highlight w:val="none"/>
        </w:rPr>
        <w:t>A3. 初步评审</w:t>
      </w:r>
      <w:bookmarkEnd w:id="48"/>
      <w:bookmarkEnd w:id="49"/>
    </w:p>
    <w:p>
      <w:pPr>
        <w:spacing w:line="360" w:lineRule="auto"/>
        <w:ind w:firstLine="482" w:firstLineChars="200"/>
        <w:rPr>
          <w:rFonts w:ascii="宋体" w:hAnsi="宋体" w:eastAsia="宋体" w:cs="宋体"/>
          <w:b/>
          <w:color w:val="auto"/>
          <w:sz w:val="24"/>
          <w:highlight w:val="none"/>
        </w:rPr>
      </w:pPr>
      <w:bookmarkStart w:id="50" w:name="_Toc375409613"/>
      <w:r>
        <w:rPr>
          <w:rFonts w:hint="eastAsia" w:ascii="宋体" w:hAnsi="宋体" w:eastAsia="宋体" w:cs="宋体"/>
          <w:b/>
          <w:color w:val="auto"/>
          <w:sz w:val="24"/>
          <w:highlight w:val="none"/>
        </w:rPr>
        <w:t>A3.1 形式响应性评审</w:t>
      </w:r>
      <w:bookmarkEnd w:id="50"/>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评标委员会根据评标办法前附表中规定的评审因素和评审标准，对投标人的投标文件进行形式响应性评审，并记录评审结果。</w:t>
      </w:r>
    </w:p>
    <w:p>
      <w:pPr>
        <w:spacing w:line="360" w:lineRule="auto"/>
        <w:ind w:firstLine="482" w:firstLineChars="200"/>
        <w:rPr>
          <w:rFonts w:ascii="宋体" w:hAnsi="宋体" w:eastAsia="宋体" w:cs="宋体"/>
          <w:b/>
          <w:color w:val="auto"/>
          <w:sz w:val="24"/>
          <w:highlight w:val="none"/>
        </w:rPr>
      </w:pPr>
      <w:bookmarkStart w:id="51" w:name="_Toc375409614"/>
      <w:r>
        <w:rPr>
          <w:rFonts w:hint="eastAsia" w:ascii="宋体" w:hAnsi="宋体" w:eastAsia="宋体" w:cs="宋体"/>
          <w:b/>
          <w:color w:val="auto"/>
          <w:sz w:val="24"/>
          <w:highlight w:val="none"/>
        </w:rPr>
        <w:t>A3.2 资格评审</w:t>
      </w:r>
      <w:bookmarkEnd w:id="51"/>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评标委员会根据评标办法前附表中规定的评审因素和评审标准，对投标人的投标文件进行资格评审，并记录评审结果。</w:t>
      </w:r>
    </w:p>
    <w:p>
      <w:pPr>
        <w:spacing w:line="360" w:lineRule="auto"/>
        <w:ind w:firstLine="482" w:firstLineChars="200"/>
        <w:rPr>
          <w:rFonts w:ascii="宋体" w:hAnsi="宋体" w:eastAsia="宋体" w:cs="宋体"/>
          <w:b/>
          <w:color w:val="auto"/>
          <w:sz w:val="24"/>
          <w:highlight w:val="none"/>
        </w:rPr>
      </w:pPr>
      <w:bookmarkStart w:id="52" w:name="_Toc375409616"/>
      <w:r>
        <w:rPr>
          <w:rFonts w:hint="eastAsia" w:ascii="宋体" w:hAnsi="宋体" w:eastAsia="宋体" w:cs="宋体"/>
          <w:b/>
          <w:color w:val="auto"/>
          <w:sz w:val="24"/>
          <w:highlight w:val="none"/>
        </w:rPr>
        <w:t>A3.3 详细评审的程序</w:t>
      </w:r>
      <w:bookmarkEnd w:id="52"/>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（1）按本章第2.2.1目规定的评审因素和分值对技术部分计算出得分；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（3）按本章第2.2.2目规定的评审因素和分值对商务部分计算出得分。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评分分值计算保留小数点后两位，小数点后第三位“四舍五入”。</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A3.4 判断投标是否为否决投标</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评标委员会在评标（包括初步评审和详细评审）过程中，依据本章第3.1.2项中规定的否决投标条件判断投标人的投标是否为否决投标。 </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A3.5 澄清、说明或补正</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6"/>
        <w:spacing w:before="0" w:after="0" w:line="360" w:lineRule="auto"/>
        <w:rPr>
          <w:rFonts w:ascii="宋体" w:hAnsi="宋体" w:cs="宋体"/>
          <w:color w:val="auto"/>
          <w:sz w:val="24"/>
          <w:szCs w:val="24"/>
          <w:highlight w:val="none"/>
        </w:rPr>
      </w:pPr>
      <w:bookmarkStart w:id="53" w:name="_Toc443642495"/>
      <w:bookmarkStart w:id="54" w:name="_Toc375409617"/>
      <w:r>
        <w:rPr>
          <w:rFonts w:hint="eastAsia" w:ascii="宋体" w:hAnsi="宋体" w:cs="宋体"/>
          <w:color w:val="auto"/>
          <w:sz w:val="24"/>
          <w:szCs w:val="24"/>
          <w:highlight w:val="none"/>
        </w:rPr>
        <w:t>A4. 详细评审</w:t>
      </w:r>
      <w:bookmarkEnd w:id="53"/>
      <w:bookmarkEnd w:id="54"/>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只有通过了初步评审、被判定为合格的投标方可进入详细评审。 </w:t>
      </w:r>
    </w:p>
    <w:p>
      <w:pPr>
        <w:spacing w:line="360" w:lineRule="auto"/>
        <w:ind w:firstLine="482" w:firstLineChars="200"/>
        <w:rPr>
          <w:rFonts w:ascii="宋体" w:hAnsi="宋体" w:eastAsia="宋体" w:cs="宋体"/>
          <w:b/>
          <w:color w:val="auto"/>
          <w:sz w:val="24"/>
          <w:highlight w:val="none"/>
        </w:rPr>
      </w:pPr>
      <w:bookmarkStart w:id="55" w:name="_Toc375409619"/>
      <w:r>
        <w:rPr>
          <w:rFonts w:hint="eastAsia" w:ascii="宋体" w:hAnsi="宋体" w:eastAsia="宋体" w:cs="宋体"/>
          <w:b/>
          <w:color w:val="auto"/>
          <w:sz w:val="24"/>
          <w:highlight w:val="none"/>
        </w:rPr>
        <w:t>A4.1 澄清、说明或补正</w:t>
      </w:r>
      <w:bookmarkEnd w:id="55"/>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6"/>
        <w:spacing w:before="0" w:after="0" w:line="360" w:lineRule="auto"/>
        <w:rPr>
          <w:rFonts w:ascii="宋体" w:hAnsi="宋体" w:cs="宋体"/>
          <w:color w:val="auto"/>
          <w:sz w:val="24"/>
          <w:szCs w:val="24"/>
          <w:highlight w:val="none"/>
        </w:rPr>
      </w:pPr>
      <w:bookmarkStart w:id="56" w:name="_Toc443642496"/>
      <w:bookmarkStart w:id="57" w:name="_Toc375409620"/>
      <w:r>
        <w:rPr>
          <w:rFonts w:hint="eastAsia" w:ascii="宋体" w:hAnsi="宋体" w:cs="宋体"/>
          <w:color w:val="auto"/>
          <w:sz w:val="24"/>
          <w:szCs w:val="24"/>
          <w:highlight w:val="none"/>
        </w:rPr>
        <w:t>A5. 推荐中标候选人或者直接确定中标单位</w:t>
      </w:r>
      <w:bookmarkEnd w:id="56"/>
      <w:bookmarkEnd w:id="57"/>
    </w:p>
    <w:p>
      <w:pPr>
        <w:spacing w:line="360" w:lineRule="auto"/>
        <w:ind w:firstLine="482" w:firstLineChars="200"/>
        <w:rPr>
          <w:rFonts w:ascii="宋体" w:hAnsi="宋体" w:eastAsia="宋体" w:cs="宋体"/>
          <w:b/>
          <w:color w:val="auto"/>
          <w:sz w:val="24"/>
          <w:highlight w:val="none"/>
        </w:rPr>
      </w:pPr>
      <w:bookmarkStart w:id="58" w:name="_Toc375409621"/>
      <w:r>
        <w:rPr>
          <w:rFonts w:hint="eastAsia" w:ascii="宋体" w:hAnsi="宋体" w:eastAsia="宋体" w:cs="宋体"/>
          <w:b/>
          <w:color w:val="auto"/>
          <w:sz w:val="24"/>
          <w:highlight w:val="none"/>
        </w:rPr>
        <w:t>A5.1 汇总评标结果</w:t>
      </w:r>
      <w:bookmarkEnd w:id="58"/>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投标报价评审工作全部结束后，评标委员会应填写评标结果汇总表。</w:t>
      </w:r>
    </w:p>
    <w:p>
      <w:pPr>
        <w:spacing w:line="360" w:lineRule="auto"/>
        <w:ind w:firstLine="482" w:firstLineChars="200"/>
        <w:rPr>
          <w:rFonts w:ascii="宋体" w:hAnsi="宋体" w:eastAsia="宋体" w:cs="宋体"/>
          <w:b/>
          <w:color w:val="auto"/>
          <w:sz w:val="24"/>
          <w:highlight w:val="none"/>
        </w:rPr>
      </w:pPr>
      <w:bookmarkStart w:id="59" w:name="_Toc375409622"/>
      <w:r>
        <w:rPr>
          <w:rFonts w:hint="eastAsia" w:ascii="宋体" w:hAnsi="宋体" w:eastAsia="宋体" w:cs="宋体"/>
          <w:b/>
          <w:color w:val="auto"/>
          <w:sz w:val="24"/>
          <w:highlight w:val="none"/>
        </w:rPr>
        <w:t>A5.2 推荐中标候选人</w:t>
      </w:r>
      <w:bookmarkEnd w:id="59"/>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A5.2.1 除第二章“投标人须知”前附表授权直接确定中标单位外，评标委员会在推荐中标候选人时，应遵照以下原则：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（1）评标委员会对有效的投标按照最后得分由高至低的次序排列，根据第二章“投标人须知”前附表第7.1款的规定推荐中标候选人。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如果评标委员会根据本章的规定作否决投标处理后，有效投标不足三个，且少于第二章“投标人须知”前附表第7.1款规定的中标候选人数量的，则评标委员会可以将所有有效投标按最后得分由高至低的次序作为中标候选人向招标人推荐。如果因有效投标不足三个使得投标明显缺乏竞争的，评标委员会可以建议招标人重新招标。</w:t>
      </w:r>
    </w:p>
    <w:p>
      <w:pPr>
        <w:spacing w:line="360" w:lineRule="auto"/>
        <w:ind w:firstLine="482" w:firstLineChars="200"/>
        <w:rPr>
          <w:rFonts w:ascii="宋体" w:hAnsi="宋体" w:eastAsia="宋体" w:cs="宋体"/>
          <w:b/>
          <w:color w:val="auto"/>
          <w:sz w:val="24"/>
          <w:highlight w:val="none"/>
        </w:rPr>
      </w:pPr>
      <w:bookmarkStart w:id="60" w:name="_Toc375409623"/>
      <w:r>
        <w:rPr>
          <w:rFonts w:hint="eastAsia" w:ascii="宋体" w:hAnsi="宋体" w:eastAsia="宋体" w:cs="宋体"/>
          <w:b/>
          <w:color w:val="auto"/>
          <w:sz w:val="24"/>
          <w:highlight w:val="none"/>
        </w:rPr>
        <w:t>A5.3 直接确定中标单位</w:t>
      </w:r>
      <w:bookmarkEnd w:id="60"/>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第二章“投标人须知”前附表授权评标委员会直接确定中标单位的，评标委员会对有效的投标按照最后得分由高至低的次序排列，并确定排名第一的投标人为中标单位。</w:t>
      </w:r>
    </w:p>
    <w:p>
      <w:pPr>
        <w:spacing w:line="360" w:lineRule="auto"/>
        <w:ind w:firstLine="482" w:firstLineChars="200"/>
        <w:rPr>
          <w:rFonts w:ascii="宋体" w:hAnsi="宋体" w:eastAsia="宋体" w:cs="宋体"/>
          <w:b/>
          <w:color w:val="auto"/>
          <w:sz w:val="24"/>
          <w:highlight w:val="none"/>
        </w:rPr>
      </w:pPr>
      <w:bookmarkStart w:id="61" w:name="_Toc375409624"/>
      <w:r>
        <w:rPr>
          <w:rFonts w:hint="eastAsia" w:ascii="宋体" w:hAnsi="宋体" w:eastAsia="宋体" w:cs="宋体"/>
          <w:b/>
          <w:color w:val="auto"/>
          <w:sz w:val="24"/>
          <w:highlight w:val="none"/>
        </w:rPr>
        <w:t>A5.4 编制及提交评标报告</w:t>
      </w:r>
      <w:bookmarkEnd w:id="61"/>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评标委员会根据本章第3.4.2项的规定向招标人提交评标报告。评标报告应当由全体评标委员会成员签字，并于评标结束时抄送有关行政监督部门。</w:t>
      </w:r>
    </w:p>
    <w:p>
      <w:pPr>
        <w:pStyle w:val="6"/>
        <w:spacing w:before="0" w:after="0" w:line="360" w:lineRule="auto"/>
        <w:rPr>
          <w:rFonts w:ascii="宋体" w:hAnsi="宋体" w:cs="宋体"/>
          <w:color w:val="auto"/>
          <w:sz w:val="24"/>
          <w:szCs w:val="24"/>
          <w:highlight w:val="none"/>
        </w:rPr>
      </w:pPr>
      <w:bookmarkStart w:id="62" w:name="_Toc375409625"/>
      <w:bookmarkStart w:id="63" w:name="_Toc443642497"/>
      <w:r>
        <w:rPr>
          <w:rFonts w:hint="eastAsia" w:ascii="宋体" w:hAnsi="宋体" w:cs="宋体"/>
          <w:color w:val="auto"/>
          <w:sz w:val="24"/>
          <w:szCs w:val="24"/>
          <w:highlight w:val="none"/>
        </w:rPr>
        <w:t>A6. 特殊情况的处置程序</w:t>
      </w:r>
      <w:bookmarkEnd w:id="62"/>
      <w:bookmarkEnd w:id="63"/>
    </w:p>
    <w:p>
      <w:pPr>
        <w:spacing w:line="360" w:lineRule="auto"/>
        <w:ind w:firstLine="482" w:firstLineChars="200"/>
        <w:rPr>
          <w:rFonts w:ascii="宋体" w:hAnsi="宋体" w:eastAsia="宋体" w:cs="宋体"/>
          <w:b/>
          <w:color w:val="auto"/>
          <w:sz w:val="24"/>
          <w:highlight w:val="none"/>
        </w:rPr>
      </w:pPr>
      <w:bookmarkStart w:id="64" w:name="_Toc375409626"/>
      <w:r>
        <w:rPr>
          <w:rFonts w:hint="eastAsia" w:ascii="宋体" w:hAnsi="宋体" w:eastAsia="宋体" w:cs="宋体"/>
          <w:b/>
          <w:color w:val="auto"/>
          <w:sz w:val="24"/>
          <w:highlight w:val="none"/>
        </w:rPr>
        <w:t>A6.1 关于评标活动暂停</w:t>
      </w:r>
      <w:bookmarkEnd w:id="64"/>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A6.1.1 评标委员会应当执行连续评标的原则，按评标办法中规定的程序、内容、方法、标准完成全部评标工作。只有发生不可抗力导致评标工作无法继续时，评标活动方可暂停。</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A6.1.2 发生评标暂停情况时，评标委员会应当封存全部投标文件和评标记录，待不可抗力的影响结束且具备继续评标的条件时，由原评标委员会继续评标。</w:t>
      </w:r>
    </w:p>
    <w:p>
      <w:pPr>
        <w:spacing w:line="360" w:lineRule="auto"/>
        <w:ind w:firstLine="482" w:firstLineChars="200"/>
        <w:rPr>
          <w:rFonts w:ascii="宋体" w:hAnsi="宋体" w:eastAsia="宋体" w:cs="宋体"/>
          <w:b/>
          <w:color w:val="auto"/>
          <w:sz w:val="24"/>
          <w:highlight w:val="none"/>
        </w:rPr>
      </w:pPr>
      <w:bookmarkStart w:id="65" w:name="_Toc375409627"/>
      <w:r>
        <w:rPr>
          <w:rFonts w:hint="eastAsia" w:ascii="宋体" w:hAnsi="宋体" w:eastAsia="宋体" w:cs="宋体"/>
          <w:b/>
          <w:color w:val="auto"/>
          <w:sz w:val="24"/>
          <w:highlight w:val="none"/>
        </w:rPr>
        <w:t>A6.2 关于评标中途更换评标委员会成员</w:t>
      </w:r>
      <w:bookmarkEnd w:id="65"/>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A6.2.1 除非发生下列情况之一，评标委员会成员不得在评标中途更换：</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（1）因不可抗拒的客观原因，不能到场或需在评标中途退出评标活动。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（2）根据法律法规规定，某个或某几个评标委员会成员需要回避。</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A6.2.2 退出评标的评标委员会成员，其已完成的评标行为无效。由招标人根据本招标文件规定的评标委员会成员产生方式另行确定替代者进行评标。</w:t>
      </w:r>
    </w:p>
    <w:p>
      <w:pPr>
        <w:spacing w:line="360" w:lineRule="auto"/>
        <w:ind w:firstLine="482" w:firstLineChars="200"/>
        <w:rPr>
          <w:rFonts w:ascii="宋体" w:hAnsi="宋体" w:eastAsia="宋体" w:cs="宋体"/>
          <w:b/>
          <w:color w:val="auto"/>
          <w:sz w:val="24"/>
          <w:highlight w:val="none"/>
        </w:rPr>
      </w:pPr>
      <w:bookmarkStart w:id="66" w:name="_Toc375409628"/>
      <w:r>
        <w:rPr>
          <w:rFonts w:hint="eastAsia" w:ascii="宋体" w:hAnsi="宋体" w:eastAsia="宋体" w:cs="宋体"/>
          <w:b/>
          <w:color w:val="auto"/>
          <w:sz w:val="24"/>
          <w:highlight w:val="none"/>
        </w:rPr>
        <w:t>A6.3 记名投票</w:t>
      </w:r>
      <w:bookmarkEnd w:id="66"/>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在任何评标环节中，需评标委员会就某项定性的评审结论做出表决的，由评标委员会全体成员按照少数服从多数的原则，以记名投票方式表决。</w:t>
      </w:r>
    </w:p>
    <w:p>
      <w:pPr>
        <w:pStyle w:val="6"/>
        <w:spacing w:before="0" w:after="0" w:line="360" w:lineRule="auto"/>
        <w:ind w:firstLine="482" w:firstLineChars="200"/>
        <w:rPr>
          <w:rFonts w:ascii="宋体" w:hAnsi="宋体" w:cs="宋体"/>
          <w:color w:val="auto"/>
          <w:sz w:val="24"/>
          <w:szCs w:val="24"/>
          <w:highlight w:val="none"/>
        </w:rPr>
      </w:pPr>
      <w:bookmarkStart w:id="67" w:name="_Toc375409629"/>
      <w:bookmarkStart w:id="68" w:name="_Toc443642498"/>
      <w:r>
        <w:rPr>
          <w:rFonts w:hint="eastAsia" w:ascii="宋体" w:hAnsi="宋体" w:cs="宋体"/>
          <w:color w:val="auto"/>
          <w:sz w:val="24"/>
          <w:szCs w:val="24"/>
          <w:highlight w:val="none"/>
        </w:rPr>
        <w:t>A7. 补充条款</w:t>
      </w:r>
      <w:bookmarkEnd w:id="67"/>
      <w:bookmarkEnd w:id="68"/>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无。</w:t>
      </w:r>
    </w:p>
    <w:p>
      <w:pPr>
        <w:rPr>
          <w:color w:val="auto"/>
          <w:highlight w:val="none"/>
        </w:rPr>
      </w:pPr>
      <w:r>
        <w:rPr>
          <w:rFonts w:hint="eastAsia"/>
          <w:color w:val="auto"/>
          <w:highlight w:val="none"/>
        </w:rPr>
        <w:br w:type="page"/>
      </w:r>
    </w:p>
    <w:p>
      <w:pPr>
        <w:spacing w:line="360" w:lineRule="auto"/>
        <w:jc w:val="left"/>
        <w:outlineLvl w:val="2"/>
        <w:rPr>
          <w:rFonts w:ascii="宋体" w:hAnsi="宋体" w:eastAsia="宋体" w:cs="宋体"/>
          <w:color w:val="auto"/>
          <w:sz w:val="24"/>
          <w:highlight w:val="none"/>
        </w:rPr>
      </w:pPr>
      <w:bookmarkStart w:id="69" w:name="_Toc3830"/>
      <w:r>
        <w:rPr>
          <w:rFonts w:hint="eastAsia" w:ascii="宋体" w:hAnsi="宋体" w:eastAsia="宋体" w:cs="宋体"/>
          <w:color w:val="auto"/>
          <w:sz w:val="24"/>
          <w:highlight w:val="none"/>
        </w:rPr>
        <w:t>附件B：否决投标条件</w:t>
      </w:r>
      <w:bookmarkEnd w:id="69"/>
    </w:p>
    <w:p>
      <w:pPr>
        <w:adjustRightInd w:val="0"/>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否 决 投 标 条 件</w:t>
      </w: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B0.总  则</w:t>
      </w:r>
    </w:p>
    <w:p>
      <w:pPr>
        <w:adjustRightInd w:val="0"/>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本附件所集中列示的否决投标条件，是本章“评标办法”的组成部分，是对第二章“投标人须知”和本章正文部分所规定的否决投标条件的总结和补充，如果出现相互矛盾的情况，以本节的规定为准。</w:t>
      </w: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B1.否决投标条件</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B1.1投标函未满足第六章“投标函”要求的；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B1.2服务周期不满足投标人须知前附表1.3.4条的；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B1.3质量要求不满足投标人须知前附表1.3.5条的；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B1.4资质条件、能力和信誉不满足投标人须知前附表1.4.1条的；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B1.5联合体投标不满足投标人须知前附表1.4.2条的；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B1.6分包未满足投标人须知1.11条的；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B1.7偏离未满足投标人须知1.12条的；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B1.8其他材料未满足第六章“其他材料”的；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B1.9投标有效期未满足投标人须知前附表3.3.1条的；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B1.10投标保证金未满足投标人须知前附表3.4.1条的；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B1.11投标文件格式未满足投标人须知前附表3.7.1条的；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B1.12投标文件签署未满足投标人须知前附表3.7.4条的；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B1.13投标报价未满足投标人须知前附表3.2条的；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B1.14低于成本报价的；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B1.15投标报价高于招标控制价的；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B1.16投标人拒不按照评标委员会要求对投标文件进行澄清、说明、补正的；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B1.17投标人在投标文件上电子签名与其他投标人在投标文件上的电子签名相同的；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B1.18不同投标人委托同一人投标的；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B1.19不同投标人的投标文件由同一台电脑编制的；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B1.20 不同投标人委托同一单位或者个人办理投标事宜；</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B1.21 不同投标人的投标文件相互混装；</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B1.22 不同投标人的投标保证金从同一单位或者个人的账户转出；</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B1.23 在清标、形式响应性评审、资格评审，评标委员会认定投标人的投标不符合评标办法前附表中规定的任何一项评审标准的。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B1.24投标文件中各电子标书未加签有效的投标人数字证书（USBKEY）的；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B1.25不同投标人的投标文件内容存在非正常一致的；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B1.26不同投标人的投标文件错漏之处一致的；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B1.27不同投标人的投标报价或者报价组成异常一致或者呈规律性变化的；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B1.28不同投标人的投标文件载明的项目管理机构成员出现相同人员的；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B1.29内容填写不全或者关键字迹模糊无法辨认的；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B1.30扫描件模糊不清无法辨认的；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B1.31违反国家、省、市相关法律法规的。</w:t>
      </w:r>
    </w:p>
    <w:p>
      <w:pPr>
        <w:spacing w:line="360" w:lineRule="auto"/>
        <w:ind w:firstLine="420" w:firstLineChars="200"/>
        <w:jc w:val="left"/>
        <w:rPr>
          <w:rFonts w:ascii="宋体" w:hAnsi="宋体"/>
          <w:color w:val="auto"/>
          <w:szCs w:val="28"/>
          <w:highlight w:val="none"/>
        </w:rPr>
      </w:pPr>
    </w:p>
    <w:p>
      <w:pPr>
        <w:spacing w:line="360" w:lineRule="auto"/>
        <w:ind w:firstLine="420" w:firstLineChars="200"/>
        <w:jc w:val="left"/>
        <w:rPr>
          <w:rFonts w:ascii="宋体" w:hAnsi="宋体"/>
          <w:color w:val="auto"/>
          <w:szCs w:val="28"/>
          <w:highlight w:val="none"/>
        </w:rPr>
      </w:pPr>
    </w:p>
    <w:p>
      <w:pPr>
        <w:spacing w:line="360" w:lineRule="auto"/>
        <w:ind w:firstLine="420" w:firstLineChars="200"/>
        <w:jc w:val="left"/>
        <w:rPr>
          <w:rFonts w:ascii="宋体" w:hAnsi="宋体"/>
          <w:color w:val="auto"/>
          <w:szCs w:val="28"/>
          <w:highlight w:val="none"/>
        </w:rPr>
      </w:pPr>
    </w:p>
    <w:p>
      <w:pPr>
        <w:spacing w:line="360" w:lineRule="auto"/>
        <w:ind w:firstLine="420" w:firstLineChars="200"/>
        <w:jc w:val="left"/>
        <w:rPr>
          <w:rFonts w:ascii="宋体" w:hAnsi="宋体"/>
          <w:color w:val="auto"/>
          <w:szCs w:val="28"/>
          <w:highlight w:val="none"/>
        </w:rPr>
      </w:pPr>
    </w:p>
    <w:p>
      <w:pPr>
        <w:spacing w:line="360" w:lineRule="auto"/>
        <w:ind w:firstLine="420" w:firstLineChars="200"/>
        <w:jc w:val="left"/>
        <w:rPr>
          <w:rFonts w:ascii="宋体" w:hAnsi="宋体"/>
          <w:color w:val="auto"/>
          <w:szCs w:val="28"/>
          <w:highlight w:val="none"/>
        </w:rPr>
      </w:pPr>
    </w:p>
    <w:p>
      <w:pPr>
        <w:spacing w:line="360" w:lineRule="auto"/>
        <w:ind w:firstLine="420" w:firstLineChars="200"/>
        <w:jc w:val="left"/>
        <w:rPr>
          <w:rFonts w:ascii="宋体" w:hAnsi="宋体"/>
          <w:color w:val="auto"/>
          <w:szCs w:val="28"/>
          <w:highlight w:val="none"/>
        </w:rPr>
      </w:pPr>
    </w:p>
    <w:p>
      <w:pPr>
        <w:spacing w:line="360" w:lineRule="auto"/>
        <w:ind w:firstLine="420" w:firstLineChars="200"/>
        <w:jc w:val="left"/>
        <w:rPr>
          <w:rFonts w:ascii="宋体" w:hAnsi="宋体"/>
          <w:color w:val="auto"/>
          <w:szCs w:val="28"/>
          <w:highlight w:val="none"/>
        </w:rPr>
      </w:pPr>
    </w:p>
    <w:p>
      <w:pPr>
        <w:spacing w:line="360" w:lineRule="auto"/>
        <w:ind w:firstLine="420" w:firstLineChars="200"/>
        <w:jc w:val="left"/>
        <w:rPr>
          <w:rFonts w:ascii="宋体" w:hAnsi="宋体"/>
          <w:color w:val="auto"/>
          <w:szCs w:val="28"/>
          <w:highlight w:val="none"/>
        </w:rPr>
      </w:pPr>
    </w:p>
    <w:p>
      <w:pPr>
        <w:rPr>
          <w:rFonts w:ascii="宋体" w:hAnsi="宋体"/>
          <w:color w:val="auto"/>
          <w:szCs w:val="28"/>
          <w:highlight w:val="none"/>
        </w:rPr>
      </w:pPr>
      <w:r>
        <w:rPr>
          <w:rFonts w:ascii="宋体" w:hAnsi="宋体"/>
          <w:color w:val="auto"/>
          <w:szCs w:val="28"/>
          <w:highlight w:val="none"/>
        </w:rPr>
        <w:br w:type="page"/>
      </w:r>
    </w:p>
    <w:p>
      <w:pPr>
        <w:pStyle w:val="26"/>
        <w:jc w:val="left"/>
        <w:rPr>
          <w:rFonts w:ascii="宋体" w:hAnsi="宋体" w:cs="宋体"/>
          <w:b/>
          <w:bCs/>
          <w:color w:val="auto"/>
          <w:kern w:val="2"/>
          <w:sz w:val="24"/>
          <w:szCs w:val="24"/>
          <w:highlight w:val="none"/>
        </w:rPr>
      </w:pPr>
      <w:r>
        <w:rPr>
          <w:rFonts w:hint="eastAsia" w:ascii="宋体" w:hAnsi="宋体" w:cs="宋体"/>
          <w:b/>
          <w:bCs/>
          <w:color w:val="auto"/>
          <w:kern w:val="2"/>
          <w:sz w:val="24"/>
          <w:szCs w:val="24"/>
          <w:highlight w:val="none"/>
        </w:rPr>
        <w:t>评标办法附件：</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按照《昆明市严重失信主体公共资源交易领域惩戒实施细则》（昆政规【2019】2号）执行。由投标人通过失信信息材料来源：（1）行政机关认定的失信黑名单或者依法作出的行政处罚决定；（2）“信用中国”（www.creditchina.gov.cn）、“信用中国（云南）”（http://www.yncredit.gov.cn/）、“信用中国（云南昆明）”（http://credit.km.gov.cn/）；（3）国家企业信用信息公示系统（http://www.gsxt.gov.cn/）；（4）云南省政府购买服务信息平台。提供失信信息材料。</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投标人上传的投标文件中，应当包括截止至上传当天的失信信息材料。对被列入严重失信主体的惩戒标准如下：</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在公共资源交易领域中采用综合评估法评审的项目，招标人应当在评标办法中明确按照下列规定实施惩戒：</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（一）记录期限为6个月以下的，在综合评分的基础上减5分，为其综合评分的最终得分；</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（二）记录期限超过6个月至12个月以下的，在综合评分的基础上减10分，为其综合评分的最终得分；</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（三）记录期限超过12个月至24个月以下的，在综合评分的基础上减15分，为其综合评分的最终得分；</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（四）记录期限超过24个月的，在综合评分的基础上减20分，为其综合评分的最终得分。</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在公共资源交易领域中采用经评审的最低投标价法评审的项目，招标人应当在评标办法中明确按照下列规定实施惩戒：</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（一）记录期限为6个月以下的，在详细评审得分基础上减15%，为其详细评审的最终得分；</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（二）记录期限超过6个月至12个月以下的，在详细评审得分基础上减20%，为其详细评审的最终得分；</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（三）记录期限超过12个月至24个月以下的，在详细评审得分基础上减25%，为其详细评审的最终得分；</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（四）记录期限超过24个月的，在详细评审得分基础上减30%，为其详细评审的最终得分。</w:t>
      </w:r>
    </w:p>
    <w:p>
      <w:pPr>
        <w:pStyle w:val="26"/>
        <w:snapToGrid w:val="0"/>
        <w:spacing w:line="440" w:lineRule="exact"/>
        <w:ind w:firstLine="480" w:firstLineChars="200"/>
        <w:rPr>
          <w:rFonts w:ascii="宋体" w:hAnsi="宋体"/>
          <w:color w:val="auto"/>
          <w:szCs w:val="28"/>
          <w:highlight w:val="none"/>
        </w:rPr>
      </w:pPr>
      <w:r>
        <w:rPr>
          <w:rFonts w:hint="eastAsia" w:ascii="宋体" w:hAnsi="宋体" w:cs="宋体"/>
          <w:color w:val="auto"/>
          <w:kern w:val="2"/>
          <w:sz w:val="24"/>
          <w:szCs w:val="24"/>
          <w:highlight w:val="none"/>
        </w:rPr>
        <w:t>其他：</w:t>
      </w:r>
      <w:r>
        <w:rPr>
          <w:rFonts w:hint="eastAsia" w:ascii="宋体" w:hAnsi="宋体" w:cs="宋体"/>
          <w:color w:val="auto"/>
          <w:kern w:val="2"/>
          <w:sz w:val="24"/>
          <w:szCs w:val="24"/>
          <w:highlight w:val="none"/>
          <w:u w:val="single"/>
        </w:rPr>
        <w:t xml:space="preserve">  /  </w:t>
      </w:r>
      <w:r>
        <w:rPr>
          <w:rFonts w:hint="eastAsia" w:ascii="宋体" w:hAnsi="宋体" w:cs="宋体"/>
          <w:color w:val="auto"/>
          <w:kern w:val="2"/>
          <w:sz w:val="24"/>
          <w:szCs w:val="24"/>
          <w:highlight w:val="none"/>
          <w:u w:val="single"/>
        </w:rPr>
        <w:fldChar w:fldCharType="begin"/>
      </w:r>
      <w:r>
        <w:rPr>
          <w:rFonts w:hint="eastAsia" w:ascii="宋体" w:hAnsi="宋体" w:cs="宋体"/>
          <w:color w:val="auto"/>
          <w:kern w:val="2"/>
          <w:sz w:val="24"/>
          <w:szCs w:val="24"/>
          <w:highlight w:val="none"/>
          <w:u w:val="single"/>
        </w:rPr>
        <w:instrText xml:space="preserve"> AUTOTEXT  input1 \* MERGEFORMAT </w:instrText>
      </w:r>
      <w:r>
        <w:rPr>
          <w:rFonts w:hint="eastAsia" w:ascii="宋体" w:hAnsi="宋体" w:cs="宋体"/>
          <w:color w:val="auto"/>
          <w:kern w:val="2"/>
          <w:sz w:val="24"/>
          <w:szCs w:val="24"/>
          <w:highlight w:val="none"/>
          <w:u w:val="single"/>
        </w:rPr>
        <w:fldChar w:fldCharType="end"/>
      </w:r>
    </w:p>
    <w:p>
      <w:pPr>
        <w:pStyle w:val="3"/>
        <w:rPr>
          <w:color w:val="auto"/>
          <w:highlight w:val="none"/>
        </w:rPr>
      </w:pPr>
      <w:bookmarkStart w:id="70" w:name="_Toc68192797"/>
      <w:bookmarkStart w:id="71" w:name="_Toc17344"/>
      <w:r>
        <w:rPr>
          <w:rFonts w:hint="eastAsia"/>
          <w:color w:val="auto"/>
          <w:highlight w:val="none"/>
        </w:rPr>
        <w:t>第四章  合同条款及格式</w:t>
      </w:r>
      <w:bookmarkEnd w:id="70"/>
      <w:bookmarkEnd w:id="71"/>
    </w:p>
    <w:p>
      <w:pPr>
        <w:spacing w:line="336" w:lineRule="auto"/>
        <w:ind w:firstLine="422" w:firstLineChars="200"/>
        <w:jc w:val="center"/>
        <w:rPr>
          <w:b/>
          <w:color w:val="auto"/>
          <w:highlight w:val="none"/>
        </w:rPr>
      </w:pPr>
      <w:r>
        <w:rPr>
          <w:rFonts w:hint="eastAsia"/>
          <w:b/>
          <w:color w:val="auto"/>
          <w:highlight w:val="none"/>
        </w:rPr>
        <w:t>（此合同在实际签订过程中可根据实际情况做相应调整及补充）</w:t>
      </w:r>
    </w:p>
    <w:p>
      <w:pPr>
        <w:spacing w:line="320" w:lineRule="exact"/>
        <w:jc w:val="center"/>
        <w:rPr>
          <w:color w:val="auto"/>
          <w:sz w:val="28"/>
          <w:szCs w:val="28"/>
          <w:highlight w:val="none"/>
        </w:rPr>
      </w:pPr>
    </w:p>
    <w:p>
      <w:pPr>
        <w:spacing w:line="320" w:lineRule="exact"/>
        <w:jc w:val="center"/>
        <w:rPr>
          <w:color w:val="auto"/>
          <w:sz w:val="28"/>
          <w:szCs w:val="28"/>
          <w:highlight w:val="none"/>
        </w:rPr>
      </w:pPr>
    </w:p>
    <w:p>
      <w:pPr>
        <w:spacing w:line="320" w:lineRule="exact"/>
        <w:jc w:val="center"/>
        <w:rPr>
          <w:color w:val="auto"/>
          <w:sz w:val="28"/>
          <w:szCs w:val="28"/>
          <w:highlight w:val="none"/>
        </w:rPr>
      </w:pPr>
    </w:p>
    <w:p>
      <w:pPr>
        <w:rPr>
          <w:color w:val="auto"/>
          <w:highlight w:val="none"/>
        </w:rPr>
      </w:pPr>
    </w:p>
    <w:p>
      <w:pPr>
        <w:autoSpaceDE w:val="0"/>
        <w:autoSpaceDN w:val="0"/>
        <w:adjustRightInd w:val="0"/>
        <w:spacing w:afterLines="50" w:line="360" w:lineRule="auto"/>
        <w:jc w:val="center"/>
        <w:rPr>
          <w:rFonts w:hint="eastAsia" w:ascii="宋体" w:hAnsi="宋体" w:cs="宋体" w:eastAsiaTheme="minorEastAsia"/>
          <w:b/>
          <w:bCs/>
          <w:color w:val="auto"/>
          <w:w w:val="90"/>
          <w:sz w:val="38"/>
          <w:szCs w:val="44"/>
          <w:highlight w:val="none"/>
          <w:u w:val="single"/>
          <w:lang w:eastAsia="zh-CN"/>
        </w:rPr>
      </w:pPr>
      <w:r>
        <w:rPr>
          <w:rFonts w:hint="eastAsia" w:ascii="宋体" w:hAnsi="宋体" w:cs="宋体"/>
          <w:b/>
          <w:bCs/>
          <w:color w:val="auto"/>
          <w:w w:val="90"/>
          <w:sz w:val="38"/>
          <w:szCs w:val="44"/>
          <w:highlight w:val="none"/>
          <w:u w:val="single"/>
          <w:lang w:eastAsia="zh-CN"/>
        </w:rPr>
        <w:t>官渡区太和街道跨境合作先行区太和1903</w:t>
      </w:r>
      <w:r>
        <w:rPr>
          <w:rFonts w:hint="eastAsia" w:ascii="宋体" w:hAnsi="宋体" w:cs="宋体"/>
          <w:b/>
          <w:bCs/>
          <w:color w:val="auto"/>
          <w:w w:val="90"/>
          <w:sz w:val="38"/>
          <w:szCs w:val="44"/>
          <w:highlight w:val="none"/>
          <w:u w:val="single"/>
        </w:rPr>
        <w:t xml:space="preserve">（官渡区太和街道和平路前卫营片区三旧改造连片开发项目工作指挥部）项目新增地块房屋调查测绘服务 </w:t>
      </w:r>
      <w:r>
        <w:rPr>
          <w:rFonts w:hint="eastAsia" w:ascii="宋体" w:hAnsi="宋体" w:cs="宋体"/>
          <w:b/>
          <w:bCs/>
          <w:color w:val="auto"/>
          <w:w w:val="90"/>
          <w:sz w:val="38"/>
          <w:szCs w:val="44"/>
          <w:highlight w:val="none"/>
          <w:u w:val="single"/>
          <w:lang w:eastAsia="zh-CN"/>
        </w:rPr>
        <w:t>(六标段)</w:t>
      </w:r>
    </w:p>
    <w:p>
      <w:pPr>
        <w:autoSpaceDE w:val="0"/>
        <w:autoSpaceDN w:val="0"/>
        <w:adjustRightInd w:val="0"/>
        <w:spacing w:afterLines="50" w:line="360" w:lineRule="auto"/>
        <w:jc w:val="center"/>
        <w:rPr>
          <w:rFonts w:ascii="宋体" w:hAnsi="宋体" w:cs="宋体"/>
          <w:b/>
          <w:bCs/>
          <w:color w:val="auto"/>
          <w:w w:val="90"/>
          <w:sz w:val="44"/>
          <w:szCs w:val="44"/>
          <w:highlight w:val="none"/>
          <w:u w:val="single"/>
        </w:rPr>
      </w:pPr>
    </w:p>
    <w:p>
      <w:pPr>
        <w:autoSpaceDE w:val="0"/>
        <w:autoSpaceDN w:val="0"/>
        <w:adjustRightInd w:val="0"/>
        <w:spacing w:afterLines="50" w:line="360" w:lineRule="auto"/>
        <w:jc w:val="center"/>
        <w:rPr>
          <w:rFonts w:ascii="宋体" w:hAnsi="宋体" w:cs="宋体"/>
          <w:b/>
          <w:bCs/>
          <w:color w:val="auto"/>
          <w:w w:val="90"/>
          <w:sz w:val="44"/>
          <w:szCs w:val="44"/>
          <w:highlight w:val="none"/>
          <w:u w:val="single"/>
        </w:rPr>
      </w:pPr>
    </w:p>
    <w:p>
      <w:pPr>
        <w:autoSpaceDE w:val="0"/>
        <w:autoSpaceDN w:val="0"/>
        <w:adjustRightInd w:val="0"/>
        <w:spacing w:afterLines="50" w:line="360" w:lineRule="auto"/>
        <w:jc w:val="center"/>
        <w:rPr>
          <w:rFonts w:ascii="宋体"/>
          <w:b/>
          <w:bCs/>
          <w:color w:val="auto"/>
          <w:sz w:val="48"/>
          <w:szCs w:val="48"/>
          <w:highlight w:val="none"/>
        </w:rPr>
      </w:pPr>
      <w:r>
        <w:rPr>
          <w:rFonts w:hint="eastAsia" w:ascii="宋体" w:hAnsi="宋体" w:cs="宋体"/>
          <w:b/>
          <w:bCs/>
          <w:color w:val="auto"/>
          <w:w w:val="90"/>
          <w:sz w:val="44"/>
          <w:szCs w:val="44"/>
          <w:highlight w:val="none"/>
          <w:u w:val="single"/>
        </w:rPr>
        <w:t>委托合同</w:t>
      </w:r>
    </w:p>
    <w:p>
      <w:pPr>
        <w:autoSpaceDE w:val="0"/>
        <w:autoSpaceDN w:val="0"/>
        <w:adjustRightInd w:val="0"/>
        <w:spacing w:afterLines="50" w:line="360" w:lineRule="auto"/>
        <w:jc w:val="center"/>
        <w:rPr>
          <w:rFonts w:ascii="宋体"/>
          <w:color w:val="auto"/>
          <w:sz w:val="48"/>
          <w:szCs w:val="48"/>
          <w:highlight w:val="none"/>
        </w:rPr>
      </w:pPr>
    </w:p>
    <w:p>
      <w:pPr>
        <w:autoSpaceDE w:val="0"/>
        <w:autoSpaceDN w:val="0"/>
        <w:adjustRightInd w:val="0"/>
        <w:spacing w:afterLines="50" w:line="360" w:lineRule="auto"/>
        <w:jc w:val="center"/>
        <w:rPr>
          <w:rFonts w:ascii="宋体"/>
          <w:color w:val="auto"/>
          <w:sz w:val="32"/>
          <w:szCs w:val="32"/>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项目名称：</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发包人（甲方）：</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承包人（乙方）：</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合同签订地点：</w:t>
      </w:r>
      <w:r>
        <w:rPr>
          <w:rFonts w:hint="eastAsia" w:ascii="宋体" w:hAnsi="宋体"/>
          <w:color w:val="auto"/>
          <w:sz w:val="24"/>
          <w:highlight w:val="none"/>
          <w:u w:val="single"/>
        </w:rPr>
        <w:t xml:space="preserve">              昆明市                    </w:t>
      </w:r>
    </w:p>
    <w:p>
      <w:pPr>
        <w:spacing w:line="360" w:lineRule="auto"/>
        <w:ind w:firstLine="480" w:firstLineChars="200"/>
        <w:rPr>
          <w:rFonts w:ascii="宋体" w:hAnsi="宋体"/>
          <w:color w:val="auto"/>
          <w:sz w:val="24"/>
          <w:highlight w:val="none"/>
        </w:rPr>
      </w:pPr>
    </w:p>
    <w:p>
      <w:pPr>
        <w:autoSpaceDE w:val="0"/>
        <w:autoSpaceDN w:val="0"/>
        <w:adjustRightInd w:val="0"/>
        <w:spacing w:afterLines="50" w:line="360" w:lineRule="auto"/>
        <w:jc w:val="center"/>
        <w:rPr>
          <w:rFonts w:ascii="宋体" w:hAnsi="宋体"/>
          <w:color w:val="auto"/>
          <w:sz w:val="24"/>
          <w:highlight w:val="none"/>
        </w:rPr>
      </w:pPr>
      <w:r>
        <w:rPr>
          <w:rFonts w:hint="eastAsia" w:ascii="宋体" w:hAnsi="宋体"/>
          <w:color w:val="auto"/>
          <w:sz w:val="24"/>
          <w:highlight w:val="none"/>
        </w:rPr>
        <w:t>签订日期： 20</w:t>
      </w:r>
      <w:r>
        <w:rPr>
          <w:rFonts w:ascii="宋体" w:hAnsi="宋体"/>
          <w:color w:val="auto"/>
          <w:sz w:val="24"/>
          <w:highlight w:val="none"/>
        </w:rPr>
        <w:t>2</w:t>
      </w:r>
      <w:r>
        <w:rPr>
          <w:rFonts w:hint="eastAsia" w:ascii="宋体" w:hAnsi="宋体"/>
          <w:color w:val="auto"/>
          <w:sz w:val="24"/>
          <w:highlight w:val="none"/>
        </w:rPr>
        <w:t>2年   月     日</w:t>
      </w:r>
    </w:p>
    <w:p>
      <w:pPr>
        <w:rPr>
          <w:rFonts w:ascii="宋体" w:hAnsi="宋体" w:eastAsia="宋体" w:cs="宋体"/>
          <w:b/>
          <w:color w:val="auto"/>
          <w:sz w:val="24"/>
          <w:highlight w:val="none"/>
        </w:rPr>
      </w:pPr>
    </w:p>
    <w:p>
      <w:pPr>
        <w:widowControl/>
        <w:jc w:val="left"/>
        <w:rPr>
          <w:rFonts w:ascii="宋体" w:hAnsi="宋体" w:eastAsia="宋体" w:cs="宋体"/>
          <w:b/>
          <w:color w:val="auto"/>
          <w:sz w:val="24"/>
          <w:highlight w:val="none"/>
        </w:rPr>
      </w:pPr>
      <w:r>
        <w:rPr>
          <w:rFonts w:ascii="宋体" w:hAnsi="宋体" w:eastAsia="宋体" w:cs="宋体"/>
          <w:b/>
          <w:color w:val="auto"/>
          <w:sz w:val="24"/>
          <w:highlight w:val="none"/>
        </w:rPr>
        <w:br w:type="page"/>
      </w:r>
    </w:p>
    <w:p>
      <w:pPr>
        <w:spacing w:line="360" w:lineRule="auto"/>
        <w:rPr>
          <w:rFonts w:hint="default" w:ascii="宋体" w:hAnsi="宋体" w:eastAsia="宋体" w:cs="宋体"/>
          <w:b/>
          <w:color w:val="auto"/>
          <w:sz w:val="24"/>
          <w:highlight w:val="none"/>
          <w:u w:val="single"/>
          <w:lang w:val="en-US" w:eastAsia="zh-CN"/>
        </w:rPr>
      </w:pPr>
      <w:bookmarkStart w:id="72" w:name="_Toc68192798"/>
      <w:r>
        <w:rPr>
          <w:rFonts w:hint="eastAsia" w:ascii="宋体" w:hAnsi="宋体" w:eastAsia="宋体" w:cs="宋体"/>
          <w:b/>
          <w:color w:val="auto"/>
          <w:sz w:val="24"/>
          <w:highlight w:val="none"/>
        </w:rPr>
        <w:t>发包人：</w:t>
      </w:r>
      <w:r>
        <w:rPr>
          <w:rFonts w:hint="eastAsia" w:ascii="宋体" w:hAnsi="宋体" w:eastAsia="宋体" w:cs="宋体"/>
          <w:b/>
          <w:color w:val="auto"/>
          <w:sz w:val="24"/>
          <w:highlight w:val="none"/>
          <w:u w:val="single"/>
        </w:rPr>
        <w:t>（以下简称“甲方”）</w:t>
      </w:r>
      <w:r>
        <w:rPr>
          <w:rFonts w:hint="eastAsia" w:ascii="宋体" w:hAnsi="宋体" w:eastAsia="宋体" w:cs="宋体"/>
          <w:b/>
          <w:color w:val="auto"/>
          <w:sz w:val="24"/>
          <w:highlight w:val="none"/>
          <w:u w:val="single"/>
          <w:lang w:val="en-US" w:eastAsia="zh-CN"/>
        </w:rPr>
        <w:t xml:space="preserve">                             </w:t>
      </w:r>
    </w:p>
    <w:p>
      <w:pPr>
        <w:spacing w:line="360" w:lineRule="auto"/>
        <w:rPr>
          <w:rFonts w:hint="default" w:ascii="宋体" w:hAnsi="宋体" w:eastAsia="宋体" w:cs="宋体"/>
          <w:b/>
          <w:color w:val="auto"/>
          <w:sz w:val="24"/>
          <w:highlight w:val="none"/>
          <w:u w:val="single"/>
          <w:lang w:val="en-US" w:eastAsia="zh-CN"/>
        </w:rPr>
      </w:pPr>
      <w:r>
        <w:rPr>
          <w:rFonts w:hint="eastAsia" w:ascii="宋体" w:hAnsi="宋体" w:eastAsia="宋体" w:cs="宋体"/>
          <w:b/>
          <w:color w:val="auto"/>
          <w:sz w:val="24"/>
          <w:highlight w:val="none"/>
        </w:rPr>
        <w:t>承包人：</w:t>
      </w:r>
      <w:r>
        <w:rPr>
          <w:rFonts w:hint="eastAsia" w:ascii="宋体" w:hAnsi="宋体" w:eastAsia="宋体" w:cs="宋体"/>
          <w:b/>
          <w:color w:val="auto"/>
          <w:sz w:val="24"/>
          <w:highlight w:val="none"/>
          <w:u w:val="single"/>
        </w:rPr>
        <w:t>（以下简称“乙方”）</w:t>
      </w:r>
      <w:r>
        <w:rPr>
          <w:rFonts w:hint="eastAsia" w:ascii="宋体" w:hAnsi="宋体" w:eastAsia="宋体" w:cs="宋体"/>
          <w:b/>
          <w:color w:val="auto"/>
          <w:sz w:val="24"/>
          <w:highlight w:val="none"/>
          <w:u w:val="single"/>
          <w:lang w:val="en-US" w:eastAsia="zh-CN"/>
        </w:rPr>
        <w:t xml:space="preserve">                             </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根据《中华人民共和国民法典》、《中华人民共和国测绘法》等有关法律、法规及云南省、昆明市的有关法规、规章及文件规定，甲乙双方经充分协商，就</w:t>
      </w:r>
      <w:r>
        <w:rPr>
          <w:rFonts w:hint="eastAsia" w:ascii="宋体" w:hAnsi="宋体" w:eastAsia="宋体" w:cs="宋体"/>
          <w:color w:val="auto"/>
          <w:sz w:val="24"/>
          <w:highlight w:val="none"/>
          <w:u w:val="single"/>
          <w:lang w:val="en-US" w:eastAsia="zh-CN"/>
        </w:rPr>
        <w:t xml:space="preserve">             XXX</w:t>
      </w:r>
      <w:r>
        <w:rPr>
          <w:rFonts w:hint="eastAsia" w:ascii="宋体" w:hAnsi="宋体" w:eastAsia="宋体" w:cs="宋体"/>
          <w:color w:val="auto"/>
          <w:sz w:val="24"/>
          <w:highlight w:val="none"/>
        </w:rPr>
        <w:t>项目事宜签订本合同。</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一、估价工程范围、工作量及完成期限：</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1、测绘服务范围：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2、测绘工作量：</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spacing w:line="360" w:lineRule="auto"/>
        <w:ind w:firstLine="494" w:firstLineChars="206"/>
        <w:rPr>
          <w:rFonts w:hint="default" w:ascii="宋体" w:hAnsi="宋体" w:eastAsia="宋体" w:cs="宋体"/>
          <w:color w:val="auto"/>
          <w:sz w:val="24"/>
          <w:highlight w:val="none"/>
          <w:u w:val="none"/>
          <w:lang w:val="en-US"/>
        </w:rPr>
      </w:pPr>
      <w:r>
        <w:rPr>
          <w:rFonts w:hint="eastAsia" w:ascii="宋体" w:hAnsi="宋体" w:eastAsia="宋体" w:cs="宋体"/>
          <w:color w:val="auto"/>
          <w:sz w:val="24"/>
          <w:highlight w:val="none"/>
        </w:rPr>
        <w:t>3、测绘服务周期：</w:t>
      </w:r>
      <w:bookmarkStart w:id="73" w:name="_Toc500282861"/>
      <w:bookmarkStart w:id="74" w:name="_Toc502077417"/>
      <w:bookmarkStart w:id="75" w:name="_Toc433380006"/>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w:t>
      </w:r>
    </w:p>
    <w:p>
      <w:pPr>
        <w:spacing w:line="360" w:lineRule="auto"/>
        <w:ind w:left="487" w:leftChars="227" w:hanging="10" w:hangingChars="4"/>
        <w:rPr>
          <w:rFonts w:ascii="宋体" w:hAnsi="宋体" w:eastAsia="宋体" w:cs="宋体"/>
          <w:b/>
          <w:color w:val="auto"/>
          <w:sz w:val="24"/>
          <w:highlight w:val="none"/>
        </w:rPr>
      </w:pPr>
      <w:r>
        <w:rPr>
          <w:rFonts w:hint="eastAsia" w:ascii="宋体" w:hAnsi="宋体" w:eastAsia="宋体" w:cs="宋体"/>
          <w:b/>
          <w:color w:val="auto"/>
          <w:sz w:val="24"/>
          <w:highlight w:val="none"/>
        </w:rPr>
        <w:t>二、工作内容</w:t>
      </w:r>
    </w:p>
    <w:p>
      <w:pPr>
        <w:spacing w:line="360" w:lineRule="auto"/>
        <w:ind w:firstLine="470" w:firstLineChars="196"/>
        <w:rPr>
          <w:rFonts w:hint="default"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w:t>
      </w:r>
    </w:p>
    <w:p>
      <w:pPr>
        <w:spacing w:line="360" w:lineRule="auto"/>
        <w:ind w:firstLine="470" w:firstLineChars="196"/>
        <w:rPr>
          <w:rFonts w:hint="default"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rPr>
        <w:t>2、</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w:t>
      </w:r>
    </w:p>
    <w:p>
      <w:pPr>
        <w:pStyle w:val="7"/>
        <w:widowControl/>
        <w:ind w:firstLine="480"/>
        <w:rPr>
          <w:rFonts w:hint="default" w:eastAsia="宋体"/>
          <w:color w:val="auto"/>
          <w:sz w:val="24"/>
          <w:highlight w:val="none"/>
          <w:u w:val="none"/>
          <w:lang w:val="en-US" w:eastAsia="zh-CN"/>
        </w:rPr>
      </w:pPr>
      <w:r>
        <w:rPr>
          <w:rFonts w:hint="eastAsia" w:ascii="宋体" w:hAnsi="宋体" w:cs="宋体"/>
          <w:color w:val="auto"/>
          <w:sz w:val="24"/>
          <w:highlight w:val="none"/>
          <w:u w:val="none"/>
        </w:rPr>
        <w:t>3、</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三、合同价款及支付方式：</w:t>
      </w:r>
      <w:bookmarkEnd w:id="73"/>
      <w:bookmarkEnd w:id="74"/>
      <w:bookmarkEnd w:id="75"/>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本项目测绘费参照国家发展改革委、财政部发布的《国测财字[2002]3号关于印发《测绘工程产品价格》和《测绘工程产品困难类别细则》规定的相关收费标准，按实际委托测绘面积、中标综合单价按实结算，实际支付费用以甲方实际委托并经审计审核通过数额为准。</w:t>
      </w:r>
    </w:p>
    <w:p>
      <w:pPr>
        <w:spacing w:line="360" w:lineRule="auto"/>
        <w:ind w:firstLine="494" w:firstLineChars="206"/>
        <w:rPr>
          <w:rFonts w:ascii="宋体" w:hAnsi="宋体" w:eastAsia="宋体" w:cs="宋体"/>
          <w:color w:val="auto"/>
          <w:sz w:val="24"/>
          <w:highlight w:val="none"/>
        </w:rPr>
      </w:pPr>
      <w:r>
        <w:rPr>
          <w:rFonts w:hint="eastAsia" w:ascii="宋体" w:hAnsi="Calibri" w:eastAsia="宋体" w:cs="宋体"/>
          <w:color w:val="auto"/>
          <w:sz w:val="24"/>
          <w:highlight w:val="none"/>
        </w:rPr>
        <w:t>（1）本项目测绘费按实际委托测绘面积、中标单价按实结算，测绘费：</w:t>
      </w:r>
      <w:r>
        <w:rPr>
          <w:rFonts w:hint="eastAsia" w:ascii="宋体" w:hAnsi="Calibri" w:eastAsia="宋体" w:cs="宋体"/>
          <w:color w:val="auto"/>
          <w:sz w:val="24"/>
          <w:highlight w:val="none"/>
          <w:u w:val="single"/>
          <w:lang w:val="en-US" w:eastAsia="zh-CN"/>
        </w:rPr>
        <w:t xml:space="preserve">    </w:t>
      </w:r>
      <w:r>
        <w:rPr>
          <w:rFonts w:hint="eastAsia" w:ascii="宋体" w:hAnsi="Calibri" w:eastAsia="宋体" w:cs="宋体"/>
          <w:color w:val="auto"/>
          <w:sz w:val="24"/>
          <w:highlight w:val="none"/>
        </w:rPr>
        <w:t>元/平方米。暂估面积约</w:t>
      </w:r>
      <w:r>
        <w:rPr>
          <w:rFonts w:hint="eastAsia" w:ascii="宋体" w:hAnsi="宋体" w:eastAsia="宋体" w:cs="宋体"/>
          <w:color w:val="auto"/>
          <w:sz w:val="24"/>
          <w:highlight w:val="none"/>
          <w:u w:val="single"/>
          <w:lang w:val="en-US" w:eastAsia="zh-CN"/>
        </w:rPr>
        <w:t xml:space="preserve">      </w:t>
      </w:r>
      <w:r>
        <w:rPr>
          <w:rFonts w:hint="eastAsia" w:ascii="宋体" w:hAnsi="Calibri" w:eastAsia="宋体" w:cs="宋体"/>
          <w:color w:val="auto"/>
          <w:sz w:val="24"/>
          <w:highlight w:val="none"/>
        </w:rPr>
        <w:t>平方米，暂估合同价款为：</w:t>
      </w:r>
      <w:r>
        <w:rPr>
          <w:rFonts w:hint="eastAsia" w:ascii="宋体" w:hAnsi="宋体" w:eastAsia="宋体" w:cs="宋体"/>
          <w:color w:val="auto"/>
          <w:sz w:val="24"/>
          <w:highlight w:val="none"/>
          <w:u w:val="single"/>
        </w:rPr>
        <w:t>中标综合单价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元/平方米*</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平方米=</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元</w:t>
      </w:r>
      <w:r>
        <w:rPr>
          <w:rFonts w:hint="eastAsia" w:ascii="宋体" w:hAnsi="宋体" w:eastAsia="宋体" w:cs="宋体"/>
          <w:color w:val="auto"/>
          <w:sz w:val="24"/>
          <w:highlight w:val="none"/>
        </w:rPr>
        <w:t>）。</w:t>
      </w:r>
    </w:p>
    <w:p>
      <w:pPr>
        <w:spacing w:line="360" w:lineRule="auto"/>
        <w:ind w:firstLine="494" w:firstLineChars="206"/>
        <w:rPr>
          <w:rFonts w:ascii="宋体" w:hAnsi="Calibri" w:eastAsia="宋体" w:cs="宋体"/>
          <w:color w:val="auto"/>
          <w:sz w:val="24"/>
          <w:highlight w:val="none"/>
        </w:rPr>
      </w:pPr>
      <w:r>
        <w:rPr>
          <w:rFonts w:hint="eastAsia" w:ascii="宋体" w:hAnsi="宋体" w:eastAsia="宋体" w:cs="宋体"/>
          <w:color w:val="auto"/>
          <w:sz w:val="24"/>
          <w:highlight w:val="none"/>
        </w:rPr>
        <w:t>（2）</w:t>
      </w:r>
      <w:r>
        <w:rPr>
          <w:rFonts w:hint="eastAsia" w:ascii="宋体" w:hAnsi="Calibri" w:eastAsia="宋体" w:cs="宋体"/>
          <w:color w:val="auto"/>
          <w:sz w:val="24"/>
          <w:highlight w:val="none"/>
        </w:rPr>
        <w:t>房屋附属设施、配套设施调查，测绘费按如下标准计算：</w:t>
      </w:r>
    </w:p>
    <w:p>
      <w:pPr>
        <w:spacing w:line="360" w:lineRule="auto"/>
        <w:ind w:firstLine="494" w:firstLineChars="206"/>
        <w:rPr>
          <w:color w:val="auto"/>
          <w:highlight w:val="none"/>
        </w:rPr>
      </w:pPr>
      <w:r>
        <w:rPr>
          <w:rFonts w:hint="eastAsia" w:ascii="宋体" w:hAnsi="Calibri" w:eastAsia="宋体" w:cs="宋体"/>
          <w:color w:val="auto"/>
          <w:sz w:val="24"/>
          <w:highlight w:val="none"/>
        </w:rPr>
        <w:t>除昆明市人民政府办公厅关于印发昆明市集体土地上房屋拆迁补偿安置指导意见（昆政办【2015】103号）文件列明符合赔偿标准的23项附属设施、配套设施，其中含平方米的附属设施、配套设施可以计费，均按</w:t>
      </w:r>
      <w:r>
        <w:rPr>
          <w:rFonts w:hint="eastAsia" w:ascii="宋体" w:hAnsi="Calibri" w:eastAsia="宋体" w:cs="宋体"/>
          <w:color w:val="auto"/>
          <w:sz w:val="24"/>
          <w:highlight w:val="none"/>
          <w:u w:val="single"/>
          <w:lang w:val="en-US" w:eastAsia="zh-CN"/>
        </w:rPr>
        <w:t xml:space="preserve"> 0.60</w:t>
      </w:r>
      <w:r>
        <w:rPr>
          <w:rFonts w:hint="eastAsia" w:ascii="宋体" w:hAnsi="Calibri" w:eastAsia="宋体" w:cs="宋体"/>
          <w:color w:val="auto"/>
          <w:sz w:val="24"/>
          <w:highlight w:val="none"/>
          <w:u w:val="single"/>
        </w:rPr>
        <w:t>元</w:t>
      </w:r>
      <w:r>
        <w:rPr>
          <w:rFonts w:hint="eastAsia" w:ascii="宋体" w:hAnsi="宋体" w:eastAsia="宋体" w:cs="宋体"/>
          <w:color w:val="auto"/>
          <w:sz w:val="24"/>
          <w:highlight w:val="none"/>
          <w:u w:val="single"/>
        </w:rPr>
        <w:t>/平方米</w:t>
      </w:r>
      <w:r>
        <w:rPr>
          <w:rFonts w:hint="eastAsia" w:ascii="宋体" w:hAnsi="Calibri" w:eastAsia="宋体" w:cs="宋体"/>
          <w:color w:val="auto"/>
          <w:sz w:val="24"/>
          <w:highlight w:val="none"/>
        </w:rPr>
        <w:t>计算。其余房屋附属设施及配套设施由乙方</w:t>
      </w:r>
      <w:r>
        <w:rPr>
          <w:rFonts w:hint="eastAsia" w:ascii="Calibri" w:hAnsi="Calibri" w:eastAsia="宋体" w:cs="宋体"/>
          <w:color w:val="auto"/>
          <w:sz w:val="24"/>
          <w:highlight w:val="none"/>
        </w:rPr>
        <w:t>提供无偿服务，乙方不得收取甲方任何费用。</w:t>
      </w:r>
    </w:p>
    <w:p>
      <w:pPr>
        <w:pStyle w:val="7"/>
        <w:widowControl/>
        <w:spacing w:line="360" w:lineRule="auto"/>
        <w:ind w:firstLine="480"/>
        <w:rPr>
          <w:color w:val="auto"/>
          <w:sz w:val="24"/>
          <w:highlight w:val="none"/>
        </w:rPr>
      </w:pPr>
      <w:r>
        <w:rPr>
          <w:rFonts w:hint="eastAsia" w:ascii="宋体" w:cs="宋体"/>
          <w:color w:val="auto"/>
          <w:sz w:val="24"/>
          <w:highlight w:val="none"/>
        </w:rPr>
        <w:t>上述测绘费用为乙方实施完成合同委托的测绘项目所须的全部费用，包含但不限于直接成本（现场人员工资、差旅费、补助费及交通费等，用于本项目测绘人员的其他专项开支等）、间接成本（公司管理人员工资、行政办公费、业务培训费、新技术开发研制费用等）、专家评审、税金、利润、保险、宗地图制作等完成本工作所需的全部费用。除本合同另有约定外，甲方不再支付与本项目有关的其他任何工作费用或补偿（如：核减额收益、工程延期费、附加服务酬金及额外服务酬金等）等。</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2、具体支付方式：</w:t>
      </w:r>
      <w:bookmarkStart w:id="76" w:name="_Toc433380007"/>
      <w:bookmarkStart w:id="77" w:name="_Toc500282862"/>
    </w:p>
    <w:p>
      <w:pPr>
        <w:spacing w:line="360" w:lineRule="auto"/>
        <w:ind w:firstLine="494" w:firstLineChars="206"/>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本项目测绘费用分四次支付：</w:t>
      </w:r>
    </w:p>
    <w:p>
      <w:pPr>
        <w:spacing w:line="360" w:lineRule="auto"/>
        <w:ind w:firstLine="494" w:firstLineChars="206"/>
        <w:rPr>
          <w:rFonts w:ascii="宋体" w:hAnsi="宋体" w:eastAsia="宋体" w:cs="宋体"/>
          <w:color w:val="auto"/>
          <w:sz w:val="24"/>
          <w:highlight w:val="none"/>
          <w:u w:val="single"/>
        </w:rPr>
      </w:pPr>
      <w:r>
        <w:rPr>
          <w:rFonts w:hint="eastAsia" w:ascii="宋体" w:hAnsi="宋体" w:eastAsia="宋体" w:cs="宋体"/>
          <w:bCs/>
          <w:color w:val="auto"/>
          <w:sz w:val="24"/>
          <w:highlight w:val="none"/>
          <w:u w:val="single"/>
        </w:rPr>
        <w:t>第一次支付</w:t>
      </w:r>
      <w:r>
        <w:rPr>
          <w:rFonts w:hint="eastAsia" w:ascii="宋体" w:hAnsi="宋体" w:eastAsia="宋体" w:cs="宋体"/>
          <w:color w:val="auto"/>
          <w:sz w:val="24"/>
          <w:highlight w:val="none"/>
          <w:u w:val="single"/>
        </w:rPr>
        <w:t>：前期调查结束后，出具《前期房屋调查报告》及建(构)筑物及附属设施面积汇总表、房屋测绘平面图等并经甲方相关业务部门书面签字并加盖公章确认和项目审计部门审核后，甲方在十五个工作日内向乙方支付进度款，进度款（第一次）=中标综合单价*</w:t>
      </w:r>
      <w:r>
        <w:rPr>
          <w:rFonts w:hint="eastAsia" w:ascii="宋体" w:hAnsi="宋体" w:eastAsia="宋体" w:cs="宋体"/>
          <w:bCs/>
          <w:color w:val="auto"/>
          <w:sz w:val="24"/>
          <w:highlight w:val="none"/>
          <w:u w:val="single"/>
        </w:rPr>
        <w:t>《前期房屋调查报告》载明</w:t>
      </w:r>
      <w:r>
        <w:rPr>
          <w:rFonts w:hint="eastAsia" w:ascii="宋体" w:hAnsi="宋体" w:eastAsia="宋体" w:cs="宋体"/>
          <w:color w:val="auto"/>
          <w:sz w:val="24"/>
          <w:highlight w:val="none"/>
          <w:u w:val="single"/>
        </w:rPr>
        <w:t>的初测面积*【</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p>
    <w:p>
      <w:pPr>
        <w:spacing w:line="360" w:lineRule="auto"/>
        <w:ind w:firstLine="494" w:firstLineChars="206"/>
        <w:rPr>
          <w:rFonts w:ascii="宋体" w:hAnsi="宋体" w:eastAsia="宋体" w:cs="宋体"/>
          <w:color w:val="auto"/>
          <w:sz w:val="24"/>
          <w:highlight w:val="none"/>
          <w:u w:val="single"/>
        </w:rPr>
      </w:pPr>
      <w:r>
        <w:rPr>
          <w:rFonts w:hint="eastAsia" w:ascii="宋体" w:hAnsi="宋体" w:eastAsia="宋体" w:cs="宋体"/>
          <w:bCs/>
          <w:color w:val="auto"/>
          <w:sz w:val="24"/>
          <w:highlight w:val="none"/>
          <w:u w:val="single"/>
        </w:rPr>
        <w:t>第二次支付</w:t>
      </w:r>
      <w:r>
        <w:rPr>
          <w:rFonts w:hint="eastAsia" w:ascii="宋体" w:hAnsi="宋体" w:eastAsia="宋体" w:cs="宋体"/>
          <w:color w:val="auto"/>
          <w:sz w:val="24"/>
          <w:highlight w:val="none"/>
          <w:u w:val="single"/>
        </w:rPr>
        <w:t>: 《拆迁工作方案》由拆迁单位编制完成经甲方确认并报属地政府审批后，乙方接到甲方书面通知进场入户测绘，入户测绘完成【</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】%并经甲方相关业务部门书面签字并加盖公章确认和项目审计部门审核后，甲方在</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个工作日内向乙方支付进度款，进度款（第二次）=中标综合单价*</w:t>
      </w:r>
      <w:r>
        <w:rPr>
          <w:rFonts w:hint="eastAsia" w:ascii="宋体" w:hAnsi="宋体" w:eastAsia="宋体" w:cs="宋体"/>
          <w:bCs/>
          <w:color w:val="auto"/>
          <w:sz w:val="24"/>
          <w:highlight w:val="none"/>
          <w:u w:val="single"/>
        </w:rPr>
        <w:t>《前期房屋调查报告》载明初测面积*</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bCs/>
          <w:color w:val="auto"/>
          <w:sz w:val="24"/>
          <w:highlight w:val="none"/>
          <w:u w:val="single"/>
        </w:rPr>
        <w:t>-已付进度款（第一次）；</w:t>
      </w:r>
    </w:p>
    <w:p>
      <w:pPr>
        <w:spacing w:line="360" w:lineRule="auto"/>
        <w:ind w:firstLine="494" w:firstLineChars="206"/>
        <w:rPr>
          <w:rFonts w:ascii="宋体" w:hAnsi="宋体" w:eastAsia="宋体" w:cs="宋体"/>
          <w:color w:val="auto"/>
          <w:sz w:val="24"/>
          <w:highlight w:val="none"/>
          <w:u w:val="single"/>
        </w:rPr>
      </w:pPr>
      <w:r>
        <w:rPr>
          <w:rFonts w:hint="eastAsia" w:ascii="宋体" w:hAnsi="宋体" w:eastAsia="宋体" w:cs="宋体"/>
          <w:bCs/>
          <w:color w:val="auto"/>
          <w:sz w:val="24"/>
          <w:highlight w:val="none"/>
          <w:u w:val="single"/>
        </w:rPr>
        <w:t>第三次支付</w:t>
      </w:r>
      <w:r>
        <w:rPr>
          <w:rFonts w:hint="eastAsia" w:ascii="宋体" w:hAnsi="宋体" w:eastAsia="宋体" w:cs="宋体"/>
          <w:color w:val="auto"/>
          <w:sz w:val="24"/>
          <w:highlight w:val="none"/>
          <w:u w:val="single"/>
        </w:rPr>
        <w:t>: 乙方入户测绘全部完成并出具《入户测量及六方签证资料》、房产测绘平面图、房屋测绘建(构)筑物及附属设施面积汇总表、房屋测绘建(构)筑物及附属设施签证表等并经甲方相关业务部门书面签字并加盖公章确认和项目审计部门审核后，甲方在</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个工作日内向乙方支付进度款，进度款（第三次）=中标综合单价*</w:t>
      </w:r>
      <w:r>
        <w:rPr>
          <w:rFonts w:hint="eastAsia" w:ascii="宋体" w:hAnsi="宋体" w:eastAsia="宋体" w:cs="宋体"/>
          <w:bCs/>
          <w:color w:val="auto"/>
          <w:sz w:val="24"/>
          <w:highlight w:val="none"/>
          <w:u w:val="single"/>
        </w:rPr>
        <w:t>《入户测量及六方签证资料》载明测绘面积*【</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u w:val="single"/>
        </w:rPr>
        <w:t>】%-已付进度款（第一次+第二次）（经计算如本阶段进度款小于0则甲方无需支付）</w:t>
      </w:r>
      <w:r>
        <w:rPr>
          <w:rFonts w:hint="eastAsia" w:ascii="宋体" w:hAnsi="宋体" w:eastAsia="宋体" w:cs="宋体"/>
          <w:color w:val="auto"/>
          <w:sz w:val="24"/>
          <w:highlight w:val="none"/>
          <w:u w:val="single"/>
        </w:rPr>
        <w:t>；</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bCs/>
          <w:color w:val="auto"/>
          <w:sz w:val="24"/>
          <w:highlight w:val="none"/>
          <w:u w:val="single"/>
        </w:rPr>
        <w:t>第四次支付</w:t>
      </w:r>
      <w:r>
        <w:rPr>
          <w:rFonts w:hint="eastAsia" w:ascii="宋体" w:hAnsi="宋体" w:eastAsia="宋体" w:cs="宋体"/>
          <w:color w:val="auto"/>
          <w:sz w:val="24"/>
          <w:highlight w:val="none"/>
          <w:u w:val="single"/>
        </w:rPr>
        <w:t>: 审计部门完成最终审计</w:t>
      </w:r>
      <w:r>
        <w:rPr>
          <w:rFonts w:hint="eastAsia" w:ascii="宋体" w:hAnsi="宋体" w:eastAsia="宋体" w:cs="宋体"/>
          <w:bCs/>
          <w:color w:val="auto"/>
          <w:sz w:val="24"/>
          <w:highlight w:val="none"/>
          <w:u w:val="single"/>
        </w:rPr>
        <w:t>并经甲方相关业务部门书面签字并加盖公章确认后</w:t>
      </w:r>
      <w:r>
        <w:rPr>
          <w:rFonts w:hint="eastAsia" w:ascii="宋体" w:hAnsi="宋体" w:eastAsia="宋体" w:cs="宋体"/>
          <w:color w:val="auto"/>
          <w:sz w:val="24"/>
          <w:highlight w:val="none"/>
          <w:u w:val="single"/>
        </w:rPr>
        <w:t>，甲方在</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个工作日内向乙方一次性支付测绘费尾款，测绘费尾款=中标综合单价*审计部门审定面积-已付进度款（第一次+第二次+第三次）。</w:t>
      </w:r>
    </w:p>
    <w:p>
      <w:pPr>
        <w:spacing w:line="360" w:lineRule="auto"/>
        <w:ind w:firstLine="472" w:firstLineChars="196"/>
        <w:rPr>
          <w:rFonts w:ascii="宋体" w:hAnsi="宋体" w:eastAsia="宋体" w:cs="宋体"/>
          <w:b/>
          <w:color w:val="auto"/>
          <w:sz w:val="24"/>
          <w:highlight w:val="none"/>
        </w:rPr>
      </w:pPr>
      <w:r>
        <w:rPr>
          <w:rFonts w:hint="eastAsia" w:ascii="宋体" w:hAnsi="宋体" w:eastAsia="宋体" w:cs="宋体"/>
          <w:b/>
          <w:color w:val="auto"/>
          <w:sz w:val="24"/>
          <w:highlight w:val="none"/>
        </w:rPr>
        <w:t>四、</w:t>
      </w:r>
      <w:bookmarkStart w:id="78" w:name="_Toc249768097"/>
      <w:bookmarkStart w:id="79" w:name="_Toc178858153"/>
      <w:r>
        <w:rPr>
          <w:rFonts w:hint="eastAsia" w:ascii="宋体" w:hAnsi="宋体" w:eastAsia="宋体" w:cs="宋体"/>
          <w:b/>
          <w:color w:val="auto"/>
          <w:sz w:val="24"/>
          <w:highlight w:val="none"/>
        </w:rPr>
        <w:t>履约保证金：</w:t>
      </w:r>
      <w:bookmarkEnd w:id="78"/>
      <w:bookmarkEnd w:id="79"/>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1、履约保证金形式：现金、转账或保函 （以乙方实际提供的担保为准）。</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2、履约保证金金额：</w:t>
      </w:r>
      <w:r>
        <w:rPr>
          <w:rFonts w:hint="eastAsia" w:ascii="宋体" w:hAnsi="宋体" w:eastAsia="宋体" w:cs="宋体"/>
          <w:color w:val="auto"/>
          <w:sz w:val="24"/>
          <w:highlight w:val="none"/>
          <w:lang w:eastAsia="zh-CN"/>
        </w:rPr>
        <w:t>不高于</w:t>
      </w:r>
      <w:r>
        <w:rPr>
          <w:rFonts w:hint="eastAsia" w:ascii="宋体" w:hAnsi="宋体" w:eastAsia="宋体" w:cs="宋体"/>
          <w:color w:val="auto"/>
          <w:sz w:val="24"/>
          <w:highlight w:val="none"/>
        </w:rPr>
        <w:t>合同价款的10％。甲、乙双方签订合同后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日内乙方向甲方支付履约保证金，本项目中标单价为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元/平方米。暂估面积</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平方米，暂估合同价款为：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元。履约保证金金额：￥:</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b/>
          <w:color w:val="auto"/>
          <w:sz w:val="24"/>
          <w:highlight w:val="none"/>
        </w:rPr>
        <w:t>元</w:t>
      </w:r>
      <w:r>
        <w:rPr>
          <w:rFonts w:hint="eastAsia" w:ascii="宋体" w:hAnsi="宋体" w:eastAsia="宋体" w:cs="宋体"/>
          <w:color w:val="auto"/>
          <w:sz w:val="24"/>
          <w:highlight w:val="none"/>
        </w:rPr>
        <w:t>；如乙方未及时支付履约保证金，则甲方有权不通过诉讼、仲裁或其他救济程序单方解除合同，并要求乙方赔偿因此造成的损失（包括但不限于重新选定中标单位所产生的费用及实际中标单位中标单价与本合同所列中标单价之差额*实际测绘面积之合同总价价差）。</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3、乙方如不能全部履行协议且造成甲方损失的，甲方有权全部或部分没收履约保证金作为该部分的补偿。如履约保证金不足以弥补甲方损失的（含直接损失及间接损失），甲方有权向乙方另行追偿。</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4、履约保证金的处理：（1）乙方违约不能履行或不能全部履行本合同的内容给甲方造成损失的，甲方有权全部没收履约保证金作为该部分的补偿；（2）乙方在履行本合同期间给第三方造成损失，甲方有权将保证金扣留或直接用保证金补偿第三方的损失；（3）因乙方出现违约情形需要向甲方承担违约责任的，违约金优先从履约保证金中抵扣。</w:t>
      </w:r>
    </w:p>
    <w:p>
      <w:pPr>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5、履约保证金退还期限：合同履行完成后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个工作日内进行结算，结算后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个工作日内将剩余保证金无息退还。因乙方出现违约情形需要向甲方承担违约责任的，结算时违约金优先从履约保证金中抵扣。</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五、乙方应提交的资料</w:t>
      </w:r>
    </w:p>
    <w:p>
      <w:pPr>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color w:val="auto"/>
          <w:sz w:val="24"/>
          <w:highlight w:val="none"/>
        </w:rPr>
        <w:t>《前期房屋调查报告》、《测绘报告》、建(构)筑物及附属设施面积汇总表、明细表等</w:t>
      </w:r>
      <w:r>
        <w:rPr>
          <w:rFonts w:hint="eastAsia" w:ascii="宋体" w:hAnsi="宋体" w:eastAsia="宋体" w:cs="宋体"/>
          <w:bCs/>
          <w:color w:val="auto"/>
          <w:sz w:val="24"/>
          <w:highlight w:val="none"/>
        </w:rPr>
        <w:t>一式</w:t>
      </w:r>
      <w:r>
        <w:rPr>
          <w:rFonts w:hint="eastAsia" w:ascii="宋体" w:hAnsi="宋体" w:eastAsia="宋体" w:cs="宋体"/>
          <w:bCs/>
          <w:color w:val="auto"/>
          <w:sz w:val="24"/>
          <w:highlight w:val="none"/>
          <w:u w:val="single"/>
        </w:rPr>
        <w:t>陆</w:t>
      </w:r>
      <w:r>
        <w:rPr>
          <w:rFonts w:hint="eastAsia" w:ascii="宋体" w:hAnsi="宋体" w:eastAsia="宋体" w:cs="宋体"/>
          <w:bCs/>
          <w:color w:val="auto"/>
          <w:sz w:val="24"/>
          <w:highlight w:val="none"/>
        </w:rPr>
        <w:t>份，如</w:t>
      </w:r>
      <w:r>
        <w:rPr>
          <w:rFonts w:hint="eastAsia" w:ascii="宋体" w:hAnsi="宋体" w:eastAsia="宋体" w:cs="宋体"/>
          <w:color w:val="auto"/>
          <w:sz w:val="24"/>
          <w:highlight w:val="none"/>
        </w:rPr>
        <w:t>政府相关部门或甲方有额外需求的，乙方按照要求提供，甲方不再另行支付费用</w:t>
      </w:r>
      <w:r>
        <w:rPr>
          <w:rFonts w:hint="eastAsia" w:ascii="宋体" w:hAnsi="宋体" w:eastAsia="宋体" w:cs="宋体"/>
          <w:bCs/>
          <w:color w:val="auto"/>
          <w:sz w:val="24"/>
          <w:highlight w:val="none"/>
        </w:rPr>
        <w:t>；</w:t>
      </w:r>
    </w:p>
    <w:p>
      <w:pPr>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color w:val="auto"/>
          <w:sz w:val="24"/>
          <w:highlight w:val="none"/>
        </w:rPr>
        <w:t>建(构)筑物及附属设施面积汇总表、房屋测绘平面图</w:t>
      </w:r>
      <w:r>
        <w:rPr>
          <w:rFonts w:hint="eastAsia" w:ascii="宋体" w:hAnsi="宋体" w:eastAsia="宋体" w:cs="宋体"/>
          <w:bCs/>
          <w:color w:val="auto"/>
          <w:sz w:val="24"/>
          <w:highlight w:val="none"/>
        </w:rPr>
        <w:t>资料根据甲方实际工作需要提供；</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color w:val="auto"/>
          <w:sz w:val="24"/>
          <w:highlight w:val="none"/>
        </w:rPr>
        <w:t>《入户测量及六方签证资料》、房产测绘平面图、房屋测绘建(构)筑物及附属设施面积汇总表、房屋测绘建(构)筑物及附属设施签证表等甲方及相关政府部门需要的相关资料；</w:t>
      </w:r>
    </w:p>
    <w:p>
      <w:pPr>
        <w:snapToGrid w:val="0"/>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4、相关成果资料电子光盘一式</w:t>
      </w:r>
      <w:r>
        <w:rPr>
          <w:rFonts w:hint="eastAsia" w:ascii="宋体" w:hAnsi="宋体" w:eastAsia="宋体" w:cs="宋体"/>
          <w:bCs/>
          <w:color w:val="auto"/>
          <w:sz w:val="24"/>
          <w:highlight w:val="none"/>
          <w:u w:val="single"/>
        </w:rPr>
        <w:t>陆</w:t>
      </w:r>
      <w:r>
        <w:rPr>
          <w:rFonts w:hint="eastAsia" w:ascii="宋体" w:hAnsi="宋体" w:eastAsia="宋体" w:cs="宋体"/>
          <w:bCs/>
          <w:color w:val="auto"/>
          <w:sz w:val="24"/>
          <w:highlight w:val="none"/>
        </w:rPr>
        <w:t>份</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如</w:t>
      </w:r>
      <w:r>
        <w:rPr>
          <w:rFonts w:hint="eastAsia" w:ascii="宋体" w:hAnsi="宋体" w:eastAsia="宋体" w:cs="宋体"/>
          <w:color w:val="auto"/>
          <w:sz w:val="24"/>
          <w:highlight w:val="none"/>
        </w:rPr>
        <w:t>政府相关部门或甲方有额外需求的，乙方按照要求提供，甲方不再另行支付费用</w:t>
      </w:r>
      <w:r>
        <w:rPr>
          <w:rFonts w:hint="eastAsia" w:ascii="宋体" w:hAnsi="宋体" w:eastAsia="宋体" w:cs="宋体"/>
          <w:bCs/>
          <w:color w:val="auto"/>
          <w:sz w:val="24"/>
          <w:highlight w:val="none"/>
        </w:rPr>
        <w:t>；</w:t>
      </w:r>
    </w:p>
    <w:p>
      <w:pPr>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5、政府相关部门或甲方对乙方提供资料有其他要求的，乙方按照要求提供，甲方不再另行支付费用。</w:t>
      </w:r>
    </w:p>
    <w:p>
      <w:pPr>
        <w:pStyle w:val="2"/>
        <w:widowControl/>
        <w:snapToGrid w:val="0"/>
        <w:spacing w:line="360" w:lineRule="auto"/>
        <w:ind w:left="477" w:leftChars="227"/>
        <w:rPr>
          <w:rFonts w:hint="eastAsia" w:ascii="宋体" w:hAnsi="宋体" w:cs="宋体"/>
          <w:bCs/>
          <w:color w:val="auto"/>
          <w:sz w:val="24"/>
          <w:highlight w:val="none"/>
        </w:rPr>
      </w:pPr>
      <w:r>
        <w:rPr>
          <w:rFonts w:hint="eastAsia" w:ascii="宋体" w:hAnsi="宋体" w:cs="宋体"/>
          <w:bCs/>
          <w:color w:val="auto"/>
          <w:sz w:val="24"/>
          <w:highlight w:val="none"/>
        </w:rPr>
        <w:t>6、乙方向甲方所提供的以上资料，无论提供了几次均只能收费一次，乙方不得</w:t>
      </w:r>
    </w:p>
    <w:p>
      <w:pPr>
        <w:pStyle w:val="2"/>
        <w:widowControl/>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重复收费。</w:t>
      </w:r>
    </w:p>
    <w:p>
      <w:pPr>
        <w:pStyle w:val="2"/>
        <w:widowControl/>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7、验收：甲方有权对乙方的测绘报告进行抽查,如甲方发现乙方的测绘结果与实际核查不符,如误差率为1%以上(含1%)至3%以内(不含3%),则甲方有权扣除测绘费用总额的10%；如误差率为3%以上(含3%)则甲方有权扣除测绘费用总额的20%。并由乙方无偿重新出具准确的测绘报告，在甲方对相关测绘报告签字盖章并确定无误为前，乙方所提交测绘报告不得作为乙方完成合同义务之依据。</w:t>
      </w:r>
    </w:p>
    <w:p>
      <w:pPr>
        <w:pStyle w:val="2"/>
        <w:widowControl/>
        <w:snapToGrid w:val="0"/>
        <w:spacing w:line="360" w:lineRule="auto"/>
        <w:ind w:firstLine="480" w:firstLineChars="200"/>
        <w:rPr>
          <w:rFonts w:ascii="宋体" w:hAnsi="宋体" w:cs="宋体"/>
          <w:bCs/>
          <w:color w:val="auto"/>
          <w:sz w:val="24"/>
          <w:highlight w:val="none"/>
        </w:rPr>
      </w:pPr>
      <w:r>
        <w:rPr>
          <w:color w:val="auto"/>
          <w:sz w:val="24"/>
          <w:highlight w:val="none"/>
        </w:rPr>
        <w:t>8</w:t>
      </w:r>
      <w:r>
        <w:rPr>
          <w:rFonts w:hint="eastAsia" w:cs="宋体"/>
          <w:color w:val="auto"/>
          <w:sz w:val="24"/>
          <w:highlight w:val="none"/>
        </w:rPr>
        <w:t>、具体资料包含以上资料但不限于以上资料。</w:t>
      </w:r>
    </w:p>
    <w:p>
      <w:pPr>
        <w:spacing w:line="360" w:lineRule="auto"/>
        <w:ind w:firstLine="496" w:firstLineChars="206"/>
        <w:rPr>
          <w:rFonts w:ascii="宋体" w:hAnsi="宋体" w:eastAsia="宋体" w:cs="宋体"/>
          <w:b/>
          <w:color w:val="auto"/>
          <w:sz w:val="24"/>
          <w:highlight w:val="none"/>
        </w:rPr>
      </w:pPr>
      <w:r>
        <w:rPr>
          <w:rFonts w:hint="eastAsia" w:ascii="宋体" w:hAnsi="宋体" w:eastAsia="宋体" w:cs="宋体"/>
          <w:b/>
          <w:color w:val="auto"/>
          <w:sz w:val="24"/>
          <w:highlight w:val="none"/>
        </w:rPr>
        <w:t>六、双方的义务和责任：</w:t>
      </w:r>
      <w:bookmarkEnd w:id="76"/>
      <w:bookmarkEnd w:id="77"/>
    </w:p>
    <w:p>
      <w:pPr>
        <w:spacing w:line="360" w:lineRule="auto"/>
        <w:ind w:left="435"/>
        <w:rPr>
          <w:rFonts w:ascii="宋体" w:hAnsi="宋体" w:eastAsia="宋体" w:cs="宋体"/>
          <w:b/>
          <w:color w:val="auto"/>
          <w:sz w:val="24"/>
          <w:highlight w:val="none"/>
        </w:rPr>
      </w:pPr>
      <w:r>
        <w:rPr>
          <w:rFonts w:hint="eastAsia" w:ascii="宋体" w:hAnsi="宋体" w:eastAsia="宋体" w:cs="宋体"/>
          <w:b/>
          <w:color w:val="auto"/>
          <w:sz w:val="24"/>
          <w:highlight w:val="none"/>
        </w:rPr>
        <w:t>（一）甲方的义务和责任</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1、甲方负责提供项目有关的文件资料。乙方应于本合同签订后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内向甲方提供完成项目所需的资料清单。甲方收到乙方提供的资料清单后对资料清单审核通过后向乙方提供相应资料。乙方收到甲方提供的全部资料后应向甲方出具收条，并在收条上注明甲方提供的资料已齐全。乙方向甲方出具收条即视为甲方提供的资料齐全完整。若乙方提出需补充资料的，乙方完成相应测绘工作和提交测绘报告成果的时限不予顺延，延期完成和提交造成的一切损失和责任由乙方自行承担。若因此导致甲方损失的，甲方可要求乙方赔偿一切直接、间接损失，并要求乙方承担违约责任。自甲方资料提交齐全之日起，乙方按本合同约定的期限向甲方提供相应的测绘成果报告，并对测绘成果的质量负责。</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2、甲方协助乙方进行现场勘察工作。</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3、在乙方按照合同约定，保质、保量完成测绘工作的前提下，甲方应按合同约定时间向乙方支付服务费。</w:t>
      </w:r>
    </w:p>
    <w:p>
      <w:pPr>
        <w:pStyle w:val="7"/>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4、甲方依法取得乙方依据本协议产生的成果资料的所有权（含知识产权）。允许乙方内部使用为执行本合同所产生的测绘成果。非经甲方书面同意，乙方不得自行使用或以任何形式向任何第三方提供，否则乙方将承担违约责任，甲方有权追究乙方的责任，有权要求乙方赔偿因此而给甲方造成的一切直接或间接损失。</w:t>
      </w:r>
    </w:p>
    <w:p>
      <w:pPr>
        <w:spacing w:line="360" w:lineRule="auto"/>
        <w:ind w:firstLine="496" w:firstLineChars="206"/>
        <w:rPr>
          <w:rFonts w:ascii="宋体" w:hAnsi="宋体" w:eastAsia="宋体" w:cs="宋体"/>
          <w:b/>
          <w:color w:val="auto"/>
          <w:sz w:val="24"/>
          <w:highlight w:val="none"/>
        </w:rPr>
      </w:pPr>
      <w:r>
        <w:rPr>
          <w:rFonts w:hint="eastAsia" w:ascii="宋体" w:hAnsi="宋体" w:eastAsia="宋体" w:cs="宋体"/>
          <w:b/>
          <w:color w:val="auto"/>
          <w:sz w:val="24"/>
          <w:highlight w:val="none"/>
        </w:rPr>
        <w:t>（二）乙方的义务和责任</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乙方依照国家、云南省及昆明市有关测绘的法律、法规、规章和规范性文件的规定，结合测绘市场情况及本工程拆迁测绘的具体情况，对委托的内容进行客观、公正的测绘，按合同要求出具相应的测绘报告，并对测绘结果的真实性、准确性及有效性承担责任。测绘报告及相关成果文件的知识产权归甲方所有。</w:t>
      </w:r>
    </w:p>
    <w:p>
      <w:pPr>
        <w:spacing w:line="360" w:lineRule="auto"/>
        <w:ind w:firstLine="468" w:firstLineChars="195"/>
        <w:rPr>
          <w:rFonts w:ascii="宋体" w:hAnsi="宋体" w:eastAsia="宋体" w:cs="宋体"/>
          <w:color w:val="auto"/>
          <w:sz w:val="24"/>
          <w:highlight w:val="none"/>
        </w:rPr>
      </w:pPr>
      <w:r>
        <w:rPr>
          <w:rFonts w:hint="eastAsia" w:ascii="宋体" w:hAnsi="宋体" w:eastAsia="宋体" w:cs="宋体"/>
          <w:color w:val="auto"/>
          <w:sz w:val="24"/>
          <w:highlight w:val="none"/>
        </w:rPr>
        <w:t>2、根据甲方的合同的技术要求完成技术设计书的编制，并交甲方审定。自收到甲方对技术设计同意实施的审定意见之日起2日内组织测绘队伍进场作业。</w:t>
      </w:r>
    </w:p>
    <w:p>
      <w:pPr>
        <w:pStyle w:val="7"/>
        <w:widowControl/>
        <w:spacing w:line="360" w:lineRule="auto"/>
        <w:ind w:firstLine="480"/>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cs="宋体"/>
          <w:color w:val="auto"/>
          <w:sz w:val="24"/>
          <w:highlight w:val="none"/>
        </w:rPr>
        <w:t>乙方的报价应是完成招标文件和本合同所列工作范围及工作周期全部工作的费用，包含乙方完成本项目的所有工作内容及后续服务的全部费用，乙方不得以任何理由要求再收取其他费用。</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4、乙方有义务为拆迁人和被拆迁人就测绘等报告的有关问题提供现场及书面咨询服务。</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5、乙方对甲方委托测绘所提供的文件资料应妥善保管，并尽保密义务，未经甲方事先书面同意不得擅自公开或泄露给任何第三方，项目结束后，应当及时返还给甲方。如有类似情况，甲方保留索赔权利，本条款所规定的保密义务将在合同终止后持续有效。</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6、乙方承诺具备履行本合同约定所需之测绘资质等级。相应测绘人员具备法定资格。乙方指定本项目负责人为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，身份证号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，非经甲方书面同意，乙方不得擅自更换项目负责人，否则甲方有权单方面解除本合同，并要求乙方退还甲方已支付的全部价款，并按照合同约定的测绘费总额的10%向甲方支付违约金。</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7、对甲方提出的测绘工作或测绘报告中存在的疏忽、遗漏、错误或意见，进行补充、修改、调整，并及时回复甲方。乙方不积极进行处理或处理后仍不合格的，甲方有权单方解除本合同。若因乙方原因给甲方造成损失的，乙方承担赔偿责任。</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8、甲方接到乙方提交的测绘报告书的次日起10个工作日内，如对测绘结果有异议，可向乙方提出复测要求，乙方应在接到甲方书面要求的次日起3日内完成复测报告书，并交付甲方，甲方无须另行向乙方支付任何费用。测绘报告和复测报告书需符合国家法律法规对房屋测绘的相关要求，如乙方所提交复测报告书仍不符合甲方要求的，甲方有权单方面解除合同，要求乙方退还甲方已支付的全部价款，并按照合同约定的测绘费总额的10%向甲方支付违约金。</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9、若乙方在履行合同过程中造成甲乙双方或任何第三人人身、财产损害的，由乙方自行承担全部责任。甲方因此承担责任的，可向乙方追偿。</w:t>
      </w:r>
    </w:p>
    <w:p>
      <w:pPr>
        <w:pStyle w:val="7"/>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10、乙方保证履行本合同所形成的成果文件不存在侵犯他人合法权益（知识产权）的情形，因此产生纠纷的，由乙方承担全部责任，甲方因此承担责任的，有权向乙方追偿。</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11、乙方应在本合同签署后</w:t>
      </w:r>
      <w:r>
        <w:rPr>
          <w:rFonts w:hint="eastAsia" w:ascii="宋体" w:hAnsi="宋体" w:eastAsia="宋体" w:cs="宋体"/>
          <w:color w:val="auto"/>
          <w:sz w:val="24"/>
          <w:highlight w:val="none"/>
          <w:u w:val="single"/>
        </w:rPr>
        <w:t>七</w:t>
      </w:r>
      <w:r>
        <w:rPr>
          <w:rFonts w:hint="eastAsia" w:ascii="宋体" w:hAnsi="宋体" w:eastAsia="宋体" w:cs="宋体"/>
          <w:color w:val="auto"/>
          <w:sz w:val="24"/>
          <w:highlight w:val="none"/>
        </w:rPr>
        <w:t>日内向甲方出具工作进度计划书、团队人员名单，经甲方书面认可后，严格按照该进度计划书所载内容开展工作。</w:t>
      </w:r>
    </w:p>
    <w:p>
      <w:pPr>
        <w:pStyle w:val="7"/>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12、乙方应严格遵守投标文件的各项内容执行。</w:t>
      </w:r>
    </w:p>
    <w:p>
      <w:pPr>
        <w:spacing w:line="360" w:lineRule="auto"/>
        <w:ind w:firstLine="496" w:firstLineChars="206"/>
        <w:rPr>
          <w:rFonts w:ascii="宋体" w:hAnsi="宋体" w:eastAsia="宋体" w:cs="宋体"/>
          <w:b/>
          <w:color w:val="auto"/>
          <w:sz w:val="24"/>
          <w:highlight w:val="none"/>
        </w:rPr>
      </w:pPr>
      <w:r>
        <w:rPr>
          <w:rFonts w:hint="eastAsia" w:ascii="宋体" w:hAnsi="宋体" w:eastAsia="宋体" w:cs="宋体"/>
          <w:b/>
          <w:color w:val="auto"/>
          <w:sz w:val="24"/>
          <w:highlight w:val="none"/>
        </w:rPr>
        <w:t>七、违约责任</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1、乙方无故中途单方终止履行合同，应全额返还甲方已支付的测绘费用，并按照合同约定的测绘费总额的10%向甲方支付违约金；甲方无故中途单方终止委托估价请求，按照乙方工作量，甲方据实支付，并承担合同测绘费总额10%的违约金。</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2、因乙方原因造成服务周期发生延误的，每逾期一天按人民币</w:t>
      </w:r>
      <w:r>
        <w:rPr>
          <w:rFonts w:hint="eastAsia" w:ascii="宋体" w:hAnsi="宋体" w:eastAsia="宋体" w:cs="宋体"/>
          <w:color w:val="auto"/>
          <w:sz w:val="24"/>
          <w:highlight w:val="none"/>
          <w:u w:val="single"/>
        </w:rPr>
        <w:t>3000</w:t>
      </w:r>
      <w:r>
        <w:rPr>
          <w:rFonts w:hint="eastAsia" w:ascii="宋体" w:hAnsi="宋体" w:eastAsia="宋体" w:cs="宋体"/>
          <w:color w:val="auto"/>
          <w:sz w:val="24"/>
          <w:highlight w:val="none"/>
        </w:rPr>
        <w:t>元/天累计计算违约金。逾期超过30日，甲方有权解除本合同，乙方除应支付前述违约金外，还应退还甲方已支付款项，并应向甲方支付合同总金额10%的违约金，所付违约金不足以弥补甲方损失的，乙方应据实赔偿。</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3、如乙方违背独立、客观、公平原则，出具虚假测绘报告给甲方造成经济损失的，乙方应承担赔偿责任,同时甲方有权解除本合同，乙方应退还甲方已支付的测绘费用，并应向甲方支付合同总金额10%的违约金，所付违约金不足以弥补甲方损失的，乙方应据实赔偿。。</w:t>
      </w:r>
    </w:p>
    <w:p>
      <w:pPr>
        <w:pStyle w:val="7"/>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4、除本合同另有约定外，乙方违反本合同约定义务的，乙方应按甲方要求予以改进，若乙方在5日内仍未改进或甲方有理由认为乙方未改进的，则甲方有权解除合同，乙方应退还甲方已支付款项，并应向甲方支付合同总金额10%的违约金。所付违约金不足以弥补甲方损失的，乙方应据实赔偿。</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5、因为乙方原因导致工作重复的，乙方应及时按甲方要求进行整改直至符合相关工作要求，甲方不再另行支付费用；</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6、因不可抗力因素（自然灾害、政府行为等），致使本合同不能全部或部分履行的，双方互不承担违约责任，但甲、乙双方应及时通知对方，并积极采取措施防止损失扩大，否则应就该扩大部份损失向对方承担赔偿责任；</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7、本合同签订后，</w:t>
      </w:r>
      <w:r>
        <w:rPr>
          <w:rFonts w:hint="eastAsia" w:ascii="宋体" w:hAnsi="宋体" w:eastAsia="宋体" w:cs="宋体"/>
          <w:color w:val="auto"/>
          <w:sz w:val="24"/>
          <w:highlight w:val="none"/>
          <w:lang w:val="en-US" w:eastAsia="zh-Hans"/>
        </w:rPr>
        <w:t>除本合同另有约定外</w:t>
      </w:r>
      <w:r>
        <w:rPr>
          <w:rFonts w:hint="default" w:ascii="宋体" w:hAnsi="宋体" w:eastAsia="宋体" w:cs="宋体"/>
          <w:color w:val="auto"/>
          <w:sz w:val="24"/>
          <w:highlight w:val="none"/>
          <w:lang w:eastAsia="zh-Hans"/>
        </w:rPr>
        <w:t>，</w:t>
      </w:r>
      <w:r>
        <w:rPr>
          <w:rFonts w:hint="eastAsia" w:ascii="宋体" w:hAnsi="宋体" w:eastAsia="宋体" w:cs="宋体"/>
          <w:color w:val="auto"/>
          <w:sz w:val="24"/>
          <w:highlight w:val="none"/>
        </w:rPr>
        <w:t>乙方不履行约定义务或者履行义务不符合约定的，乙方应向甲方承担违约责任，并向甲方支付</w:t>
      </w:r>
      <w:r>
        <w:rPr>
          <w:rFonts w:hint="eastAsia" w:ascii="宋体" w:hAnsi="宋体" w:eastAsia="宋体" w:cs="宋体"/>
          <w:color w:val="auto"/>
          <w:sz w:val="24"/>
          <w:highlight w:val="none"/>
          <w:u w:val="single"/>
        </w:rPr>
        <w:t>3000元/次</w:t>
      </w:r>
      <w:r>
        <w:rPr>
          <w:rFonts w:hint="eastAsia" w:ascii="宋体" w:hAnsi="宋体" w:eastAsia="宋体" w:cs="宋体"/>
          <w:color w:val="auto"/>
          <w:sz w:val="24"/>
          <w:highlight w:val="none"/>
        </w:rPr>
        <w:t>的违约金，超过3次的，甲方有权单方解除本合同，要求乙方退还甲方已支付的全部价款，并</w:t>
      </w:r>
      <w:r>
        <w:rPr>
          <w:rFonts w:hint="eastAsia" w:ascii="宋体" w:hAnsi="宋体" w:eastAsia="宋体" w:cs="宋体"/>
          <w:bCs/>
          <w:color w:val="auto"/>
          <w:sz w:val="24"/>
          <w:highlight w:val="none"/>
        </w:rPr>
        <w:t>按照合同价款总额的10%向甲方支付违约金</w:t>
      </w:r>
      <w:r>
        <w:rPr>
          <w:rFonts w:hint="eastAsia" w:ascii="宋体" w:hAnsi="宋体" w:eastAsia="宋体" w:cs="宋体"/>
          <w:color w:val="auto"/>
          <w:sz w:val="24"/>
          <w:highlight w:val="none"/>
        </w:rPr>
        <w:t>。</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8、在合同履行期间，甲方可单方要求终止或解除合同，乙方未开始工作的，甲方不承担违约责任并且不支付任何补偿；已开始工作的，甲方应根据乙方已进行的实际工作量，核算相应的服务费用。</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9、由于乙方自身原因，延误了按本合同规定的资料及文件的交付时间，每延误一天，应承担</w:t>
      </w:r>
      <w:r>
        <w:rPr>
          <w:rFonts w:hint="eastAsia" w:ascii="宋体" w:hAnsi="宋体" w:eastAsia="宋体" w:cs="宋体"/>
          <w:color w:val="auto"/>
          <w:sz w:val="24"/>
          <w:highlight w:val="none"/>
          <w:u w:val="single"/>
        </w:rPr>
        <w:t>3000元/次</w:t>
      </w:r>
      <w:r>
        <w:rPr>
          <w:rFonts w:hint="eastAsia" w:ascii="宋体" w:hAnsi="宋体" w:eastAsia="宋体" w:cs="宋体"/>
          <w:color w:val="auto"/>
          <w:sz w:val="24"/>
          <w:highlight w:val="none"/>
        </w:rPr>
        <w:t>逾期违约金，逾期超过</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天以上时，甲方有权单方解除本协议，且协议解除后，乙方应退还甲方已支付的全部价款，并承担</w:t>
      </w:r>
      <w:r>
        <w:rPr>
          <w:rFonts w:hint="eastAsia" w:ascii="宋体" w:hAnsi="宋体" w:eastAsia="宋体" w:cs="宋体"/>
          <w:bCs/>
          <w:color w:val="auto"/>
          <w:sz w:val="24"/>
          <w:highlight w:val="none"/>
        </w:rPr>
        <w:t>合同价款总额的10%</w:t>
      </w:r>
      <w:r>
        <w:rPr>
          <w:rFonts w:hint="eastAsia" w:ascii="宋体" w:hAnsi="宋体" w:eastAsia="宋体" w:cs="宋体"/>
          <w:color w:val="auto"/>
          <w:sz w:val="24"/>
          <w:highlight w:val="none"/>
        </w:rPr>
        <w:t>的违约金。</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10、未经甲方书面同意，乙方擅自更换项目团队人员的（不含项目负责人），每发生一次，承担</w:t>
      </w:r>
      <w:r>
        <w:rPr>
          <w:rFonts w:hint="eastAsia" w:ascii="宋体" w:hAnsi="宋体" w:eastAsia="宋体" w:cs="宋体"/>
          <w:color w:val="auto"/>
          <w:sz w:val="24"/>
          <w:highlight w:val="none"/>
          <w:u w:val="single"/>
        </w:rPr>
        <w:t>3000元</w:t>
      </w:r>
      <w:r>
        <w:rPr>
          <w:rFonts w:hint="eastAsia" w:ascii="宋体" w:hAnsi="宋体" w:eastAsia="宋体" w:cs="宋体"/>
          <w:color w:val="auto"/>
          <w:sz w:val="24"/>
          <w:highlight w:val="none"/>
        </w:rPr>
        <w:t>违约金，超过</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次的，甲方有权单方解除本合同，要求乙方退还甲方已支付的全部价款，并</w:t>
      </w:r>
      <w:r>
        <w:rPr>
          <w:rFonts w:hint="eastAsia" w:ascii="宋体" w:hAnsi="宋体" w:eastAsia="宋体" w:cs="宋体"/>
          <w:bCs/>
          <w:color w:val="auto"/>
          <w:sz w:val="24"/>
          <w:highlight w:val="none"/>
        </w:rPr>
        <w:t>按照合同价款总额的10%向甲方支付违约金</w:t>
      </w:r>
      <w:r>
        <w:rPr>
          <w:rFonts w:hint="eastAsia" w:ascii="宋体" w:hAnsi="宋体" w:eastAsia="宋体" w:cs="宋体"/>
          <w:color w:val="auto"/>
          <w:sz w:val="24"/>
          <w:highlight w:val="none"/>
        </w:rPr>
        <w:t>。</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11、成果资料未通过审查，乙方除无条件修改至审查通过外，按人民币元</w:t>
      </w:r>
      <w:r>
        <w:rPr>
          <w:rFonts w:hint="eastAsia" w:ascii="宋体" w:hAnsi="宋体" w:eastAsia="宋体" w:cs="宋体"/>
          <w:color w:val="auto"/>
          <w:sz w:val="24"/>
          <w:highlight w:val="none"/>
          <w:u w:val="single"/>
        </w:rPr>
        <w:t>3000</w:t>
      </w:r>
      <w:r>
        <w:rPr>
          <w:rFonts w:hint="eastAsia" w:ascii="宋体" w:hAnsi="宋体" w:eastAsia="宋体" w:cs="宋体"/>
          <w:color w:val="auto"/>
          <w:sz w:val="24"/>
          <w:highlight w:val="none"/>
        </w:rPr>
        <w:t>/次累计计算并向甲方支付违约金。</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12、由于甲方自身原因，未按本合同第二条约定按时支付合同价款的，则甲方应当自延期之日起按照中国人民银行授权全国银行间同业拆借中心公布的贷款市场报价利率（LPR）计算，向乙方支付逾期付款的违约金。</w:t>
      </w:r>
      <w:r>
        <w:rPr>
          <w:rFonts w:hint="eastAsia"/>
          <w:color w:val="auto"/>
          <w:sz w:val="24"/>
          <w:highlight w:val="none"/>
          <w:lang w:val="en-US" w:eastAsia="zh-Hans"/>
        </w:rPr>
        <w:t>但因乙方未开具发票或因甲方财务审批等程序导致款项未能及时到账的除外</w:t>
      </w:r>
      <w:r>
        <w:rPr>
          <w:rFonts w:hint="default"/>
          <w:color w:val="auto"/>
          <w:sz w:val="24"/>
          <w:highlight w:val="none"/>
          <w:lang w:eastAsia="zh-Hans"/>
        </w:rPr>
        <w:t>。</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13、乙方提供的测绘成果须满足规范要求，若测绘成果不符合上述要求，乙方应负责无偿予以重做或采取补救措施，最终以达到实际测绘需求为止，如中间由此所造成的损失全部由乙方承担。</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14、除上述违约责任外，出现如下情形之一,甲方有权单方面解除本合同，要求乙方退还甲方已支付的全部价款，并按照合同约定的测绘费总额的10%向甲方支付违约金：</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（1）乙方存在转让、出借或者涂改资质证书的；</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（2）乙方不依法向有关部门办理劳动合同登记备案手续、克扣、拖欠劳动者工资的；</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（3）发生安全生产事故、隐瞒、谎报、拖延、拖延报告安全事故；破坏事故现场,妨碍对事故调查的；</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（4）按照乙方的测绘进度安排,如果甲方认为乙方的人员、机具配置不能完全胜任此进度安排工作,甲方有权要求乙方在规定时间内更换《补充)符合要求的人员或机具,乙方不得拒绝更换（补充）；</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（5）在本合同履行期间,以法定代表人变更、股权转让和增资扩股等名义转让项目的；</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（6）在本合同履行期间,乙方未得到甲方同意擅自更换项目负责人、主要专业技术人员的；</w:t>
      </w:r>
    </w:p>
    <w:p>
      <w:pPr>
        <w:pStyle w:val="7"/>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（7）工期延误【10】天以上或进度工期延误【5】天以上的；</w:t>
      </w:r>
    </w:p>
    <w:p>
      <w:pPr>
        <w:pStyle w:val="7"/>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（8）未经甲方书面同意，乙方擅自更换项目团队人员超过3次的；</w:t>
      </w:r>
    </w:p>
    <w:p>
      <w:pPr>
        <w:pStyle w:val="7"/>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（9）对甲方提出的估价工作或估价报告中存在的疏忽、遗漏、错误或意见，不积极进行处理或处理后仍不合格的；</w:t>
      </w:r>
    </w:p>
    <w:p>
      <w:pPr>
        <w:pStyle w:val="7"/>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（10）按照乙方的施工进度安排，如果甲方认为乙方的人员、机具配置不能完全胜任此进度安排工作，甲方有权要求乙方在规定时间内更换（补充）符合要求的人员或机具，乙方不得拒绝更换（补充）。</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(11)乙方出现其他情形,甲方认为乙方无法完成本合同约定的工作内容的。</w:t>
      </w:r>
    </w:p>
    <w:p>
      <w:pPr>
        <w:spacing w:line="360" w:lineRule="auto"/>
        <w:ind w:firstLine="472" w:firstLineChars="196"/>
        <w:rPr>
          <w:rFonts w:ascii="宋体" w:hAnsi="宋体" w:eastAsia="宋体" w:cs="宋体"/>
          <w:color w:val="auto"/>
          <w:sz w:val="24"/>
          <w:highlight w:val="none"/>
        </w:rPr>
      </w:pPr>
      <w:r>
        <w:rPr>
          <w:rFonts w:hint="eastAsia" w:ascii="宋体" w:hAnsi="宋体" w:eastAsia="宋体" w:cs="宋体"/>
          <w:b/>
          <w:color w:val="auto"/>
          <w:sz w:val="24"/>
          <w:highlight w:val="none"/>
        </w:rPr>
        <w:t>八、费用支付</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合同签订后，甲方根据乙方提供的正式成果资料，经甲方及相关政府部门审核通过后向乙方支付相应费用，分项目完成阶段核算工程费用，分阶段支付项目费用。</w:t>
      </w:r>
    </w:p>
    <w:p>
      <w:pPr>
        <w:pStyle w:val="7"/>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甲方每次向乙方支付测绘费用前乙方应向甲方开具正式、足额、合法的发票，否则甲方有权拒绝付款，所造成的一切损失由乙方自行承担。</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九、其他退出机制</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1、本合同在履行过程中，乙方出现下列情形之一的，甲方除有权单方解除本合同，要求乙方退还甲方已支付的全部价款，按照合同约定的测绘费总额的10%向甲方支付违约金外，乙方所缴纳保证金由甲方予以没收；</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（1）乙方无资质证书、超越资质或使用无效资质证书从事本服务事项；乙方把本服务事项进行转包或分包；</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（2）与甲方的工作人员、被拆迁人等发生不正当利益关系，损害甲方利益的；</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（3）因乙方的违法行为导致出现群体性事件或其它影响恶劣事件的；</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（4）乙方在服务过程中发生重大安全事故的；</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（5）乙方缴纳的履约保证金，因乙方的违约行为被甲方扣完；</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（6）乙方违反甲方制定的关于第三方中介机构的管理制度的；</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（7）乙方实际履行情况与乙方投标文件不一致的；</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（8）乙方擅自更换项目负责人、本项目负责人在其他两个以上项目担任项目负责人或项目负责人履职不到位的；</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（9）甲方认为乙方的行为严重损害甲方或被拆迁人利益的。</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2、本合同解除后双方同意：</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（1）乙方应立即停止一切进一步的工作，并且应负责保护己实施服务工作资料的完整，保持现场整洁；</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（2）乙方在本合同解除5日内立即向甲方移交至解除日为止乙方已实施的所有服务工作成果；</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（3）待甲方接收后，乙方应立即撤离现场上所有乙方的设备，并将乙方的所有职员、雇员及工人，从现场遣返；</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（4）合同解除后，乙方向甲方办理完移交手续后30日内，乙方与甲方按本合同对实际产生的服务费用进行结算；</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（5）乙方在退出后，仍应对本合同解除日以前乙方已完成的服务成果承担质量保证责任及由于质量问题导致的全部赔偿责任。</w:t>
      </w:r>
    </w:p>
    <w:p>
      <w:pPr>
        <w:spacing w:line="360" w:lineRule="auto"/>
        <w:ind w:firstLine="496" w:firstLineChars="206"/>
        <w:rPr>
          <w:rFonts w:ascii="宋体" w:hAnsi="宋体" w:eastAsia="宋体" w:cs="宋体"/>
          <w:b/>
          <w:color w:val="auto"/>
          <w:sz w:val="24"/>
          <w:highlight w:val="none"/>
        </w:rPr>
      </w:pPr>
      <w:r>
        <w:rPr>
          <w:rFonts w:hint="eastAsia" w:ascii="宋体" w:hAnsi="宋体" w:eastAsia="宋体" w:cs="宋体"/>
          <w:b/>
          <w:color w:val="auto"/>
          <w:sz w:val="24"/>
          <w:highlight w:val="none"/>
        </w:rPr>
        <w:t>十、安全责任</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乙方必须为工作人员购买人身意外、伤亡保险，施工过程中，做好相应安全防范措施。乙方员工往返施工地或施工过程中发生意外、伤亡事故，或在施工过程中造成其他人员意外、伤亡事故的，责任由乙方承担，甲方不承担任何责任。</w:t>
      </w:r>
    </w:p>
    <w:p>
      <w:pPr>
        <w:spacing w:line="360" w:lineRule="auto"/>
        <w:ind w:firstLine="496" w:firstLineChars="206"/>
        <w:rPr>
          <w:rFonts w:ascii="宋体" w:hAnsi="宋体" w:eastAsia="宋体" w:cs="宋体"/>
          <w:b/>
          <w:color w:val="auto"/>
          <w:sz w:val="24"/>
          <w:highlight w:val="none"/>
        </w:rPr>
      </w:pPr>
      <w:r>
        <w:rPr>
          <w:rFonts w:hint="eastAsia" w:ascii="宋体" w:hAnsi="宋体" w:eastAsia="宋体" w:cs="宋体"/>
          <w:b/>
          <w:color w:val="auto"/>
          <w:sz w:val="24"/>
          <w:highlight w:val="none"/>
        </w:rPr>
        <w:t>十一、附则</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1、本合同自甲乙双方签订之日起生效。如有未尽事宜，经双方协商，另订补充合同，补充合同与本合同具有同等法律效力。</w:t>
      </w:r>
    </w:p>
    <w:p>
      <w:pPr>
        <w:pStyle w:val="7"/>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2、因履行本合同所产生的纠纷，双方应当协商解决，不能协商达成一致，各方均有权向甲方住所地人民法院提起诉讼。</w:t>
      </w:r>
    </w:p>
    <w:p>
      <w:pPr>
        <w:pStyle w:val="7"/>
        <w:widowControl/>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3、本合同一式</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份。自双方法定代表人或委托代理人签字并盖公章后开始生效。全部成果资料提交和工程费结算完成后，本合同终止。</w:t>
      </w:r>
    </w:p>
    <w:p>
      <w:pPr>
        <w:pStyle w:val="7"/>
        <w:widowControl/>
        <w:spacing w:line="360" w:lineRule="auto"/>
        <w:ind w:firstLine="480"/>
        <w:rPr>
          <w:rFonts w:hint="eastAsia" w:ascii="宋体" w:hAnsi="宋体" w:cs="宋体"/>
          <w:color w:val="auto"/>
          <w:sz w:val="24"/>
          <w:highlight w:val="none"/>
        </w:rPr>
      </w:pPr>
    </w:p>
    <w:p>
      <w:pPr>
        <w:pStyle w:val="7"/>
        <w:widowControl/>
        <w:spacing w:line="360" w:lineRule="auto"/>
        <w:ind w:firstLine="480"/>
        <w:rPr>
          <w:rFonts w:hint="eastAsia" w:ascii="宋体" w:hAnsi="宋体" w:cs="宋体"/>
          <w:color w:val="auto"/>
          <w:sz w:val="24"/>
          <w:highlight w:val="none"/>
        </w:rPr>
      </w:pPr>
    </w:p>
    <w:p>
      <w:pPr>
        <w:pStyle w:val="7"/>
        <w:widowControl/>
        <w:spacing w:line="360" w:lineRule="auto"/>
        <w:ind w:firstLine="480"/>
        <w:rPr>
          <w:rFonts w:hint="eastAsia" w:ascii="宋体" w:hAnsi="宋体" w:cs="宋体"/>
          <w:color w:val="auto"/>
          <w:sz w:val="24"/>
          <w:highlight w:val="none"/>
        </w:rPr>
      </w:pPr>
    </w:p>
    <w:p>
      <w:pPr>
        <w:pStyle w:val="7"/>
        <w:widowControl/>
        <w:spacing w:line="360" w:lineRule="auto"/>
        <w:ind w:firstLine="480"/>
        <w:rPr>
          <w:rFonts w:hint="eastAsia" w:ascii="宋体" w:hAnsi="宋体" w:cs="宋体"/>
          <w:color w:val="auto"/>
          <w:sz w:val="24"/>
          <w:highlight w:val="none"/>
        </w:rPr>
      </w:pPr>
    </w:p>
    <w:p>
      <w:pPr>
        <w:spacing w:line="360" w:lineRule="auto"/>
        <w:rPr>
          <w:rFonts w:ascii="宋体" w:hAnsi="宋体" w:eastAsia="宋体" w:cs="宋体"/>
          <w:bCs/>
          <w:color w:val="auto"/>
          <w:sz w:val="24"/>
          <w:highlight w:val="none"/>
        </w:rPr>
      </w:pP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甲方（签章）：                      乙方（签章）：</w:t>
      </w:r>
    </w:p>
    <w:p>
      <w:pPr>
        <w:pStyle w:val="7"/>
        <w:widowControl/>
        <w:rPr>
          <w:color w:val="auto"/>
          <w:highlight w:val="none"/>
        </w:rPr>
      </w:pP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法定代表人（签章）：                法定代表人（签章）：</w:t>
      </w:r>
    </w:p>
    <w:p>
      <w:pPr>
        <w:pStyle w:val="7"/>
        <w:widowControl/>
        <w:rPr>
          <w:color w:val="auto"/>
          <w:highlight w:val="none"/>
        </w:rPr>
      </w:pP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委托代理人（签章）：                委托代理人（签章）：</w:t>
      </w:r>
    </w:p>
    <w:p>
      <w:pPr>
        <w:pStyle w:val="7"/>
        <w:widowControl/>
        <w:rPr>
          <w:color w:val="auto"/>
          <w:highlight w:val="none"/>
        </w:rPr>
      </w:pPr>
    </w:p>
    <w:p>
      <w:pPr>
        <w:spacing w:line="360" w:lineRule="auto"/>
        <w:ind w:firstLine="1428" w:firstLineChars="595"/>
        <w:rPr>
          <w:rFonts w:ascii="宋体" w:hAnsi="宋体" w:eastAsia="宋体" w:cs="宋体"/>
          <w:color w:val="auto"/>
          <w:sz w:val="24"/>
          <w:highlight w:val="none"/>
        </w:rPr>
      </w:pPr>
      <w:r>
        <w:rPr>
          <w:rFonts w:hint="eastAsia" w:ascii="宋体" w:hAnsi="宋体" w:eastAsia="宋体" w:cs="宋体"/>
          <w:color w:val="auto"/>
          <w:sz w:val="24"/>
          <w:highlight w:val="none"/>
        </w:rPr>
        <w:t>年   月   日                         年   月   日</w:t>
      </w:r>
    </w:p>
    <w:p>
      <w:pPr>
        <w:spacing w:line="360" w:lineRule="auto"/>
        <w:rPr>
          <w:rFonts w:ascii="宋体" w:hAnsi="宋体" w:eastAsia="宋体" w:cs="宋体"/>
          <w:color w:val="auto"/>
          <w:sz w:val="24"/>
          <w:highlight w:val="none"/>
        </w:rPr>
      </w:pPr>
      <w:r>
        <w:rPr>
          <w:rFonts w:hint="eastAsia" w:ascii="宋体" w:hAnsi="宋体" w:eastAsia="宋体" w:cs="Times New Roman"/>
          <w:color w:val="auto"/>
          <w:sz w:val="24"/>
          <w:highlight w:val="none"/>
        </w:rPr>
        <w:br w:type="page"/>
      </w:r>
    </w:p>
    <w:p>
      <w:pPr>
        <w:pStyle w:val="6"/>
        <w:keepNext w:val="0"/>
        <w:widowControl/>
        <w:spacing w:line="360" w:lineRule="auto"/>
        <w:ind w:firstLine="463" w:firstLineChars="19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附件一：廉政合同格式</w:t>
      </w:r>
    </w:p>
    <w:p>
      <w:pPr>
        <w:spacing w:line="360" w:lineRule="auto"/>
        <w:ind w:right="600"/>
        <w:jc w:val="center"/>
        <w:rPr>
          <w:rFonts w:ascii="宋体" w:hAnsi="宋体" w:eastAsia="宋体" w:cs="宋体"/>
          <w:color w:val="auto"/>
          <w:sz w:val="24"/>
          <w:highlight w:val="none"/>
        </w:rPr>
      </w:pPr>
    </w:p>
    <w:p>
      <w:pPr>
        <w:spacing w:line="360" w:lineRule="auto"/>
        <w:ind w:right="600"/>
        <w:jc w:val="center"/>
        <w:rPr>
          <w:rFonts w:ascii="宋体" w:hAnsi="宋体" w:eastAsia="宋体" w:cs="宋体"/>
          <w:color w:val="auto"/>
          <w:sz w:val="24"/>
          <w:highlight w:val="none"/>
        </w:rPr>
      </w:pPr>
    </w:p>
    <w:p>
      <w:pPr>
        <w:spacing w:line="360" w:lineRule="auto"/>
        <w:ind w:right="600"/>
        <w:jc w:val="center"/>
        <w:rPr>
          <w:rFonts w:ascii="宋体" w:hAnsi="宋体" w:eastAsia="宋体" w:cs="宋体"/>
          <w:color w:val="auto"/>
          <w:sz w:val="24"/>
          <w:highlight w:val="none"/>
        </w:rPr>
      </w:pPr>
    </w:p>
    <w:p>
      <w:pPr>
        <w:spacing w:line="360" w:lineRule="auto"/>
        <w:ind w:right="600"/>
        <w:jc w:val="center"/>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jc w:val="center"/>
        <w:rPr>
          <w:rFonts w:ascii="宋体" w:hAnsi="宋体" w:eastAsia="宋体" w:cs="宋体"/>
          <w:b/>
          <w:color w:val="auto"/>
          <w:sz w:val="52"/>
          <w:szCs w:val="52"/>
          <w:highlight w:val="none"/>
        </w:rPr>
      </w:pPr>
      <w:r>
        <w:rPr>
          <w:rFonts w:hint="eastAsia" w:ascii="宋体" w:hAnsi="宋体" w:eastAsia="宋体" w:cs="宋体"/>
          <w:b/>
          <w:color w:val="auto"/>
          <w:sz w:val="52"/>
          <w:szCs w:val="52"/>
          <w:highlight w:val="none"/>
        </w:rPr>
        <w:t>建设工程</w:t>
      </w:r>
    </w:p>
    <w:p>
      <w:pPr>
        <w:spacing w:line="360" w:lineRule="auto"/>
        <w:jc w:val="center"/>
        <w:rPr>
          <w:rFonts w:ascii="宋体" w:hAnsi="宋体" w:eastAsia="宋体" w:cs="宋体"/>
          <w:b/>
          <w:color w:val="auto"/>
          <w:sz w:val="52"/>
          <w:szCs w:val="52"/>
          <w:highlight w:val="none"/>
        </w:rPr>
      </w:pPr>
      <w:bookmarkStart w:id="80" w:name="_Toc135730122"/>
      <w:r>
        <w:rPr>
          <w:rFonts w:hint="eastAsia" w:ascii="宋体" w:hAnsi="宋体" w:eastAsia="宋体" w:cs="宋体"/>
          <w:b/>
          <w:color w:val="auto"/>
          <w:sz w:val="52"/>
          <w:szCs w:val="52"/>
          <w:highlight w:val="none"/>
        </w:rPr>
        <w:t>廉政合同</w:t>
      </w:r>
      <w:bookmarkEnd w:id="80"/>
    </w:p>
    <w:p>
      <w:pPr>
        <w:spacing w:line="360" w:lineRule="auto"/>
        <w:jc w:val="center"/>
        <w:rPr>
          <w:rFonts w:ascii="宋体" w:hAnsi="宋体" w:eastAsia="宋体" w:cs="宋体"/>
          <w:b/>
          <w:color w:val="auto"/>
          <w:sz w:val="24"/>
          <w:highlight w:val="none"/>
        </w:rPr>
      </w:pPr>
    </w:p>
    <w:p>
      <w:pPr>
        <w:spacing w:line="360" w:lineRule="auto"/>
        <w:rPr>
          <w:rFonts w:ascii="宋体" w:hAnsi="宋体" w:eastAsia="宋体" w:cs="宋体"/>
          <w:color w:val="auto"/>
          <w:sz w:val="24"/>
          <w:highlight w:val="none"/>
        </w:rPr>
      </w:pPr>
    </w:p>
    <w:p>
      <w:pPr>
        <w:spacing w:line="360" w:lineRule="auto"/>
        <w:ind w:firstLine="1805"/>
        <w:rPr>
          <w:rFonts w:ascii="宋体" w:hAnsi="宋体" w:eastAsia="宋体" w:cs="宋体"/>
          <w:color w:val="auto"/>
          <w:sz w:val="24"/>
          <w:highlight w:val="none"/>
        </w:rPr>
      </w:pPr>
    </w:p>
    <w:p>
      <w:pPr>
        <w:spacing w:line="360" w:lineRule="auto"/>
        <w:ind w:firstLine="1805"/>
        <w:rPr>
          <w:rFonts w:ascii="宋体" w:hAnsi="宋体" w:eastAsia="宋体" w:cs="宋体"/>
          <w:color w:val="auto"/>
          <w:sz w:val="24"/>
          <w:highlight w:val="none"/>
        </w:rPr>
      </w:pPr>
    </w:p>
    <w:p>
      <w:pPr>
        <w:spacing w:line="360" w:lineRule="auto"/>
        <w:ind w:firstLine="1805"/>
        <w:rPr>
          <w:rFonts w:ascii="宋体" w:hAnsi="宋体" w:eastAsia="宋体" w:cs="宋体"/>
          <w:color w:val="auto"/>
          <w:sz w:val="24"/>
          <w:highlight w:val="none"/>
        </w:rPr>
      </w:pPr>
    </w:p>
    <w:p>
      <w:pPr>
        <w:spacing w:line="360" w:lineRule="auto"/>
        <w:ind w:firstLine="1805"/>
        <w:rPr>
          <w:rFonts w:ascii="宋体" w:hAnsi="宋体" w:eastAsia="宋体" w:cs="宋体"/>
          <w:color w:val="auto"/>
          <w:sz w:val="24"/>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spacing w:line="360" w:lineRule="auto"/>
        <w:ind w:firstLine="2335" w:firstLineChars="500"/>
        <w:rPr>
          <w:rFonts w:ascii="宋体" w:hAnsi="宋体" w:eastAsia="宋体" w:cs="宋体"/>
          <w:b/>
          <w:color w:val="auto"/>
          <w:sz w:val="24"/>
          <w:highlight w:val="none"/>
        </w:rPr>
      </w:pPr>
      <w:r>
        <w:rPr>
          <w:rFonts w:hint="eastAsia" w:ascii="宋体" w:hAnsi="宋体" w:eastAsia="宋体" w:cs="宋体"/>
          <w:b/>
          <w:color w:val="auto"/>
          <w:spacing w:val="113"/>
          <w:kern w:val="0"/>
          <w:sz w:val="24"/>
          <w:highlight w:val="none"/>
        </w:rPr>
        <w:t>云南省监察</w:t>
      </w:r>
      <w:r>
        <w:rPr>
          <w:rFonts w:hint="eastAsia" w:ascii="宋体" w:hAnsi="宋体" w:eastAsia="宋体" w:cs="宋体"/>
          <w:b/>
          <w:color w:val="auto"/>
          <w:sz w:val="24"/>
          <w:highlight w:val="none"/>
        </w:rPr>
        <w:t>（厅、局、室）</w:t>
      </w:r>
    </w:p>
    <w:p>
      <w:pPr>
        <w:spacing w:line="360" w:lineRule="auto"/>
        <w:ind w:firstLine="7086" w:firstLineChars="2941"/>
        <w:rPr>
          <w:rFonts w:ascii="宋体" w:hAnsi="宋体" w:eastAsia="宋体" w:cs="宋体"/>
          <w:b/>
          <w:color w:val="auto"/>
          <w:sz w:val="24"/>
          <w:highlight w:val="none"/>
        </w:rPr>
      </w:pPr>
      <w:r>
        <w:rPr>
          <w:rFonts w:hint="eastAsia" w:ascii="宋体" w:hAnsi="宋体" w:eastAsia="宋体" w:cs="宋体"/>
          <w:b/>
          <w:color w:val="auto"/>
          <w:position w:val="-20"/>
          <w:sz w:val="24"/>
          <w:highlight w:val="none"/>
        </w:rPr>
        <w:t>印制</w:t>
      </w:r>
    </w:p>
    <w:p>
      <w:pPr>
        <w:spacing w:line="360" w:lineRule="auto"/>
        <w:ind w:right="600"/>
        <w:jc w:val="center"/>
        <w:rPr>
          <w:rFonts w:ascii="宋体" w:hAnsi="宋体" w:eastAsia="宋体" w:cs="宋体"/>
          <w:color w:val="auto"/>
          <w:sz w:val="24"/>
          <w:highlight w:val="none"/>
        </w:rPr>
      </w:pPr>
      <w:r>
        <w:rPr>
          <w:rFonts w:hint="eastAsia" w:ascii="宋体" w:hAnsi="宋体" w:eastAsia="宋体" w:cs="宋体"/>
          <w:b/>
          <w:color w:val="auto"/>
          <w:sz w:val="24"/>
          <w:highlight w:val="none"/>
        </w:rPr>
        <w:t xml:space="preserve">  有关行政主管部门（厅、局、委）</w:t>
      </w:r>
    </w:p>
    <w:p>
      <w:pPr>
        <w:spacing w:line="360" w:lineRule="auto"/>
        <w:ind w:right="600"/>
        <w:jc w:val="center"/>
        <w:rPr>
          <w:rFonts w:ascii="宋体" w:hAnsi="宋体" w:eastAsia="宋体" w:cs="宋体"/>
          <w:color w:val="auto"/>
          <w:sz w:val="24"/>
          <w:highlight w:val="none"/>
          <w:u w:val="single"/>
        </w:rPr>
      </w:pPr>
    </w:p>
    <w:p>
      <w:pPr>
        <w:pStyle w:val="7"/>
        <w:widowControl/>
        <w:rPr>
          <w:color w:val="auto"/>
          <w:highlight w:val="none"/>
        </w:rPr>
      </w:pPr>
    </w:p>
    <w:p>
      <w:pPr>
        <w:pStyle w:val="7"/>
        <w:widowControl/>
        <w:rPr>
          <w:color w:val="auto"/>
          <w:highlight w:val="none"/>
        </w:rPr>
      </w:pPr>
    </w:p>
    <w:p>
      <w:pPr>
        <w:spacing w:line="360" w:lineRule="auto"/>
        <w:ind w:firstLine="499"/>
        <w:jc w:val="center"/>
        <w:rPr>
          <w:rFonts w:ascii="宋体" w:hAnsi="宋体" w:eastAsia="宋体" w:cs="宋体"/>
          <w:b/>
          <w:color w:val="auto"/>
          <w:sz w:val="24"/>
          <w:highlight w:val="none"/>
        </w:rPr>
      </w:pPr>
      <w:bookmarkStart w:id="81" w:name="_Toc239231831"/>
      <w:bookmarkStart w:id="82" w:name="_Toc236748612"/>
      <w:r>
        <w:rPr>
          <w:rFonts w:hint="eastAsia" w:ascii="宋体" w:hAnsi="宋体" w:eastAsia="宋体" w:cs="宋体"/>
          <w:b/>
          <w:color w:val="auto"/>
          <w:sz w:val="24"/>
          <w:highlight w:val="none"/>
        </w:rPr>
        <w:t>建 设 工 程 廉 政 合 同</w:t>
      </w:r>
      <w:bookmarkEnd w:id="81"/>
      <w:bookmarkEnd w:id="82"/>
    </w:p>
    <w:p>
      <w:pPr>
        <w:spacing w:line="360" w:lineRule="auto"/>
        <w:ind w:firstLine="499"/>
        <w:jc w:val="center"/>
        <w:rPr>
          <w:rFonts w:ascii="宋体" w:hAnsi="宋体" w:eastAsia="宋体" w:cs="宋体"/>
          <w:color w:val="auto"/>
          <w:sz w:val="24"/>
          <w:highlight w:val="none"/>
        </w:rPr>
      </w:pPr>
    </w:p>
    <w:tbl>
      <w:tblPr>
        <w:tblStyle w:val="18"/>
        <w:tblW w:w="97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65" w:type="dxa"/>
            <w:tcBorders>
              <w:top w:val="single" w:color="auto" w:sz="8" w:space="0"/>
              <w:left w:val="single" w:color="auto" w:sz="8" w:space="0"/>
              <w:bottom w:val="single" w:color="auto" w:sz="4" w:space="0"/>
              <w:right w:val="single" w:color="auto" w:sz="8" w:space="0"/>
            </w:tcBorders>
            <w:shd w:val="clear" w:color="auto" w:fill="auto"/>
            <w:noWrap/>
          </w:tcPr>
          <w:p>
            <w:pPr>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建设单位（甲方）：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65" w:type="dxa"/>
            <w:tcBorders>
              <w:top w:val="single" w:color="auto" w:sz="4" w:space="0"/>
              <w:left w:val="single" w:color="auto" w:sz="8" w:space="0"/>
              <w:bottom w:val="single" w:color="auto" w:sz="4" w:space="0"/>
              <w:right w:val="single" w:color="auto" w:sz="8" w:space="0"/>
            </w:tcBorders>
            <w:shd w:val="clear" w:color="auto" w:fill="auto"/>
            <w:noWrap/>
          </w:tcPr>
          <w:p>
            <w:pPr>
              <w:adjustRightInd w:val="0"/>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中标单位</w:t>
            </w:r>
            <w:r>
              <w:rPr>
                <w:rFonts w:hint="eastAsia" w:ascii="宋体" w:hAnsi="宋体" w:eastAsia="宋体" w:cs="宋体"/>
                <w:color w:val="auto"/>
                <w:sz w:val="24"/>
                <w:highlight w:val="none"/>
                <w:lang w:val="en-US" w:eastAsia="zh-CN"/>
              </w:rPr>
              <w:t xml:space="preserve"> (乙方)</w:t>
            </w:r>
            <w:r>
              <w:rPr>
                <w:rFonts w:hint="eastAsia" w:ascii="宋体" w:hAnsi="宋体" w:eastAsia="宋体" w:cs="宋体"/>
                <w:color w:val="auto"/>
                <w:sz w:val="24"/>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65" w:type="dxa"/>
            <w:tcBorders>
              <w:top w:val="single" w:color="auto" w:sz="4" w:space="0"/>
              <w:left w:val="single" w:color="auto" w:sz="8" w:space="0"/>
              <w:bottom w:val="single" w:color="auto" w:sz="4" w:space="0"/>
              <w:right w:val="single" w:color="auto" w:sz="8" w:space="0"/>
            </w:tcBorders>
            <w:shd w:val="clear" w:color="auto" w:fill="auto"/>
            <w:noWrap/>
          </w:tcPr>
          <w:p>
            <w:pPr>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工程名称：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65" w:type="dxa"/>
            <w:tcBorders>
              <w:top w:val="single" w:color="auto" w:sz="4" w:space="0"/>
              <w:left w:val="single" w:color="auto" w:sz="8" w:space="0"/>
              <w:bottom w:val="single" w:color="auto" w:sz="4" w:space="0"/>
              <w:right w:val="single" w:color="auto" w:sz="8" w:space="0"/>
            </w:tcBorders>
            <w:shd w:val="clear" w:color="auto" w:fill="auto"/>
            <w:noWrap/>
          </w:tcPr>
          <w:p>
            <w:pPr>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投资计划批准机关及文号：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65" w:type="dxa"/>
            <w:tcBorders>
              <w:top w:val="single" w:color="auto" w:sz="4" w:space="0"/>
              <w:left w:val="single" w:color="auto" w:sz="8" w:space="0"/>
              <w:bottom w:val="single" w:color="auto" w:sz="4" w:space="0"/>
              <w:right w:val="single" w:color="auto" w:sz="8" w:space="0"/>
            </w:tcBorders>
            <w:shd w:val="clear" w:color="auto" w:fill="auto"/>
            <w:noWrap/>
          </w:tcPr>
          <w:p>
            <w:pPr>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投资来源：</w:t>
            </w:r>
            <w:r>
              <w:rPr>
                <w:rFonts w:hint="eastAsia" w:ascii="宋体" w:hAnsi="宋体" w:eastAsia="宋体" w:cs="宋体"/>
                <w:color w:val="auto"/>
                <w:sz w:val="24"/>
                <w:highlight w:val="none"/>
              </w:rPr>
              <w:t>企业自筹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765" w:type="dxa"/>
            <w:tcBorders>
              <w:top w:val="single" w:color="auto" w:sz="4" w:space="0"/>
              <w:left w:val="single" w:color="auto" w:sz="8" w:space="0"/>
              <w:bottom w:val="single" w:color="auto" w:sz="4" w:space="0"/>
              <w:right w:val="single" w:color="auto" w:sz="8" w:space="0"/>
            </w:tcBorders>
            <w:shd w:val="clear" w:color="auto" w:fill="auto"/>
            <w:noWrap/>
          </w:tcPr>
          <w:p>
            <w:pPr>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投标形式：公开</w:t>
            </w:r>
            <w:r>
              <w:rPr>
                <w:rFonts w:hint="eastAsia" w:ascii="宋体" w:hAnsi="宋体" w:eastAsia="MS Mincho" w:cs="MS Mincho"/>
                <w:caps/>
                <w:color w:val="auto"/>
                <w:sz w:val="24"/>
                <w:highlight w:val="none"/>
                <w:lang w:val="zh-CN"/>
              </w:rPr>
              <w:t>☑</w:t>
            </w:r>
            <w:r>
              <w:rPr>
                <w:rFonts w:hint="eastAsia" w:ascii="宋体" w:hAnsi="宋体" w:eastAsia="宋体" w:cs="宋体"/>
                <w:color w:val="auto"/>
                <w:sz w:val="24"/>
                <w:highlight w:val="none"/>
                <w:lang w:val="zh-CN"/>
              </w:rPr>
              <w:t xml:space="preserve">  邀请</w:t>
            </w:r>
            <w:r>
              <w:rPr>
                <w:rFonts w:hint="eastAsia" w:ascii="宋体" w:hAnsi="宋体" w:eastAsia="宋体" w:cs="宋体"/>
                <w:caps/>
                <w:color w:val="auto"/>
                <w:sz w:val="24"/>
                <w:highlight w:val="none"/>
                <w:lang w:val="zh-CN"/>
              </w:rPr>
              <w:t>□</w:t>
            </w:r>
            <w:r>
              <w:rPr>
                <w:rFonts w:hint="eastAsia" w:ascii="宋体" w:hAnsi="宋体" w:eastAsia="宋体" w:cs="宋体"/>
                <w:color w:val="auto"/>
                <w:sz w:val="24"/>
                <w:highlight w:val="none"/>
                <w:lang w:val="zh-CN"/>
              </w:rPr>
              <w:t xml:space="preserve">  直接发包</w:t>
            </w:r>
            <w:r>
              <w:rPr>
                <w:rFonts w:hint="eastAsia" w:ascii="宋体" w:hAnsi="宋体" w:eastAsia="宋体" w:cs="宋体"/>
                <w:caps/>
                <w:color w:val="auto"/>
                <w:sz w:val="24"/>
                <w:highlight w:val="none"/>
                <w:lang w:val="zh-CN"/>
              </w:rPr>
              <w:t>□</w:t>
            </w:r>
            <w:r>
              <w:rPr>
                <w:rFonts w:hint="eastAsia" w:ascii="宋体" w:hAnsi="宋体" w:eastAsia="宋体" w:cs="宋体"/>
                <w:color w:val="auto"/>
                <w:sz w:val="24"/>
                <w:highlight w:val="none"/>
                <w:lang w:val="zh-CN"/>
              </w:rPr>
              <w:t xml:space="preserve">  未招标</w:t>
            </w:r>
            <w:r>
              <w:rPr>
                <w:rFonts w:hint="eastAsia" w:ascii="宋体" w:hAnsi="宋体" w:eastAsia="宋体" w:cs="宋体"/>
                <w:caps/>
                <w:color w:val="auto"/>
                <w:sz w:val="24"/>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765" w:type="dxa"/>
            <w:tcBorders>
              <w:top w:val="single" w:color="auto" w:sz="4" w:space="0"/>
              <w:left w:val="single" w:color="auto" w:sz="8" w:space="0"/>
              <w:bottom w:val="single" w:color="auto" w:sz="4" w:space="0"/>
              <w:right w:val="single" w:color="auto" w:sz="8" w:space="0"/>
            </w:tcBorders>
            <w:shd w:val="clear" w:color="auto" w:fill="auto"/>
            <w:noWrap/>
          </w:tcPr>
          <w:p>
            <w:pPr>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投标报价：元/平方米   业主标底价：测绘收费不得高于元/平方米   中标价：元/平方米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65" w:type="dxa"/>
            <w:tcBorders>
              <w:top w:val="single" w:color="auto" w:sz="4" w:space="0"/>
              <w:left w:val="single" w:color="auto" w:sz="8" w:space="0"/>
              <w:bottom w:val="single" w:color="auto" w:sz="4" w:space="0"/>
              <w:right w:val="single" w:color="auto" w:sz="8" w:space="0"/>
            </w:tcBorders>
            <w:shd w:val="clear" w:color="auto" w:fill="auto"/>
            <w:noWrap/>
          </w:tcPr>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lang w:val="zh-CN"/>
              </w:rPr>
              <w:t>建设工期：</w:t>
            </w:r>
            <w:r>
              <w:rPr>
                <w:rFonts w:hint="eastAsia" w:ascii="宋体" w:hAnsi="宋体" w:eastAsia="宋体" w:cs="宋体"/>
                <w:color w:val="auto"/>
                <w:sz w:val="24"/>
                <w:highlight w:val="none"/>
              </w:rPr>
              <w:t>满足招标人要求（以招标人书面委托起止日期为准）。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65" w:type="dxa"/>
            <w:tcBorders>
              <w:top w:val="single" w:color="auto" w:sz="4" w:space="0"/>
              <w:left w:val="single" w:color="auto" w:sz="8" w:space="0"/>
              <w:bottom w:val="single" w:color="auto" w:sz="4" w:space="0"/>
              <w:right w:val="single" w:color="auto" w:sz="8" w:space="0"/>
            </w:tcBorders>
            <w:shd w:val="clear" w:color="auto" w:fill="auto"/>
            <w:noWrap/>
          </w:tcPr>
          <w:p>
            <w:pPr>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建设地点：</w:t>
            </w:r>
            <w:r>
              <w:rPr>
                <w:rFonts w:hint="eastAsia" w:ascii="宋体" w:hAnsi="宋体" w:eastAsia="宋体" w:cs="宋体"/>
                <w:color w:val="auto"/>
                <w:sz w:val="24"/>
                <w:highlight w:val="none"/>
              </w:rPr>
              <w:t>东至</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，南至</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，西至</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，北至</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9765" w:type="dxa"/>
            <w:tcBorders>
              <w:top w:val="single" w:color="auto" w:sz="4" w:space="0"/>
              <w:left w:val="single" w:color="auto" w:sz="8" w:space="0"/>
              <w:bottom w:val="single" w:color="auto" w:sz="4" w:space="0"/>
              <w:right w:val="single" w:color="auto" w:sz="8" w:space="0"/>
            </w:tcBorders>
            <w:shd w:val="clear" w:color="auto" w:fill="auto"/>
            <w:noWrap/>
          </w:tcPr>
          <w:p>
            <w:pPr>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评标形式：综合评分</w:t>
            </w:r>
            <w:r>
              <w:rPr>
                <w:rFonts w:hint="eastAsia" w:ascii="宋体" w:hAnsi="宋体" w:eastAsia="MS Mincho" w:cs="MS Mincho"/>
                <w:caps/>
                <w:color w:val="auto"/>
                <w:sz w:val="24"/>
                <w:highlight w:val="none"/>
                <w:lang w:val="zh-CN"/>
              </w:rPr>
              <w:t>☑</w:t>
            </w:r>
            <w:r>
              <w:rPr>
                <w:rFonts w:hint="eastAsia" w:ascii="宋体" w:hAnsi="宋体" w:eastAsia="宋体" w:cs="宋体"/>
                <w:color w:val="auto"/>
                <w:sz w:val="24"/>
                <w:highlight w:val="none"/>
                <w:lang w:val="zh-CN"/>
              </w:rPr>
              <w:t xml:space="preserve">  量化评分</w:t>
            </w:r>
            <w:r>
              <w:rPr>
                <w:rFonts w:hint="eastAsia" w:ascii="宋体" w:hAnsi="宋体" w:eastAsia="宋体" w:cs="宋体"/>
                <w:caps/>
                <w:color w:val="auto"/>
                <w:sz w:val="24"/>
                <w:highlight w:val="none"/>
                <w:lang w:val="zh-CN"/>
              </w:rPr>
              <w:t>□</w:t>
            </w:r>
            <w:r>
              <w:rPr>
                <w:rFonts w:hint="eastAsia" w:ascii="宋体" w:hAnsi="宋体" w:eastAsia="宋体" w:cs="宋体"/>
                <w:color w:val="auto"/>
                <w:sz w:val="24"/>
                <w:highlight w:val="none"/>
                <w:lang w:val="zh-CN"/>
              </w:rPr>
              <w:t xml:space="preserve">  合理最佳低价</w:t>
            </w:r>
            <w:r>
              <w:rPr>
                <w:rFonts w:hint="eastAsia" w:ascii="宋体" w:hAnsi="宋体" w:eastAsia="宋体" w:cs="宋体"/>
                <w:caps/>
                <w:color w:val="auto"/>
                <w:sz w:val="24"/>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765" w:type="dxa"/>
            <w:tcBorders>
              <w:top w:val="single" w:color="auto" w:sz="4" w:space="0"/>
              <w:left w:val="single" w:color="auto" w:sz="8" w:space="0"/>
              <w:bottom w:val="single" w:color="auto" w:sz="8" w:space="0"/>
              <w:right w:val="single" w:color="auto" w:sz="8" w:space="0"/>
            </w:tcBorders>
            <w:shd w:val="clear" w:color="auto" w:fill="auto"/>
            <w:noWrap/>
          </w:tcPr>
          <w:p>
            <w:pPr>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定标形式：当场</w:t>
            </w:r>
            <w:r>
              <w:rPr>
                <w:rFonts w:hint="eastAsia" w:ascii="宋体" w:hAnsi="宋体" w:eastAsia="宋体" w:cs="宋体"/>
                <w:caps/>
                <w:color w:val="auto"/>
                <w:sz w:val="24"/>
                <w:highlight w:val="none"/>
                <w:lang w:val="zh-CN"/>
              </w:rPr>
              <w:t>□</w:t>
            </w:r>
            <w:r>
              <w:rPr>
                <w:rFonts w:hint="eastAsia" w:ascii="宋体" w:hAnsi="宋体" w:eastAsia="宋体" w:cs="宋体"/>
                <w:color w:val="auto"/>
                <w:sz w:val="24"/>
                <w:highlight w:val="none"/>
                <w:lang w:val="zh-CN"/>
              </w:rPr>
              <w:t xml:space="preserve">                  隔日</w:t>
            </w:r>
            <w:r>
              <w:rPr>
                <w:rFonts w:hint="eastAsia" w:ascii="宋体" w:hAnsi="宋体" w:eastAsia="宋体" w:cs="宋体"/>
                <w:caps/>
                <w:color w:val="auto"/>
                <w:sz w:val="24"/>
                <w:highlight w:val="none"/>
                <w:lang w:val="zh-CN"/>
              </w:rPr>
              <w:t>□</w:t>
            </w:r>
          </w:p>
        </w:tc>
      </w:tr>
    </w:tbl>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根据国家建设部、监察部《关于在工程建设中深入开展反对腐败和反对不正当竞争的通知》和中共云南省纪委、监察厅、建设厅《关于在全省建设工程中建立工程承包和工程廉政“双合同”机制的通知》精神，坚决执行《反不正当竞争法》、《建筑法》、《招标投标法》等有关法律法规和政策，为确保建设工程质量达到国家有关规定、争优创优、干部廉洁，在签订工程建设合同的同时，甲乙双方必须签订工程廉政合同。</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一、甲方不得接受乙方请吃、请玩；不得接受乙方赠送的礼品、礼金和各种有价证券、信用卡及其他支付凭证；不得接受乙方任何好处费及工程回扣；不得向乙方报销任何由甲方支付的费用；不得借用、租用乙方的交通、通讯工具等物品；不得参加乙方举行的任何祝贺庆典活动。</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二、甲方工作人员的配偶、子女，不得承包或从事与工程有关的材料供应、工程分包、工程装璜和装修、组织提供劳务等活动；不得向施工方推荐分包单位；不得要求施工方购买合同规定外的材料和设备。</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三、甲方人员向乙方索贿，经乙方或其他线索检举，被纪检监察机关立案查处认定的，由此产生的办案费用由甲方（索贿方单位或个人）承担。不论举报甲方或乙方的贿赂行为的举报人，经查证属实，可由查办案件的机关（单位）依照规定给予奖励。</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四、乙方不得以任何形式邀请甲方人员吃、玩或向甲方赠送礼品、礼金、各种有价证券、信用卡及其他支付凭证或物品。如有违反，由有关行政主管部门对乙方给予扣减应付工程款的3%—5%，或者终止工程动迁及拆除委托合同。并视情节轻重，对乙方决策人和经办人以及甲方接受人员给予批评教育、党纪政纪处分、依法追究刑事责任。</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五、乙方在工程项目建设中贿赂甲方人员、中介方人员，被纪检监察机关或司法机关立案查处的，甲方有权终止工程动迁及拆除委托合同。由此给甲方造成的损失以及发生的一切费用均由乙方承担。可在工程款中扣除。</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六、甲乙双方人员赠送、贿赂、接受或索要钱物的行为，如果一方发生，另一方当事人应立即主动报告本单位领导和纪检监察机关或向检察机关举报。对不主动报告情况的有关人员，一经查出，必须视情节轻重给予批评教育、党纪政纪处分依法追究刑事责任。</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七、凡是未按规定签定《工程廉政合同》的工程项目，不得办理工程建设项目施工许可证等相关手续，不得擅自同意或者进行施工（勘察、设计、监理）。违者将由纪检监察机关追究党纪政纪责任，由有关行政主管部门依照有关法律法规进行处罚。</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八、甲乙双方单位法定代表人和分管领导、有关人员要严格履行《工程廉政合同》。履行《工程廉政合同》中的相互监督、自查自纠等情况，甲乙双方分别在工程建设合同中期要向本单位的纪检监察部门和监证的纪检监察机关、部门作出报告。纪检监察机关、部门可视情况进行定期不定期的检查。如有违反，对法定代表人主要领导或分管领导要从严追究责任。</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九、工程竣工验收同期，甲乙双方要分别向本单位的纪检监察部门和监证的纪检监察机关、部门写出执行《工程廉政合同》的情况总结和相互鉴定报告。未按规定做出报告或纪检监察机关、部门不同意验收的工程，不得办理工程竣工验收手续。</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十、此合同一式</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份：甲乙双方各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份，有关行政主管部门</w:t>
      </w:r>
      <w:r>
        <w:rPr>
          <w:rFonts w:hint="eastAsia" w:ascii="宋体" w:hAnsi="宋体" w:eastAsia="宋体" w:cs="宋体"/>
          <w:color w:val="auto"/>
          <w:sz w:val="24"/>
          <w:highlight w:val="none"/>
          <w:u w:val="single"/>
        </w:rPr>
        <w:t>一</w:t>
      </w:r>
      <w:r>
        <w:rPr>
          <w:rFonts w:hint="eastAsia" w:ascii="宋体" w:hAnsi="宋体" w:eastAsia="宋体" w:cs="宋体"/>
          <w:color w:val="auto"/>
          <w:sz w:val="24"/>
          <w:highlight w:val="none"/>
        </w:rPr>
        <w:t>份，纪检监察机关、部门</w:t>
      </w:r>
      <w:r>
        <w:rPr>
          <w:rFonts w:hint="eastAsia" w:ascii="宋体" w:hAnsi="宋体" w:eastAsia="宋体" w:cs="宋体"/>
          <w:color w:val="auto"/>
          <w:sz w:val="24"/>
          <w:highlight w:val="none"/>
          <w:u w:val="single"/>
        </w:rPr>
        <w:t>一</w:t>
      </w:r>
      <w:r>
        <w:rPr>
          <w:rFonts w:hint="eastAsia" w:ascii="宋体" w:hAnsi="宋体" w:eastAsia="宋体" w:cs="宋体"/>
          <w:color w:val="auto"/>
          <w:sz w:val="24"/>
          <w:highlight w:val="none"/>
        </w:rPr>
        <w:t>份。</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十一、此合同自双方法定代表人或委托代理人签字、盖公章并经纪检监察机关、部门监证后即生效，并由本单位的纪检监察部门和监证的纪检监察机关、部门监督执行。</w:t>
      </w:r>
    </w:p>
    <w:p>
      <w:pPr>
        <w:spacing w:line="360" w:lineRule="auto"/>
        <w:ind w:firstLine="499"/>
        <w:rPr>
          <w:rFonts w:ascii="宋体" w:hAnsi="宋体" w:eastAsia="宋体" w:cs="宋体"/>
          <w:color w:val="auto"/>
          <w:sz w:val="24"/>
          <w:highlight w:val="none"/>
        </w:rPr>
      </w:pPr>
    </w:p>
    <w:p>
      <w:pPr>
        <w:spacing w:line="360" w:lineRule="auto"/>
        <w:ind w:firstLine="499"/>
        <w:rPr>
          <w:rFonts w:ascii="宋体" w:hAnsi="宋体" w:eastAsia="宋体" w:cs="宋体"/>
          <w:color w:val="auto"/>
          <w:sz w:val="24"/>
          <w:highlight w:val="none"/>
        </w:rPr>
      </w:pP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发包单位（甲方）：（公章）</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承包单位（乙方）：（公章）</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法定代表人：</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或委托代理人：</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或委托代理人：</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联系电话：</w:t>
      </w:r>
    </w:p>
    <w:p>
      <w:pPr>
        <w:spacing w:line="360" w:lineRule="auto"/>
        <w:ind w:firstLine="499"/>
        <w:rPr>
          <w:rFonts w:ascii="宋体" w:hAnsi="宋体" w:eastAsia="宋体" w:cs="宋体"/>
          <w:color w:val="auto"/>
          <w:sz w:val="24"/>
          <w:highlight w:val="none"/>
        </w:rPr>
      </w:pP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本单位纪检监察部门：（公章）</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联系电话：</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纪检监察机关、部门：（公章）</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联系电话：</w:t>
      </w:r>
    </w:p>
    <w:p>
      <w:pPr>
        <w:spacing w:line="360" w:lineRule="auto"/>
        <w:ind w:firstLine="4456" w:firstLineChars="1857"/>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pPr>
        <w:spacing w:line="360" w:lineRule="auto"/>
        <w:ind w:firstLine="4456" w:firstLineChars="1857"/>
        <w:rPr>
          <w:rFonts w:hint="eastAsia" w:ascii="宋体" w:hAnsi="宋体" w:eastAsia="宋体" w:cs="宋体"/>
          <w:color w:val="auto"/>
          <w:sz w:val="24"/>
          <w:highlight w:val="none"/>
        </w:rPr>
      </w:pPr>
    </w:p>
    <w:p>
      <w:pPr>
        <w:spacing w:line="360" w:lineRule="auto"/>
        <w:ind w:firstLine="4456" w:firstLineChars="1857"/>
        <w:rPr>
          <w:rFonts w:hint="eastAsia" w:ascii="宋体" w:hAnsi="宋体" w:eastAsia="宋体" w:cs="宋体"/>
          <w:color w:val="auto"/>
          <w:sz w:val="24"/>
          <w:highlight w:val="none"/>
        </w:rPr>
      </w:pPr>
    </w:p>
    <w:p>
      <w:pPr>
        <w:spacing w:line="360" w:lineRule="auto"/>
        <w:ind w:firstLine="4456" w:firstLineChars="1857"/>
        <w:rPr>
          <w:rFonts w:hint="eastAsia" w:ascii="宋体" w:hAnsi="宋体" w:eastAsia="宋体" w:cs="宋体"/>
          <w:color w:val="auto"/>
          <w:sz w:val="24"/>
          <w:highlight w:val="none"/>
        </w:rPr>
      </w:pPr>
    </w:p>
    <w:p>
      <w:pPr>
        <w:rPr>
          <w:color w:val="auto"/>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rPr>
          <w:rFonts w:hint="eastAsia" w:ascii="宋体" w:hAnsi="宋体" w:eastAsia="宋体" w:cs="宋体"/>
          <w:color w:val="auto"/>
          <w:sz w:val="24"/>
          <w:szCs w:val="24"/>
          <w:highlight w:val="none"/>
        </w:rPr>
      </w:pPr>
      <w:bookmarkStart w:id="83" w:name="_Toc403346199"/>
      <w:bookmarkStart w:id="84" w:name="_Toc6700"/>
      <w:bookmarkStart w:id="85" w:name="_Toc6097"/>
      <w:bookmarkStart w:id="86" w:name="_Toc46739224"/>
      <w:bookmarkStart w:id="87" w:name="_Toc6861311"/>
      <w:bookmarkStart w:id="88" w:name="_Toc14200"/>
      <w:bookmarkStart w:id="89" w:name="_Toc13888"/>
      <w:r>
        <w:rPr>
          <w:rFonts w:hint="eastAsia" w:ascii="宋体" w:hAnsi="宋体" w:eastAsia="宋体" w:cs="宋体"/>
          <w:color w:val="auto"/>
          <w:sz w:val="24"/>
          <w:szCs w:val="24"/>
          <w:highlight w:val="none"/>
        </w:rPr>
        <w:br w:type="page"/>
      </w:r>
    </w:p>
    <w:p>
      <w:pPr>
        <w:pStyle w:val="6"/>
        <w:keepNext w:val="0"/>
        <w:widowControl/>
        <w:spacing w:line="360" w:lineRule="auto"/>
        <w:ind w:firstLine="463"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附件二：安全责任书</w:t>
      </w:r>
      <w:bookmarkEnd w:id="83"/>
      <w:bookmarkEnd w:id="84"/>
      <w:bookmarkEnd w:id="85"/>
      <w:bookmarkEnd w:id="86"/>
      <w:bookmarkEnd w:id="87"/>
      <w:bookmarkEnd w:id="88"/>
      <w:bookmarkEnd w:id="89"/>
    </w:p>
    <w:p>
      <w:pPr>
        <w:spacing w:line="360" w:lineRule="auto"/>
        <w:jc w:val="center"/>
        <w:rPr>
          <w:rFonts w:ascii="宋体" w:hAnsi="宋体" w:eastAsia="宋体" w:cs="宋体"/>
          <w:color w:val="auto"/>
          <w:highlight w:val="none"/>
        </w:rPr>
      </w:pPr>
    </w:p>
    <w:p>
      <w:pPr>
        <w:spacing w:line="360" w:lineRule="auto"/>
        <w:jc w:val="center"/>
        <w:rPr>
          <w:rFonts w:ascii="宋体" w:hAnsi="宋体" w:eastAsia="宋体" w:cs="宋体"/>
          <w:color w:val="auto"/>
          <w:highlight w:val="none"/>
        </w:rPr>
      </w:pPr>
    </w:p>
    <w:p>
      <w:pPr>
        <w:widowControl/>
        <w:spacing w:line="360" w:lineRule="auto"/>
        <w:jc w:val="center"/>
        <w:rPr>
          <w:rFonts w:ascii="宋体" w:hAnsi="宋体" w:eastAsia="宋体" w:cs="宋体"/>
          <w:b/>
          <w:color w:val="auto"/>
          <w:spacing w:val="90"/>
          <w:kern w:val="0"/>
          <w:sz w:val="52"/>
          <w:szCs w:val="52"/>
          <w:highlight w:val="none"/>
        </w:rPr>
      </w:pPr>
      <w:r>
        <w:rPr>
          <w:rFonts w:hint="eastAsia" w:ascii="宋体" w:hAnsi="宋体" w:eastAsia="宋体" w:cs="宋体"/>
          <w:b/>
          <w:color w:val="auto"/>
          <w:spacing w:val="90"/>
          <w:kern w:val="0"/>
          <w:sz w:val="52"/>
          <w:szCs w:val="52"/>
          <w:highlight w:val="none"/>
        </w:rPr>
        <w:t>安全责任书</w:t>
      </w:r>
    </w:p>
    <w:p>
      <w:pPr>
        <w:widowControl/>
        <w:spacing w:line="360" w:lineRule="auto"/>
        <w:jc w:val="left"/>
        <w:rPr>
          <w:rFonts w:ascii="宋体" w:hAnsi="宋体" w:eastAsia="宋体" w:cs="宋体"/>
          <w:b/>
          <w:color w:val="auto"/>
          <w:kern w:val="0"/>
          <w:sz w:val="20"/>
          <w:szCs w:val="20"/>
          <w:highlight w:val="none"/>
        </w:rPr>
      </w:pPr>
    </w:p>
    <w:p>
      <w:pPr>
        <w:widowControl/>
        <w:spacing w:line="360" w:lineRule="auto"/>
        <w:jc w:val="center"/>
        <w:rPr>
          <w:rFonts w:ascii="宋体" w:hAnsi="宋体" w:eastAsia="宋体" w:cs="宋体"/>
          <w:b/>
          <w:color w:val="auto"/>
          <w:kern w:val="0"/>
          <w:sz w:val="20"/>
          <w:szCs w:val="20"/>
          <w:highlight w:val="none"/>
        </w:rPr>
      </w:pPr>
    </w:p>
    <w:p>
      <w:pPr>
        <w:widowControl/>
        <w:spacing w:line="360" w:lineRule="auto"/>
        <w:jc w:val="center"/>
        <w:rPr>
          <w:rFonts w:ascii="宋体" w:hAnsi="宋体" w:eastAsia="宋体" w:cs="宋体"/>
          <w:b/>
          <w:color w:val="auto"/>
          <w:kern w:val="0"/>
          <w:sz w:val="20"/>
          <w:szCs w:val="20"/>
          <w:highlight w:val="none"/>
        </w:rPr>
      </w:pPr>
    </w:p>
    <w:p>
      <w:pPr>
        <w:widowControl/>
        <w:spacing w:line="360" w:lineRule="auto"/>
        <w:jc w:val="center"/>
        <w:rPr>
          <w:rFonts w:ascii="宋体" w:hAnsi="宋体" w:eastAsia="宋体" w:cs="宋体"/>
          <w:b/>
          <w:color w:val="auto"/>
          <w:kern w:val="0"/>
          <w:sz w:val="20"/>
          <w:szCs w:val="20"/>
          <w:highlight w:val="none"/>
        </w:rPr>
      </w:pPr>
    </w:p>
    <w:p>
      <w:pPr>
        <w:widowControl/>
        <w:spacing w:line="360" w:lineRule="auto"/>
        <w:jc w:val="center"/>
        <w:rPr>
          <w:rFonts w:ascii="宋体" w:hAnsi="宋体" w:eastAsia="宋体" w:cs="宋体"/>
          <w:b/>
          <w:color w:val="auto"/>
          <w:kern w:val="0"/>
          <w:sz w:val="20"/>
          <w:szCs w:val="20"/>
          <w:highlight w:val="none"/>
        </w:rPr>
      </w:pPr>
    </w:p>
    <w:p>
      <w:pPr>
        <w:widowControl/>
        <w:spacing w:line="360" w:lineRule="auto"/>
        <w:jc w:val="center"/>
        <w:rPr>
          <w:rFonts w:ascii="宋体" w:hAnsi="宋体" w:eastAsia="宋体" w:cs="宋体"/>
          <w:b/>
          <w:color w:val="auto"/>
          <w:kern w:val="0"/>
          <w:sz w:val="20"/>
          <w:szCs w:val="20"/>
          <w:highlight w:val="none"/>
        </w:rPr>
      </w:pPr>
    </w:p>
    <w:p>
      <w:pPr>
        <w:widowControl/>
        <w:spacing w:line="360" w:lineRule="auto"/>
        <w:jc w:val="center"/>
        <w:rPr>
          <w:rFonts w:ascii="宋体" w:hAnsi="宋体" w:eastAsia="宋体" w:cs="宋体"/>
          <w:b/>
          <w:color w:val="auto"/>
          <w:kern w:val="0"/>
          <w:sz w:val="20"/>
          <w:szCs w:val="20"/>
          <w:highlight w:val="none"/>
        </w:rPr>
      </w:pPr>
    </w:p>
    <w:p>
      <w:pPr>
        <w:widowControl/>
        <w:spacing w:line="360" w:lineRule="auto"/>
        <w:jc w:val="center"/>
        <w:rPr>
          <w:rFonts w:ascii="宋体" w:hAnsi="宋体" w:eastAsia="宋体" w:cs="宋体"/>
          <w:b/>
          <w:color w:val="auto"/>
          <w:kern w:val="0"/>
          <w:sz w:val="20"/>
          <w:szCs w:val="20"/>
          <w:highlight w:val="none"/>
        </w:rPr>
      </w:pPr>
    </w:p>
    <w:p>
      <w:pPr>
        <w:widowControl/>
        <w:spacing w:line="360" w:lineRule="auto"/>
        <w:jc w:val="left"/>
        <w:rPr>
          <w:rFonts w:ascii="宋体" w:hAnsi="宋体" w:eastAsia="宋体" w:cs="宋体"/>
          <w:b/>
          <w:color w:val="auto"/>
          <w:kern w:val="0"/>
          <w:sz w:val="20"/>
          <w:szCs w:val="20"/>
          <w:highlight w:val="none"/>
        </w:rPr>
      </w:pPr>
    </w:p>
    <w:p>
      <w:pPr>
        <w:widowControl/>
        <w:spacing w:line="360" w:lineRule="auto"/>
        <w:jc w:val="left"/>
        <w:rPr>
          <w:rFonts w:hint="default" w:ascii="宋体" w:hAnsi="宋体" w:eastAsia="宋体" w:cs="宋体"/>
          <w:color w:val="auto"/>
          <w:sz w:val="24"/>
          <w:highlight w:val="none"/>
          <w:u w:val="single"/>
          <w:lang w:val="en-US" w:eastAsia="zh-CN"/>
        </w:rPr>
      </w:pPr>
      <w:r>
        <w:rPr>
          <w:rFonts w:hint="eastAsia" w:ascii="宋体" w:hAnsi="宋体" w:eastAsia="宋体" w:cs="宋体"/>
          <w:b/>
          <w:color w:val="auto"/>
          <w:kern w:val="0"/>
          <w:sz w:val="30"/>
          <w:szCs w:val="30"/>
          <w:highlight w:val="none"/>
        </w:rPr>
        <w:t>发包人：</w:t>
      </w:r>
      <w:r>
        <w:rPr>
          <w:rFonts w:hint="eastAsia" w:ascii="宋体" w:hAnsi="宋体" w:eastAsia="宋体" w:cs="宋体"/>
          <w:color w:val="auto"/>
          <w:sz w:val="24"/>
          <w:highlight w:val="none"/>
          <w:u w:val="single"/>
          <w:lang w:val="en-US" w:eastAsia="zh-CN"/>
        </w:rPr>
        <w:t xml:space="preserve">                         </w:t>
      </w:r>
    </w:p>
    <w:p>
      <w:pPr>
        <w:widowControl/>
        <w:spacing w:line="360" w:lineRule="auto"/>
        <w:ind w:left="1197" w:leftChars="570" w:firstLine="1"/>
        <w:jc w:val="left"/>
        <w:rPr>
          <w:rFonts w:ascii="宋体" w:hAnsi="宋体" w:eastAsia="宋体" w:cs="宋体"/>
          <w:b/>
          <w:color w:val="auto"/>
          <w:kern w:val="0"/>
          <w:sz w:val="30"/>
          <w:szCs w:val="30"/>
          <w:highlight w:val="none"/>
        </w:rPr>
      </w:pPr>
    </w:p>
    <w:p>
      <w:pPr>
        <w:widowControl/>
        <w:spacing w:line="360" w:lineRule="auto"/>
        <w:jc w:val="left"/>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rPr>
        <w:t>承包人：</w:t>
      </w:r>
      <w:r>
        <w:rPr>
          <w:rFonts w:hint="eastAsia" w:ascii="宋体" w:hAnsi="宋体" w:eastAsia="宋体" w:cs="宋体"/>
          <w:color w:val="auto"/>
          <w:sz w:val="24"/>
          <w:highlight w:val="none"/>
          <w:u w:val="single"/>
          <w:lang w:val="en-US" w:eastAsia="zh-CN"/>
        </w:rPr>
        <w:t xml:space="preserve">                         </w:t>
      </w:r>
    </w:p>
    <w:p>
      <w:pPr>
        <w:widowControl/>
        <w:spacing w:line="360" w:lineRule="auto"/>
        <w:jc w:val="center"/>
        <w:rPr>
          <w:rFonts w:ascii="宋体" w:hAnsi="宋体" w:eastAsia="宋体" w:cs="宋体"/>
          <w:b/>
          <w:color w:val="auto"/>
          <w:kern w:val="0"/>
          <w:sz w:val="30"/>
          <w:szCs w:val="30"/>
          <w:highlight w:val="none"/>
        </w:rPr>
      </w:pPr>
    </w:p>
    <w:p>
      <w:pPr>
        <w:widowControl/>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       年   月   日</w:t>
      </w:r>
    </w:p>
    <w:p>
      <w:pPr>
        <w:widowControl/>
        <w:spacing w:line="360" w:lineRule="auto"/>
        <w:jc w:val="center"/>
        <w:rPr>
          <w:rFonts w:ascii="宋体" w:hAnsi="宋体" w:eastAsia="宋体" w:cs="宋体"/>
          <w:b/>
          <w:color w:val="auto"/>
          <w:sz w:val="44"/>
          <w:szCs w:val="44"/>
          <w:highlight w:val="none"/>
        </w:rPr>
      </w:pPr>
      <w:r>
        <w:rPr>
          <w:rFonts w:hint="eastAsia" w:ascii="宋体" w:hAnsi="宋体" w:eastAsia="宋体" w:cs="Times New Roman"/>
          <w:b/>
          <w:color w:val="auto"/>
          <w:sz w:val="30"/>
          <w:szCs w:val="30"/>
          <w:highlight w:val="none"/>
        </w:rPr>
        <w:br w:type="page"/>
      </w:r>
      <w:bookmarkStart w:id="90" w:name="_Toc239231832"/>
      <w:bookmarkStart w:id="91" w:name="_Toc236748613"/>
      <w:r>
        <w:rPr>
          <w:rFonts w:hint="eastAsia" w:ascii="宋体" w:hAnsi="宋体" w:eastAsia="宋体" w:cs="宋体"/>
          <w:b/>
          <w:color w:val="auto"/>
          <w:sz w:val="44"/>
          <w:szCs w:val="44"/>
          <w:highlight w:val="none"/>
        </w:rPr>
        <w:t>安 全 责 任 书</w:t>
      </w:r>
      <w:bookmarkEnd w:id="90"/>
      <w:bookmarkEnd w:id="91"/>
    </w:p>
    <w:p>
      <w:pPr>
        <w:pStyle w:val="7"/>
        <w:widowControl/>
        <w:jc w:val="center"/>
        <w:rPr>
          <w:color w:val="auto"/>
          <w:highlight w:val="none"/>
        </w:rPr>
      </w:pP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color w:val="auto"/>
          <w:sz w:val="24"/>
          <w:highlight w:val="none"/>
        </w:rPr>
        <w:t>为确保</w:t>
      </w:r>
      <w:r>
        <w:rPr>
          <w:rFonts w:hint="eastAsia" w:ascii="宋体" w:hAnsi="宋体" w:eastAsia="宋体" w:cs="宋体"/>
          <w:color w:val="auto"/>
          <w:sz w:val="24"/>
          <w:highlight w:val="none"/>
          <w:u w:val="single"/>
          <w:lang w:val="en-US" w:eastAsia="zh-CN"/>
        </w:rPr>
        <w:t xml:space="preserve"> 官渡区太和街道跨境合作先行区太和1903（官渡区太和街道和平路前卫营片区三旧改造连片开发项目工作指挥部）项目新增地块房屋调查测绘服务（    标段）</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kern w:val="0"/>
          <w:position w:val="4"/>
          <w:sz w:val="24"/>
          <w:highlight w:val="none"/>
        </w:rPr>
        <w:t>工程的顺利进行，根据</w:t>
      </w:r>
      <w:r>
        <w:rPr>
          <w:rFonts w:hint="eastAsia" w:ascii="宋体" w:hAnsi="宋体" w:eastAsia="宋体" w:cs="宋体"/>
          <w:color w:val="auto"/>
          <w:sz w:val="24"/>
          <w:highlight w:val="none"/>
        </w:rPr>
        <w:t>《中华人民共和国民法典》、《中华人民共和国测绘法》、</w:t>
      </w:r>
      <w:r>
        <w:rPr>
          <w:rFonts w:hint="eastAsia" w:ascii="宋体" w:hAnsi="宋体" w:eastAsia="宋体" w:cs="宋体"/>
          <w:bCs/>
          <w:color w:val="auto"/>
          <w:kern w:val="0"/>
          <w:position w:val="4"/>
          <w:sz w:val="24"/>
          <w:highlight w:val="none"/>
        </w:rPr>
        <w:t>《中华人民共和国建筑法》、《中华人民共和国安全生产法》、《建设工程安全生产管理条例》的相关规定，特制定本施工安全责任书。</w:t>
      </w:r>
    </w:p>
    <w:p>
      <w:pPr>
        <w:widowControl/>
        <w:snapToGrid w:val="0"/>
        <w:spacing w:line="360" w:lineRule="auto"/>
        <w:ind w:firstLine="482" w:firstLineChars="200"/>
        <w:jc w:val="left"/>
        <w:rPr>
          <w:rFonts w:ascii="宋体" w:hAnsi="宋体" w:eastAsia="宋体" w:cs="宋体"/>
          <w:b/>
          <w:color w:val="auto"/>
          <w:kern w:val="0"/>
          <w:position w:val="4"/>
          <w:sz w:val="24"/>
          <w:highlight w:val="none"/>
        </w:rPr>
      </w:pPr>
      <w:r>
        <w:rPr>
          <w:rFonts w:hint="eastAsia" w:ascii="宋体" w:hAnsi="宋体" w:eastAsia="宋体" w:cs="宋体"/>
          <w:b/>
          <w:color w:val="auto"/>
          <w:kern w:val="0"/>
          <w:position w:val="4"/>
          <w:sz w:val="24"/>
          <w:highlight w:val="none"/>
        </w:rPr>
        <w:t>第一条 权利和义务</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一、乙方必须具备国家规定的注册资本、专业技术人员、技术装备和安全生产等条件，有相应等级的资格证书。</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二、乙方主要负责人依法对本施工单位的安全生产负全面责任，建立健全安全生产责任制度和安全生产教育培训制度，制定安全生产规章制度和操作规程，保证安全生产所需要的资金投入，对所承担的工程项目进行定期不定期和专项安全检查，并做好安全检查记录。乙方项目负责人应由取得相应资格证的人员担任，对建设项目的安全施工负责，落实安全生产责任制度、安全生产规章制度和操作规程，确保安全生产费用的有效使用，不得挪作他用。并根据工程的特点组织制定安全生产施工措施，消除安全隐患，及时、如实报告安全生产事故。</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三、乙方必须建立安全生产管理机构，配备专职安全生产管理人员，专职安全生产管理人员负责对安全生产进行现场监督检查，发现安全事故隐患应当及时向项目负责人和安全生产管理部门报告，对违章指挥、违章操作的应立即制止。</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四、特种设备操作人员必须按照国家有关规定经过专门的安全作业培训，并取得特种作业操作资格证书的人员上岗作业，特种作业人员名单报甲方安全生产管理部门登记备案。</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五、乙方在施工组织设计中必须编制安全技术措施和施工现场临时用电方案，对基坑支护、抽排水、土方开挖、支模板、扎钢筋、起重吊装、脚手架等危险性较大的单项工程，必须分部分项编制专项施工方案，并附安全验算结果，经技术负责人、总监理工程师签字后实施，由专职安全员进行现场监督，并报甲方安全管理部门存档。</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六、乙方在开工前，负责管理的技术人员必须对有关安全施工的技术要求向施工作业的班组、作业人员作出详细的安全交底，并由双方签字确认，并报甲方安全管理部门存档。</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七、乙方在施工现场入口处、脚手架、起重设备、临时用电设施、出入通道、基坑边沿等危险部位设置安全警示标志。安全警示标志必须符合国家标准。</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八、乙方的现场办公区、生活区与作业区分开设置，并保持安全距离；办公区、生活区的位置应当符合安全性的要求。职工的膳食、饮水、休息场所应符合卫生标准。</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九、乙方应遵守国家有关环境保护法律、法规的规定，坚持文明施工，在施工现场采取防护措施（封闭围挡），防止或减少粉尘、废气、废水、建筑垃圾、噪音、振动和强施工照明对人和环境的危害和污染。</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十、乙方应向作业人员提供安全防护用具和安全防护服装，并书面告知危险岗位的操作规程和违章操作的危害，施工单位不得违章指挥和强令作业人员冒险作业。在施工中发生危及人身安全的紧急情况时，作业人员有权停止作业或在采取必要的措施后撤离危险区域。</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十一、乙方采购、租赁的安全防护用具、机械设备、施工用具及配件，必须具备有生产（制造）许可证、产品合格证，在进入现场使用前必须进行查验，同时有专人管理，定期检查、维修和保养，建立相应的资料档案，报甲方安全部门存档。对超过使用时间、保质时间的应及时 停止使用或报废。</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十二、乙方在使用起重机械和整体提升脚手架、模板时，必须由相应资质的检验检测机构进行验收，验收合格后方使用，同时向有关部门登记，登记标志置于设备显著位置。</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十三、乙方必须定期不定期对下属所有员工进行安全教育培训，安全培训情况必须记入个人工作档案；安全生产培训不合格的，不得上岗。</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十四、乙方必须为施工现场作业人员办理意外伤害保险，意外伤害保险期限以工程开工之日起至竣工验收合格止。</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十五、乙方必须建立意外事故应急救援预案，完善各项应急救援措施，并组织员工进行应急救援预案演习。</w:t>
      </w:r>
    </w:p>
    <w:p>
      <w:pPr>
        <w:widowControl/>
        <w:snapToGrid w:val="0"/>
        <w:spacing w:line="360" w:lineRule="auto"/>
        <w:ind w:firstLine="480" w:firstLineChars="200"/>
        <w:jc w:val="left"/>
        <w:rPr>
          <w:rFonts w:ascii="宋体" w:hAnsi="宋体" w:eastAsia="宋体" w:cs="宋体"/>
          <w:color w:val="auto"/>
          <w:kern w:val="10"/>
          <w:position w:val="4"/>
          <w:sz w:val="24"/>
          <w:highlight w:val="none"/>
        </w:rPr>
      </w:pPr>
      <w:r>
        <w:rPr>
          <w:rFonts w:hint="eastAsia" w:ascii="宋体" w:hAnsi="宋体" w:eastAsia="宋体" w:cs="宋体"/>
          <w:bCs/>
          <w:color w:val="auto"/>
          <w:kern w:val="0"/>
          <w:position w:val="4"/>
          <w:sz w:val="24"/>
          <w:highlight w:val="none"/>
        </w:rPr>
        <w:t>十六、乙方在工程施工期间必须加强安全生产管理，严格落实各项安全管理制度的实施，采取强有力的措施控制伤亡事故，减少一般事故，杜绝重、特大事故，确保工程零死亡。</w:t>
      </w:r>
    </w:p>
    <w:p>
      <w:pPr>
        <w:widowControl/>
        <w:snapToGrid w:val="0"/>
        <w:spacing w:line="360" w:lineRule="auto"/>
        <w:ind w:firstLine="482" w:firstLineChars="200"/>
        <w:jc w:val="left"/>
        <w:rPr>
          <w:rFonts w:ascii="宋体" w:hAnsi="宋体" w:eastAsia="宋体" w:cs="宋体"/>
          <w:b/>
          <w:color w:val="auto"/>
          <w:kern w:val="10"/>
          <w:position w:val="4"/>
          <w:sz w:val="24"/>
          <w:highlight w:val="none"/>
        </w:rPr>
      </w:pPr>
      <w:r>
        <w:rPr>
          <w:rFonts w:hint="eastAsia" w:ascii="宋体" w:hAnsi="宋体" w:eastAsia="宋体" w:cs="宋体"/>
          <w:b/>
          <w:color w:val="auto"/>
          <w:kern w:val="10"/>
          <w:position w:val="4"/>
          <w:sz w:val="24"/>
          <w:highlight w:val="none"/>
        </w:rPr>
        <w:t>第二条 违约责任</w:t>
      </w:r>
    </w:p>
    <w:p>
      <w:pPr>
        <w:widowControl/>
        <w:snapToGrid w:val="0"/>
        <w:spacing w:line="360" w:lineRule="auto"/>
        <w:ind w:firstLine="480" w:firstLineChars="200"/>
        <w:jc w:val="left"/>
        <w:rPr>
          <w:rFonts w:ascii="宋体" w:hAnsi="宋体" w:eastAsia="宋体" w:cs="宋体"/>
          <w:color w:val="auto"/>
          <w:kern w:val="10"/>
          <w:position w:val="4"/>
          <w:sz w:val="24"/>
          <w:highlight w:val="none"/>
        </w:rPr>
      </w:pPr>
      <w:r>
        <w:rPr>
          <w:rFonts w:hint="eastAsia" w:ascii="宋体" w:hAnsi="宋体" w:eastAsia="宋体" w:cs="宋体"/>
          <w:color w:val="auto"/>
          <w:kern w:val="10"/>
          <w:position w:val="4"/>
          <w:sz w:val="24"/>
          <w:highlight w:val="none"/>
        </w:rPr>
        <w:t>乙方因施工方案或施工过程中出现安全隐患而造成的误工、停工、返工，所产生的一切政治、经济、名誉损失由乙方全部承担，违反《中华人民共和国安全生产法》的，按照《中华人民共和国安全生产法》、《国务院关于特大安全事故行政责任追究的规定》以及《安全生产违法行为行政处理办法》的相关规定进行处理，若甲方因此遭受损失的，甲方有权要求乙方赔偿。</w:t>
      </w:r>
    </w:p>
    <w:p>
      <w:pPr>
        <w:widowControl/>
        <w:snapToGrid w:val="0"/>
        <w:spacing w:line="360" w:lineRule="auto"/>
        <w:ind w:firstLine="482" w:firstLineChars="200"/>
        <w:jc w:val="left"/>
        <w:rPr>
          <w:rFonts w:ascii="宋体" w:hAnsi="宋体" w:eastAsia="宋体" w:cs="宋体"/>
          <w:color w:val="auto"/>
          <w:kern w:val="10"/>
          <w:position w:val="4"/>
          <w:sz w:val="24"/>
          <w:highlight w:val="none"/>
        </w:rPr>
      </w:pPr>
      <w:r>
        <w:rPr>
          <w:rFonts w:hint="eastAsia" w:ascii="宋体" w:hAnsi="宋体" w:eastAsia="宋体" w:cs="宋体"/>
          <w:b/>
          <w:color w:val="auto"/>
          <w:kern w:val="10"/>
          <w:position w:val="4"/>
          <w:sz w:val="24"/>
          <w:highlight w:val="none"/>
        </w:rPr>
        <w:t>第三条</w:t>
      </w:r>
      <w:r>
        <w:rPr>
          <w:rFonts w:hint="eastAsia" w:ascii="宋体" w:hAnsi="宋体" w:eastAsia="宋体" w:cs="宋体"/>
          <w:color w:val="auto"/>
          <w:kern w:val="10"/>
          <w:position w:val="4"/>
          <w:sz w:val="24"/>
          <w:highlight w:val="none"/>
        </w:rPr>
        <w:t xml:space="preserve"> 本工程安全责任书有效期为甲乙双方签署之日起至该工程项目竣工验收后止。</w:t>
      </w:r>
    </w:p>
    <w:p>
      <w:pPr>
        <w:widowControl/>
        <w:snapToGrid w:val="0"/>
        <w:spacing w:line="360" w:lineRule="auto"/>
        <w:ind w:firstLine="482" w:firstLineChars="200"/>
        <w:jc w:val="left"/>
        <w:rPr>
          <w:rFonts w:ascii="宋体" w:hAnsi="宋体" w:eastAsia="宋体" w:cs="宋体"/>
          <w:color w:val="auto"/>
          <w:kern w:val="10"/>
          <w:position w:val="4"/>
          <w:sz w:val="24"/>
          <w:highlight w:val="none"/>
        </w:rPr>
      </w:pPr>
      <w:r>
        <w:rPr>
          <w:rFonts w:hint="eastAsia" w:ascii="宋体" w:hAnsi="宋体" w:eastAsia="宋体" w:cs="宋体"/>
          <w:b/>
          <w:color w:val="auto"/>
          <w:kern w:val="10"/>
          <w:position w:val="4"/>
          <w:sz w:val="24"/>
          <w:highlight w:val="none"/>
        </w:rPr>
        <w:t>第四条</w:t>
      </w:r>
      <w:r>
        <w:rPr>
          <w:rFonts w:hint="eastAsia" w:ascii="宋体" w:hAnsi="宋体" w:eastAsia="宋体" w:cs="宋体"/>
          <w:color w:val="auto"/>
          <w:kern w:val="10"/>
          <w:position w:val="4"/>
          <w:sz w:val="24"/>
          <w:highlight w:val="none"/>
        </w:rPr>
        <w:t xml:space="preserve"> 本合同一式</w:t>
      </w:r>
      <w:r>
        <w:rPr>
          <w:rFonts w:hint="eastAsia" w:ascii="宋体" w:hAnsi="宋体" w:eastAsia="宋体" w:cs="宋体"/>
          <w:color w:val="auto"/>
          <w:kern w:val="10"/>
          <w:position w:val="4"/>
          <w:sz w:val="24"/>
          <w:highlight w:val="none"/>
          <w:u w:val="single"/>
        </w:rPr>
        <w:t xml:space="preserve"> </w:t>
      </w:r>
      <w:r>
        <w:rPr>
          <w:rFonts w:hint="eastAsia" w:ascii="宋体" w:hAnsi="宋体" w:eastAsia="宋体" w:cs="宋体"/>
          <w:color w:val="auto"/>
          <w:kern w:val="10"/>
          <w:position w:val="4"/>
          <w:sz w:val="24"/>
          <w:highlight w:val="none"/>
          <w:u w:val="single"/>
          <w:lang w:val="en-US" w:eastAsia="zh-CN"/>
        </w:rPr>
        <w:t xml:space="preserve">  </w:t>
      </w:r>
      <w:r>
        <w:rPr>
          <w:rFonts w:hint="eastAsia" w:ascii="宋体" w:hAnsi="宋体" w:eastAsia="宋体" w:cs="宋体"/>
          <w:color w:val="auto"/>
          <w:kern w:val="10"/>
          <w:position w:val="4"/>
          <w:sz w:val="24"/>
          <w:highlight w:val="none"/>
          <w:u w:val="single"/>
        </w:rPr>
        <w:t xml:space="preserve"> </w:t>
      </w:r>
      <w:r>
        <w:rPr>
          <w:rFonts w:hint="eastAsia" w:ascii="宋体" w:hAnsi="宋体" w:eastAsia="宋体" w:cs="宋体"/>
          <w:color w:val="auto"/>
          <w:kern w:val="10"/>
          <w:position w:val="4"/>
          <w:sz w:val="24"/>
          <w:highlight w:val="none"/>
        </w:rPr>
        <w:t>份，甲乙双方各执</w:t>
      </w:r>
      <w:r>
        <w:rPr>
          <w:rFonts w:hint="eastAsia" w:ascii="宋体" w:hAnsi="宋体" w:eastAsia="宋体" w:cs="宋体"/>
          <w:color w:val="auto"/>
          <w:kern w:val="10"/>
          <w:position w:val="4"/>
          <w:sz w:val="24"/>
          <w:highlight w:val="none"/>
          <w:u w:val="single"/>
        </w:rPr>
        <w:t xml:space="preserve"> </w:t>
      </w:r>
      <w:r>
        <w:rPr>
          <w:rFonts w:hint="eastAsia" w:ascii="宋体" w:hAnsi="宋体" w:eastAsia="宋体" w:cs="宋体"/>
          <w:color w:val="auto"/>
          <w:kern w:val="10"/>
          <w:position w:val="4"/>
          <w:sz w:val="24"/>
          <w:highlight w:val="none"/>
          <w:u w:val="single"/>
          <w:lang w:val="en-US" w:eastAsia="zh-CN"/>
        </w:rPr>
        <w:t xml:space="preserve">  </w:t>
      </w:r>
      <w:r>
        <w:rPr>
          <w:rFonts w:hint="eastAsia" w:ascii="宋体" w:hAnsi="宋体" w:eastAsia="宋体" w:cs="宋体"/>
          <w:color w:val="auto"/>
          <w:kern w:val="10"/>
          <w:position w:val="4"/>
          <w:sz w:val="24"/>
          <w:highlight w:val="none"/>
          <w:u w:val="single"/>
        </w:rPr>
        <w:t xml:space="preserve"> </w:t>
      </w:r>
      <w:r>
        <w:rPr>
          <w:rFonts w:hint="eastAsia" w:ascii="宋体" w:hAnsi="宋体" w:eastAsia="宋体" w:cs="宋体"/>
          <w:color w:val="auto"/>
          <w:kern w:val="10"/>
          <w:position w:val="4"/>
          <w:sz w:val="24"/>
          <w:highlight w:val="none"/>
        </w:rPr>
        <w:t>份，送交监督单位</w:t>
      </w:r>
      <w:r>
        <w:rPr>
          <w:rFonts w:hint="eastAsia" w:ascii="宋体" w:hAnsi="宋体" w:eastAsia="宋体" w:cs="宋体"/>
          <w:color w:val="auto"/>
          <w:kern w:val="10"/>
          <w:position w:val="4"/>
          <w:sz w:val="24"/>
          <w:highlight w:val="none"/>
          <w:u w:val="single"/>
        </w:rPr>
        <w:t xml:space="preserve"> </w:t>
      </w:r>
      <w:r>
        <w:rPr>
          <w:rFonts w:hint="eastAsia" w:ascii="宋体" w:hAnsi="宋体" w:eastAsia="宋体" w:cs="宋体"/>
          <w:color w:val="auto"/>
          <w:kern w:val="10"/>
          <w:position w:val="4"/>
          <w:sz w:val="24"/>
          <w:highlight w:val="none"/>
          <w:u w:val="single"/>
          <w:lang w:val="en-US" w:eastAsia="zh-CN"/>
        </w:rPr>
        <w:t xml:space="preserve">  </w:t>
      </w:r>
      <w:r>
        <w:rPr>
          <w:rFonts w:hint="eastAsia" w:ascii="宋体" w:hAnsi="宋体" w:eastAsia="宋体" w:cs="宋体"/>
          <w:color w:val="auto"/>
          <w:kern w:val="10"/>
          <w:position w:val="4"/>
          <w:sz w:val="24"/>
          <w:highlight w:val="none"/>
          <w:u w:val="single"/>
        </w:rPr>
        <w:t xml:space="preserve"> </w:t>
      </w:r>
      <w:r>
        <w:rPr>
          <w:rFonts w:hint="eastAsia" w:ascii="宋体" w:hAnsi="宋体" w:eastAsia="宋体" w:cs="宋体"/>
          <w:color w:val="auto"/>
          <w:kern w:val="10"/>
          <w:position w:val="4"/>
          <w:sz w:val="24"/>
          <w:highlight w:val="none"/>
        </w:rPr>
        <w:t>份。</w:t>
      </w:r>
    </w:p>
    <w:p>
      <w:pPr>
        <w:spacing w:line="360" w:lineRule="auto"/>
        <w:rPr>
          <w:rFonts w:ascii="宋体" w:hAnsi="宋体" w:eastAsia="宋体" w:cs="宋体"/>
          <w:color w:val="auto"/>
          <w:spacing w:val="20"/>
          <w:kern w:val="10"/>
          <w:sz w:val="24"/>
          <w:highlight w:val="none"/>
        </w:rPr>
      </w:pPr>
    </w:p>
    <w:p>
      <w:pPr>
        <w:spacing w:line="360" w:lineRule="auto"/>
        <w:rPr>
          <w:rFonts w:ascii="宋体" w:hAnsi="宋体" w:eastAsia="宋体" w:cs="宋体"/>
          <w:color w:val="auto"/>
          <w:spacing w:val="20"/>
          <w:kern w:val="10"/>
          <w:sz w:val="24"/>
          <w:highlight w:val="none"/>
        </w:rPr>
      </w:pPr>
      <w:r>
        <w:rPr>
          <w:rFonts w:hint="eastAsia" w:ascii="宋体" w:hAnsi="宋体" w:eastAsia="宋体" w:cs="宋体"/>
          <w:color w:val="auto"/>
          <w:spacing w:val="20"/>
          <w:kern w:val="10"/>
          <w:sz w:val="24"/>
          <w:highlight w:val="none"/>
        </w:rPr>
        <w:t xml:space="preserve">业主单位（甲方）：（公章）         </w:t>
      </w:r>
      <w:r>
        <w:rPr>
          <w:rFonts w:hint="eastAsia" w:ascii="宋体" w:hAnsi="宋体" w:eastAsia="宋体" w:cs="宋体"/>
          <w:color w:val="auto"/>
          <w:spacing w:val="20"/>
          <w:kern w:val="10"/>
          <w:sz w:val="24"/>
          <w:highlight w:val="none"/>
        </w:rPr>
        <w:tab/>
      </w:r>
      <w:r>
        <w:rPr>
          <w:rFonts w:hint="eastAsia" w:ascii="宋体" w:hAnsi="宋体" w:eastAsia="宋体" w:cs="宋体"/>
          <w:color w:val="auto"/>
          <w:spacing w:val="20"/>
          <w:kern w:val="10"/>
          <w:sz w:val="24"/>
          <w:highlight w:val="none"/>
        </w:rPr>
        <w:t>中标单位（乙方）：（公章）</w:t>
      </w:r>
    </w:p>
    <w:p>
      <w:pPr>
        <w:spacing w:line="360" w:lineRule="auto"/>
        <w:rPr>
          <w:rFonts w:ascii="宋体" w:hAnsi="宋体" w:eastAsia="宋体" w:cs="宋体"/>
          <w:color w:val="auto"/>
          <w:spacing w:val="20"/>
          <w:kern w:val="10"/>
          <w:sz w:val="24"/>
          <w:highlight w:val="none"/>
        </w:rPr>
      </w:pPr>
      <w:r>
        <w:rPr>
          <w:rFonts w:hint="eastAsia" w:ascii="宋体" w:hAnsi="宋体" w:eastAsia="宋体" w:cs="宋体"/>
          <w:color w:val="auto"/>
          <w:spacing w:val="20"/>
          <w:kern w:val="10"/>
          <w:sz w:val="24"/>
          <w:highlight w:val="none"/>
        </w:rPr>
        <w:t xml:space="preserve">地址：                        </w:t>
      </w:r>
      <w:r>
        <w:rPr>
          <w:rFonts w:hint="eastAsia" w:ascii="宋体" w:hAnsi="宋体" w:eastAsia="宋体" w:cs="宋体"/>
          <w:color w:val="auto"/>
          <w:spacing w:val="20"/>
          <w:kern w:val="10"/>
          <w:sz w:val="24"/>
          <w:highlight w:val="none"/>
        </w:rPr>
        <w:tab/>
      </w:r>
      <w:r>
        <w:rPr>
          <w:rFonts w:hint="eastAsia" w:ascii="宋体" w:hAnsi="宋体" w:eastAsia="宋体" w:cs="宋体"/>
          <w:color w:val="auto"/>
          <w:spacing w:val="20"/>
          <w:kern w:val="10"/>
          <w:sz w:val="24"/>
          <w:highlight w:val="none"/>
        </w:rPr>
        <w:tab/>
      </w:r>
      <w:r>
        <w:rPr>
          <w:rFonts w:hint="eastAsia" w:ascii="宋体" w:hAnsi="宋体" w:eastAsia="宋体" w:cs="宋体"/>
          <w:color w:val="auto"/>
          <w:spacing w:val="20"/>
          <w:kern w:val="10"/>
          <w:sz w:val="24"/>
          <w:highlight w:val="none"/>
        </w:rPr>
        <w:t xml:space="preserve">地址： </w:t>
      </w:r>
    </w:p>
    <w:p>
      <w:pPr>
        <w:spacing w:line="360" w:lineRule="auto"/>
        <w:rPr>
          <w:rFonts w:ascii="宋体" w:hAnsi="宋体" w:eastAsia="宋体" w:cs="宋体"/>
          <w:color w:val="auto"/>
          <w:sz w:val="24"/>
          <w:highlight w:val="none"/>
        </w:rPr>
      </w:pPr>
      <w:r>
        <w:rPr>
          <w:rFonts w:hint="eastAsia" w:ascii="宋体" w:hAnsi="宋体" w:eastAsia="宋体" w:cs="宋体"/>
          <w:color w:val="auto"/>
          <w:spacing w:val="20"/>
          <w:kern w:val="10"/>
          <w:sz w:val="24"/>
          <w:highlight w:val="none"/>
        </w:rPr>
        <w:t xml:space="preserve">法定代表人：                   </w:t>
      </w:r>
      <w:r>
        <w:rPr>
          <w:rFonts w:hint="eastAsia" w:ascii="宋体" w:hAnsi="宋体" w:eastAsia="宋体" w:cs="宋体"/>
          <w:color w:val="auto"/>
          <w:spacing w:val="20"/>
          <w:kern w:val="10"/>
          <w:sz w:val="24"/>
          <w:highlight w:val="none"/>
        </w:rPr>
        <w:tab/>
      </w:r>
      <w:r>
        <w:rPr>
          <w:rFonts w:hint="eastAsia" w:ascii="宋体" w:hAnsi="宋体" w:eastAsia="宋体" w:cs="宋体"/>
          <w:color w:val="auto"/>
          <w:spacing w:val="20"/>
          <w:kern w:val="10"/>
          <w:sz w:val="24"/>
          <w:highlight w:val="none"/>
        </w:rPr>
        <w:tab/>
      </w:r>
      <w:r>
        <w:rPr>
          <w:rFonts w:hint="eastAsia" w:ascii="宋体" w:hAnsi="宋体" w:eastAsia="宋体" w:cs="宋体"/>
          <w:color w:val="auto"/>
          <w:spacing w:val="20"/>
          <w:kern w:val="10"/>
          <w:sz w:val="24"/>
          <w:highlight w:val="none"/>
        </w:rPr>
        <w:t>法定代表人：</w:t>
      </w:r>
    </w:p>
    <w:p>
      <w:pPr>
        <w:spacing w:line="360" w:lineRule="auto"/>
        <w:rPr>
          <w:rFonts w:ascii="宋体" w:hAnsi="宋体" w:eastAsia="宋体" w:cs="宋体"/>
          <w:color w:val="auto"/>
          <w:spacing w:val="20"/>
          <w:kern w:val="10"/>
          <w:sz w:val="24"/>
          <w:highlight w:val="none"/>
        </w:rPr>
      </w:pPr>
      <w:r>
        <w:rPr>
          <w:rFonts w:hint="eastAsia" w:ascii="宋体" w:hAnsi="宋体" w:eastAsia="宋体" w:cs="宋体"/>
          <w:color w:val="auto"/>
          <w:sz w:val="24"/>
          <w:highlight w:val="none"/>
        </w:rPr>
        <w:t xml:space="preserve">或委托代理人：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或委托代理人：</w:t>
      </w:r>
    </w:p>
    <w:p>
      <w:pPr>
        <w:spacing w:line="360" w:lineRule="auto"/>
        <w:rPr>
          <w:rFonts w:ascii="宋体" w:hAnsi="宋体" w:eastAsia="宋体" w:cs="宋体"/>
          <w:color w:val="auto"/>
          <w:spacing w:val="20"/>
          <w:kern w:val="10"/>
          <w:sz w:val="24"/>
          <w:highlight w:val="none"/>
        </w:rPr>
      </w:pPr>
      <w:r>
        <w:rPr>
          <w:rFonts w:hint="eastAsia" w:ascii="宋体" w:hAnsi="宋体" w:eastAsia="宋体" w:cs="宋体"/>
          <w:color w:val="auto"/>
          <w:spacing w:val="20"/>
          <w:kern w:val="10"/>
          <w:sz w:val="24"/>
          <w:highlight w:val="none"/>
        </w:rPr>
        <w:t xml:space="preserve">联系电话：                     </w:t>
      </w:r>
      <w:r>
        <w:rPr>
          <w:rFonts w:hint="eastAsia" w:ascii="宋体" w:hAnsi="宋体" w:eastAsia="宋体" w:cs="宋体"/>
          <w:color w:val="auto"/>
          <w:spacing w:val="20"/>
          <w:kern w:val="10"/>
          <w:sz w:val="24"/>
          <w:highlight w:val="none"/>
        </w:rPr>
        <w:tab/>
      </w:r>
      <w:r>
        <w:rPr>
          <w:rFonts w:hint="eastAsia" w:ascii="宋体" w:hAnsi="宋体" w:eastAsia="宋体" w:cs="宋体"/>
          <w:color w:val="auto"/>
          <w:spacing w:val="20"/>
          <w:kern w:val="10"/>
          <w:sz w:val="24"/>
          <w:highlight w:val="none"/>
        </w:rPr>
        <w:tab/>
      </w:r>
      <w:r>
        <w:rPr>
          <w:rFonts w:hint="eastAsia" w:ascii="宋体" w:hAnsi="宋体" w:eastAsia="宋体" w:cs="宋体"/>
          <w:color w:val="auto"/>
          <w:spacing w:val="20"/>
          <w:kern w:val="10"/>
          <w:sz w:val="24"/>
          <w:highlight w:val="none"/>
        </w:rPr>
        <w:t xml:space="preserve">联系电话： </w:t>
      </w:r>
    </w:p>
    <w:p>
      <w:pPr>
        <w:spacing w:line="360" w:lineRule="auto"/>
        <w:rPr>
          <w:rFonts w:ascii="宋体" w:hAnsi="宋体" w:eastAsia="宋体" w:cs="宋体"/>
          <w:color w:val="auto"/>
          <w:sz w:val="24"/>
          <w:highlight w:val="none"/>
        </w:rPr>
      </w:pPr>
    </w:p>
    <w:p>
      <w:pPr>
        <w:widowControl/>
        <w:ind w:firstLine="2880" w:firstLineChars="1200"/>
        <w:jc w:val="left"/>
        <w:rPr>
          <w:color w:val="auto"/>
          <w:highlight w:val="none"/>
        </w:rPr>
      </w:pPr>
      <w:r>
        <w:rPr>
          <w:rFonts w:hint="eastAsia" w:ascii="宋体" w:hAnsi="宋体" w:eastAsia="宋体" w:cs="Times New Roman"/>
          <w:color w:val="auto"/>
          <w:sz w:val="24"/>
          <w:highlight w:val="none"/>
        </w:rPr>
        <w:t xml:space="preserve">  年     月    日</w:t>
      </w:r>
    </w:p>
    <w:p>
      <w:pPr>
        <w:rPr>
          <w:color w:val="auto"/>
          <w:highlight w:val="none"/>
        </w:rPr>
      </w:pPr>
    </w:p>
    <w:p>
      <w:pPr>
        <w:rPr>
          <w:rFonts w:hint="eastAsia"/>
          <w:color w:val="auto"/>
          <w:highlight w:val="none"/>
        </w:rPr>
      </w:pPr>
      <w:r>
        <w:rPr>
          <w:rFonts w:hint="eastAsia"/>
          <w:color w:val="auto"/>
          <w:highlight w:val="none"/>
        </w:rPr>
        <w:br w:type="page"/>
      </w:r>
    </w:p>
    <w:p>
      <w:pPr>
        <w:pStyle w:val="3"/>
        <w:rPr>
          <w:color w:val="auto"/>
          <w:highlight w:val="none"/>
        </w:rPr>
      </w:pPr>
      <w:bookmarkStart w:id="92" w:name="_Toc18469"/>
      <w:r>
        <w:rPr>
          <w:rFonts w:hint="eastAsia"/>
          <w:color w:val="auto"/>
          <w:highlight w:val="none"/>
        </w:rPr>
        <w:t>第五章  技术要求</w:t>
      </w:r>
      <w:bookmarkEnd w:id="72"/>
      <w:bookmarkEnd w:id="92"/>
    </w:p>
    <w:p>
      <w:pPr>
        <w:spacing w:line="380" w:lineRule="exact"/>
        <w:rPr>
          <w:rFonts w:ascii="Times New Roman" w:hAnsi="Times New Roman"/>
          <w:b/>
          <w:color w:val="auto"/>
          <w:szCs w:val="21"/>
          <w:highlight w:val="none"/>
        </w:rPr>
      </w:pP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1、1:500 1:1000 1:2000比例尺地形图航空摄影规范 GB 6962--2005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2、地理格网 GB 12409--2009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3、远程光电测距规范 GB 12526--90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4、国家一、二等水准测量规范 GB 12897--2006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5、国家三、四等水准测量规范 GB 12898--2009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6、坐标展点仪 GB/T 13605--92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7、国土基础信息数据分类与代码 GB/T 13923--92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8、国家基本比例尺地形图分幅与编号 GB/T 13989--2012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9、立体坐标量测仪 GB/T 13991--92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10、地形图用色 GB 14051--93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11、国家基本比例尺地形图修测规范 GB/T 14268--2008</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12、1:5000 1:10000 地形图图式(修订) GB/T 5791--93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13、工程测量规范 </w:t>
      </w:r>
      <w:r>
        <w:rPr>
          <w:rFonts w:ascii="宋体" w:hAnsi="宋体" w:eastAsia="宋体" w:cs="宋体"/>
          <w:color w:val="auto"/>
          <w:sz w:val="24"/>
          <w:highlight w:val="none"/>
        </w:rPr>
        <w:t>GB50026-</w:t>
      </w:r>
      <w:r>
        <w:rPr>
          <w:rFonts w:hint="eastAsia" w:ascii="宋体" w:hAnsi="宋体" w:eastAsia="宋体" w:cs="宋体"/>
          <w:color w:val="auto"/>
          <w:sz w:val="24"/>
          <w:highlight w:val="none"/>
        </w:rPr>
        <w:t xml:space="preserve">2015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14、测绘基本术语 GB/T 14911--2008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15、大比例尺地形图机助制图规范 GB 14912--94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16、精密工程测量规范 GB/T 15314--94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17、比长基线测量规范 GB/T 16789--1997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18、大地测量术语 GB/T 17159--2009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19、数字测绘产品质量要求 第1部分：数字线划地形图、数字高程模型质量要求 GB/T 17941.1—2000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20、国家三角测量规范 GB/T 17942—2000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21、房产测量规范 第1单元 房产测量规定 GB/T 17986.1 —2000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22、房产测量规范 第2单元 房产图图式 GB/T 17986.2 —2000</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23、其他现行相关的强制性标准和技术规范、规程，以上规范以现行的最新规范为准。</w:t>
      </w:r>
    </w:p>
    <w:p>
      <w:pPr>
        <w:spacing w:line="360" w:lineRule="auto"/>
        <w:ind w:firstLine="480" w:firstLineChars="200"/>
        <w:rPr>
          <w:rFonts w:ascii="宋体" w:hAnsi="宋体" w:eastAsia="宋体" w:cs="宋体"/>
          <w:color w:val="auto"/>
          <w:sz w:val="24"/>
          <w:highlight w:val="none"/>
        </w:rPr>
      </w:pPr>
    </w:p>
    <w:p>
      <w:pPr>
        <w:spacing w:line="360" w:lineRule="auto"/>
        <w:ind w:firstLine="480" w:firstLineChars="200"/>
        <w:rPr>
          <w:color w:val="auto"/>
          <w:sz w:val="24"/>
          <w:highlight w:val="none"/>
        </w:rPr>
      </w:pPr>
      <w:r>
        <w:rPr>
          <w:color w:val="auto"/>
          <w:sz w:val="24"/>
          <w:highlight w:val="none"/>
        </w:rPr>
        <w:br w:type="page"/>
      </w:r>
    </w:p>
    <w:p>
      <w:pPr>
        <w:pStyle w:val="3"/>
        <w:rPr>
          <w:color w:val="auto"/>
          <w:highlight w:val="none"/>
        </w:rPr>
      </w:pPr>
      <w:bookmarkStart w:id="93" w:name="_Toc9182"/>
      <w:bookmarkStart w:id="94" w:name="_Toc68192799"/>
      <w:r>
        <w:rPr>
          <w:rFonts w:hint="eastAsia"/>
          <w:color w:val="auto"/>
          <w:highlight w:val="none"/>
        </w:rPr>
        <w:t>第六章  投标文件格式</w:t>
      </w:r>
      <w:bookmarkEnd w:id="93"/>
      <w:bookmarkEnd w:id="94"/>
    </w:p>
    <w:p>
      <w:pPr>
        <w:rPr>
          <w:rFonts w:ascii="宋体" w:hAnsi="宋体" w:eastAsia="宋体" w:cs="宋体"/>
          <w:color w:val="auto"/>
          <w:highlight w:val="none"/>
        </w:rPr>
      </w:pPr>
    </w:p>
    <w:p>
      <w:pPr>
        <w:jc w:val="center"/>
        <w:rPr>
          <w:rFonts w:ascii="宋体" w:hAnsi="宋体" w:eastAsia="宋体" w:cs="宋体"/>
          <w:color w:val="auto"/>
          <w:sz w:val="32"/>
          <w:szCs w:val="32"/>
          <w:highlight w:val="none"/>
        </w:rPr>
      </w:pPr>
    </w:p>
    <w:p>
      <w:pPr>
        <w:spacing w:line="360" w:lineRule="auto"/>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封面格式</w:t>
      </w:r>
    </w:p>
    <w:p>
      <w:pPr>
        <w:spacing w:line="360" w:lineRule="auto"/>
        <w:jc w:val="center"/>
        <w:rPr>
          <w:rFonts w:ascii="宋体" w:hAnsi="宋体" w:eastAsia="宋体" w:cs="宋体"/>
          <w:b/>
          <w:color w:val="auto"/>
          <w:sz w:val="36"/>
          <w:szCs w:val="36"/>
          <w:highlight w:val="none"/>
        </w:rPr>
      </w:pPr>
    </w:p>
    <w:p>
      <w:pPr>
        <w:spacing w:line="800" w:lineRule="exact"/>
        <w:jc w:val="center"/>
        <w:rPr>
          <w:rFonts w:hint="eastAsia" w:ascii="宋体" w:hAnsi="宋体" w:eastAsia="宋体" w:cs="宋体"/>
          <w:b/>
          <w:bCs/>
          <w:color w:val="auto"/>
          <w:sz w:val="34"/>
          <w:szCs w:val="32"/>
          <w:highlight w:val="none"/>
          <w:u w:val="none"/>
        </w:rPr>
      </w:pPr>
      <w:r>
        <w:rPr>
          <w:rFonts w:hint="eastAsia" w:ascii="宋体" w:hAnsi="宋体" w:eastAsia="宋体" w:cs="宋体"/>
          <w:b/>
          <w:bCs/>
          <w:color w:val="auto"/>
          <w:sz w:val="34"/>
          <w:szCs w:val="32"/>
          <w:highlight w:val="none"/>
          <w:u w:val="none"/>
          <w:lang w:eastAsia="zh-CN"/>
        </w:rPr>
        <w:t>官渡区太和街道跨境合作先行区太和1903</w:t>
      </w:r>
      <w:r>
        <w:rPr>
          <w:rFonts w:hint="eastAsia" w:ascii="宋体" w:hAnsi="宋体" w:eastAsia="宋体" w:cs="宋体"/>
          <w:b/>
          <w:bCs/>
          <w:color w:val="auto"/>
          <w:sz w:val="34"/>
          <w:szCs w:val="32"/>
          <w:highlight w:val="none"/>
          <w:u w:val="none"/>
        </w:rPr>
        <w:t>（官渡区太和街道和平路前卫营片区三旧改造连片开发项目工作指挥部）项目</w:t>
      </w:r>
    </w:p>
    <w:p>
      <w:pPr>
        <w:spacing w:line="800" w:lineRule="exact"/>
        <w:jc w:val="center"/>
        <w:rPr>
          <w:rFonts w:hint="eastAsia" w:ascii="宋体" w:hAnsi="宋体" w:eastAsia="宋体" w:cs="宋体"/>
          <w:b/>
          <w:bCs/>
          <w:color w:val="auto"/>
          <w:sz w:val="34"/>
          <w:szCs w:val="32"/>
          <w:highlight w:val="none"/>
          <w:u w:val="none"/>
          <w:lang w:eastAsia="zh-CN"/>
        </w:rPr>
      </w:pPr>
      <w:r>
        <w:rPr>
          <w:rFonts w:hint="eastAsia" w:ascii="宋体" w:hAnsi="宋体" w:eastAsia="宋体" w:cs="宋体"/>
          <w:b/>
          <w:bCs/>
          <w:color w:val="auto"/>
          <w:sz w:val="34"/>
          <w:szCs w:val="32"/>
          <w:highlight w:val="none"/>
          <w:u w:val="none"/>
        </w:rPr>
        <w:t>新增地块房屋调查测绘服务</w:t>
      </w:r>
      <w:r>
        <w:rPr>
          <w:rFonts w:hint="eastAsia" w:ascii="宋体" w:hAnsi="宋体" w:eastAsia="宋体" w:cs="宋体"/>
          <w:b/>
          <w:bCs/>
          <w:color w:val="auto"/>
          <w:sz w:val="34"/>
          <w:szCs w:val="32"/>
          <w:highlight w:val="none"/>
          <w:u w:val="none"/>
          <w:lang w:eastAsia="zh-CN"/>
        </w:rPr>
        <w:t>(六标段)</w:t>
      </w:r>
    </w:p>
    <w:p>
      <w:pPr>
        <w:spacing w:line="360" w:lineRule="auto"/>
        <w:jc w:val="center"/>
        <w:rPr>
          <w:rFonts w:ascii="宋体" w:hAnsi="宋体" w:eastAsia="宋体" w:cs="宋体"/>
          <w:b/>
          <w:color w:val="auto"/>
          <w:sz w:val="36"/>
          <w:szCs w:val="36"/>
          <w:highlight w:val="none"/>
        </w:rPr>
      </w:pPr>
    </w:p>
    <w:p>
      <w:pPr>
        <w:pStyle w:val="10"/>
        <w:rPr>
          <w:color w:val="auto"/>
          <w:highlight w:val="none"/>
        </w:rPr>
      </w:pPr>
    </w:p>
    <w:p>
      <w:pPr>
        <w:spacing w:line="360" w:lineRule="auto"/>
        <w:jc w:val="center"/>
        <w:rPr>
          <w:rFonts w:ascii="宋体" w:hAnsi="宋体" w:eastAsia="宋体" w:cs="宋体"/>
          <w:b/>
          <w:color w:val="auto"/>
          <w:sz w:val="36"/>
          <w:szCs w:val="36"/>
          <w:highlight w:val="none"/>
        </w:rPr>
      </w:pPr>
    </w:p>
    <w:p>
      <w:pPr>
        <w:jc w:val="center"/>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投标文件</w:t>
      </w:r>
    </w:p>
    <w:p>
      <w:pPr>
        <w:spacing w:line="360" w:lineRule="auto"/>
        <w:jc w:val="center"/>
        <w:rPr>
          <w:b/>
          <w:color w:val="auto"/>
          <w:sz w:val="48"/>
          <w:szCs w:val="48"/>
          <w:highlight w:val="none"/>
        </w:rPr>
      </w:pPr>
    </w:p>
    <w:p>
      <w:pPr>
        <w:spacing w:line="360" w:lineRule="auto"/>
        <w:jc w:val="center"/>
        <w:rPr>
          <w:b/>
          <w:color w:val="auto"/>
          <w:sz w:val="30"/>
          <w:szCs w:val="30"/>
          <w:highlight w:val="none"/>
        </w:rPr>
      </w:pPr>
      <w:r>
        <w:rPr>
          <w:rFonts w:hint="eastAsia"/>
          <w:b/>
          <w:bCs/>
          <w:color w:val="auto"/>
          <w:sz w:val="30"/>
          <w:szCs w:val="30"/>
          <w:highlight w:val="none"/>
        </w:rPr>
        <w:t>项目编号：</w:t>
      </w:r>
      <w:r>
        <w:rPr>
          <w:rFonts w:hint="eastAsia" w:ascii="宋体" w:hAnsi="宋体" w:eastAsia="宋体" w:cs="宋体"/>
          <w:b/>
          <w:color w:val="auto"/>
          <w:sz w:val="32"/>
          <w:szCs w:val="32"/>
          <w:highlight w:val="none"/>
          <w:lang w:eastAsia="zh-CN"/>
        </w:rPr>
        <w:t>NFZB20522-03</w:t>
      </w:r>
    </w:p>
    <w:p>
      <w:pPr>
        <w:spacing w:line="360" w:lineRule="auto"/>
        <w:jc w:val="center"/>
        <w:rPr>
          <w:color w:val="auto"/>
          <w:sz w:val="32"/>
          <w:highlight w:val="none"/>
        </w:rPr>
      </w:pPr>
    </w:p>
    <w:p>
      <w:pPr>
        <w:spacing w:line="360" w:lineRule="auto"/>
        <w:jc w:val="center"/>
        <w:rPr>
          <w:color w:val="auto"/>
          <w:sz w:val="32"/>
          <w:highlight w:val="none"/>
        </w:rPr>
      </w:pPr>
    </w:p>
    <w:p>
      <w:pPr>
        <w:spacing w:line="360" w:lineRule="auto"/>
        <w:jc w:val="center"/>
        <w:rPr>
          <w:color w:val="auto"/>
          <w:sz w:val="32"/>
          <w:highlight w:val="none"/>
        </w:rPr>
      </w:pPr>
    </w:p>
    <w:p>
      <w:pPr>
        <w:ind w:firstLine="562" w:firstLineChars="200"/>
        <w:rPr>
          <w:rFonts w:ascii="宋体" w:hAnsi="宋体" w:eastAsia="宋体"/>
          <w:b/>
          <w:color w:val="auto"/>
          <w:sz w:val="28"/>
          <w:szCs w:val="28"/>
          <w:highlight w:val="none"/>
        </w:rPr>
      </w:pPr>
      <w:r>
        <w:rPr>
          <w:rFonts w:hint="eastAsia" w:ascii="宋体" w:hAnsi="宋体" w:eastAsia="宋体"/>
          <w:b/>
          <w:color w:val="auto"/>
          <w:sz w:val="28"/>
          <w:szCs w:val="28"/>
          <w:highlight w:val="none"/>
        </w:rPr>
        <w:t>投标人（电子签章）：_____________________________</w:t>
      </w:r>
    </w:p>
    <w:p>
      <w:pPr>
        <w:ind w:firstLine="562" w:firstLineChars="200"/>
        <w:rPr>
          <w:rFonts w:ascii="宋体" w:hAnsi="宋体" w:eastAsia="宋体"/>
          <w:b/>
          <w:color w:val="auto"/>
          <w:sz w:val="28"/>
          <w:szCs w:val="28"/>
          <w:highlight w:val="none"/>
          <w:u w:val="single"/>
        </w:rPr>
      </w:pPr>
      <w:r>
        <w:rPr>
          <w:rFonts w:hint="eastAsia" w:ascii="宋体" w:hAnsi="宋体" w:eastAsia="宋体"/>
          <w:b/>
          <w:color w:val="auto"/>
          <w:sz w:val="28"/>
          <w:szCs w:val="28"/>
          <w:highlight w:val="none"/>
        </w:rPr>
        <w:t>法定代表人（电子签章）：</w:t>
      </w:r>
      <w:r>
        <w:rPr>
          <w:rFonts w:hint="eastAsia" w:ascii="宋体" w:hAnsi="宋体" w:eastAsia="宋体"/>
          <w:b/>
          <w:color w:val="auto"/>
          <w:sz w:val="28"/>
          <w:szCs w:val="28"/>
          <w:highlight w:val="none"/>
          <w:u w:val="single"/>
        </w:rPr>
        <w:t xml:space="preserve">                         </w:t>
      </w:r>
    </w:p>
    <w:p>
      <w:pPr>
        <w:ind w:firstLine="551" w:firstLineChars="196"/>
        <w:rPr>
          <w:rFonts w:ascii="宋体" w:hAnsi="宋体"/>
          <w:color w:val="auto"/>
          <w:sz w:val="24"/>
          <w:highlight w:val="none"/>
        </w:rPr>
      </w:pPr>
      <w:r>
        <w:rPr>
          <w:rFonts w:hint="eastAsia" w:ascii="宋体" w:hAnsi="宋体" w:eastAsia="宋体"/>
          <w:b/>
          <w:color w:val="auto"/>
          <w:sz w:val="28"/>
          <w:szCs w:val="28"/>
          <w:highlight w:val="none"/>
        </w:rPr>
        <w:t>日期：_________年______月______日</w:t>
      </w:r>
    </w:p>
    <w:p>
      <w:pPr>
        <w:rPr>
          <w:rFonts w:ascii="宋体" w:hAnsi="宋体"/>
          <w:color w:val="auto"/>
          <w:sz w:val="24"/>
          <w:highlight w:val="none"/>
        </w:rPr>
      </w:pPr>
    </w:p>
    <w:p>
      <w:pPr>
        <w:widowControl/>
        <w:jc w:val="left"/>
        <w:rPr>
          <w:rFonts w:ascii="Arial" w:hAnsi="Arial" w:eastAsia="宋体"/>
          <w:b/>
          <w:color w:val="auto"/>
          <w:kern w:val="0"/>
          <w:sz w:val="32"/>
          <w:szCs w:val="22"/>
          <w:highlight w:val="none"/>
        </w:rPr>
      </w:pPr>
      <w:r>
        <w:rPr>
          <w:color w:val="auto"/>
          <w:highlight w:val="none"/>
        </w:rPr>
        <w:br w:type="page"/>
      </w:r>
    </w:p>
    <w:p>
      <w:pPr>
        <w:pStyle w:val="4"/>
        <w:spacing w:before="156" w:after="156"/>
        <w:rPr>
          <w:color w:val="auto"/>
          <w:highlight w:val="none"/>
        </w:rPr>
      </w:pPr>
      <w:bookmarkStart w:id="95" w:name="_Toc8809"/>
      <w:r>
        <w:rPr>
          <w:rFonts w:hint="eastAsia"/>
          <w:color w:val="auto"/>
          <w:highlight w:val="none"/>
        </w:rPr>
        <w:t>资格审查部分</w:t>
      </w:r>
      <w:bookmarkEnd w:id="95"/>
    </w:p>
    <w:p>
      <w:pPr>
        <w:jc w:val="center"/>
        <w:rPr>
          <w:rFonts w:ascii="宋体" w:hAnsi="宋体" w:eastAsia="宋体" w:cs="宋体"/>
          <w:color w:val="auto"/>
          <w:sz w:val="24"/>
          <w:highlight w:val="none"/>
        </w:rPr>
      </w:pPr>
    </w:p>
    <w:p>
      <w:pPr>
        <w:pStyle w:val="5"/>
        <w:rPr>
          <w:color w:val="auto"/>
          <w:highlight w:val="none"/>
        </w:rPr>
      </w:pPr>
      <w:bookmarkStart w:id="96" w:name="_Toc19539"/>
      <w:r>
        <w:rPr>
          <w:rFonts w:hint="eastAsia"/>
          <w:color w:val="auto"/>
          <w:highlight w:val="none"/>
        </w:rPr>
        <w:t>一、投标人基本情况表</w:t>
      </w:r>
      <w:bookmarkEnd w:id="96"/>
    </w:p>
    <w:p>
      <w:pPr>
        <w:autoSpaceDE w:val="0"/>
        <w:autoSpaceDN w:val="0"/>
        <w:adjustRightInd w:val="0"/>
        <w:spacing w:before="1" w:line="280" w:lineRule="exact"/>
        <w:jc w:val="left"/>
        <w:rPr>
          <w:rFonts w:ascii="宋体" w:hAnsi="宋体" w:eastAsia="宋体" w:cs="宋体"/>
          <w:color w:val="auto"/>
          <w:kern w:val="0"/>
          <w:sz w:val="24"/>
          <w:highlight w:val="none"/>
        </w:rPr>
      </w:pPr>
    </w:p>
    <w:tbl>
      <w:tblPr>
        <w:tblStyle w:val="18"/>
        <w:tblW w:w="91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3"/>
        <w:gridCol w:w="3817"/>
        <w:gridCol w:w="46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8505" w:type="dxa"/>
            <w:gridSpan w:val="2"/>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企业名称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8505" w:type="dxa"/>
            <w:gridSpan w:val="2"/>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总部地址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8505" w:type="dxa"/>
            <w:gridSpan w:val="2"/>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当地代表处地址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3817" w:type="dxa"/>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4688" w:type="dxa"/>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3817" w:type="dxa"/>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4688" w:type="dxa"/>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6</w:t>
            </w:r>
          </w:p>
        </w:tc>
        <w:tc>
          <w:tcPr>
            <w:tcW w:w="3817" w:type="dxa"/>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注册地</w:t>
            </w:r>
          </w:p>
        </w:tc>
        <w:tc>
          <w:tcPr>
            <w:tcW w:w="4688" w:type="dxa"/>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注册年份    （请附营业执照复印件）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9" w:hRule="atLeast"/>
          <w:jc w:val="center"/>
        </w:trPr>
        <w:tc>
          <w:tcPr>
            <w:tcW w:w="623" w:type="dxa"/>
            <w:noWrap/>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7</w:t>
            </w:r>
          </w:p>
        </w:tc>
        <w:tc>
          <w:tcPr>
            <w:tcW w:w="8505" w:type="dxa"/>
            <w:gridSpan w:val="2"/>
            <w:noWrap/>
            <w:vAlign w:val="center"/>
          </w:tcPr>
          <w:p>
            <w:pPr>
              <w:spacing w:line="420" w:lineRule="exact"/>
              <w:ind w:left="72" w:firstLine="28"/>
              <w:rPr>
                <w:rFonts w:ascii="宋体" w:hAnsi="宋体" w:eastAsia="宋体" w:cs="宋体"/>
                <w:color w:val="auto"/>
                <w:sz w:val="24"/>
                <w:highlight w:val="none"/>
              </w:rPr>
            </w:pPr>
            <w:r>
              <w:rPr>
                <w:rFonts w:hint="eastAsia" w:ascii="宋体" w:hAnsi="宋体" w:eastAsia="宋体" w:cs="宋体"/>
                <w:color w:val="auto"/>
                <w:sz w:val="24"/>
                <w:highlight w:val="none"/>
              </w:rPr>
              <w:t>公司</w:t>
            </w:r>
            <w:r>
              <w:rPr>
                <w:rFonts w:hint="eastAsia" w:ascii="宋体" w:hAnsi="宋体" w:eastAsia="宋体" w:cs="宋体"/>
                <w:color w:val="auto"/>
                <w:sz w:val="24"/>
                <w:highlight w:val="none"/>
                <w:u w:val="single"/>
              </w:rPr>
              <w:t xml:space="preserve">     （是否通过，何种）   </w:t>
            </w:r>
            <w:r>
              <w:rPr>
                <w:rFonts w:hint="eastAsia" w:ascii="宋体" w:hAnsi="宋体" w:eastAsia="宋体" w:cs="宋体"/>
                <w:color w:val="auto"/>
                <w:sz w:val="24"/>
                <w:highlight w:val="none"/>
              </w:rPr>
              <w:t>体系认证（如通过请附相关证书复印件）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87" w:hRule="atLeast"/>
          <w:jc w:val="center"/>
        </w:trPr>
        <w:tc>
          <w:tcPr>
            <w:tcW w:w="623" w:type="dxa"/>
            <w:noWrap/>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8</w:t>
            </w:r>
          </w:p>
        </w:tc>
        <w:tc>
          <w:tcPr>
            <w:tcW w:w="8505" w:type="dxa"/>
            <w:gridSpan w:val="2"/>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主营范围</w:t>
            </w:r>
          </w:p>
          <w:p>
            <w:pPr>
              <w:spacing w:line="420" w:lineRule="exact"/>
              <w:ind w:firstLine="100"/>
              <w:rPr>
                <w:rFonts w:ascii="宋体" w:hAnsi="宋体" w:eastAsia="宋体" w:cs="宋体"/>
                <w:color w:val="auto"/>
                <w:sz w:val="24"/>
                <w:highlight w:val="none"/>
                <w:u w:val="single"/>
              </w:rPr>
            </w:pPr>
            <w:r>
              <w:rPr>
                <w:rFonts w:hint="eastAsia" w:ascii="宋体" w:hAnsi="宋体" w:eastAsia="宋体" w:cs="宋体"/>
                <w:color w:val="auto"/>
                <w:sz w:val="24"/>
                <w:highlight w:val="none"/>
              </w:rPr>
              <w:t>1、</w:t>
            </w:r>
          </w:p>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2、</w:t>
            </w:r>
          </w:p>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3、</w:t>
            </w:r>
          </w:p>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4、</w:t>
            </w:r>
          </w:p>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w:t>
            </w:r>
          </w:p>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10" w:hRule="atLeast"/>
          <w:jc w:val="center"/>
        </w:trPr>
        <w:tc>
          <w:tcPr>
            <w:tcW w:w="623" w:type="dxa"/>
            <w:tcBorders>
              <w:top w:val="single" w:color="auto" w:sz="4" w:space="0"/>
            </w:tcBorders>
            <w:noWrap/>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9</w:t>
            </w:r>
          </w:p>
        </w:tc>
        <w:tc>
          <w:tcPr>
            <w:tcW w:w="8505" w:type="dxa"/>
            <w:gridSpan w:val="2"/>
            <w:tcBorders>
              <w:top w:val="single" w:color="auto" w:sz="4" w:space="0"/>
            </w:tcBorders>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其他需要说明的情况</w:t>
            </w:r>
          </w:p>
        </w:tc>
      </w:tr>
    </w:tbl>
    <w:p>
      <w:pPr>
        <w:autoSpaceDE w:val="0"/>
        <w:autoSpaceDN w:val="0"/>
        <w:adjustRightInd w:val="0"/>
        <w:spacing w:line="200" w:lineRule="exact"/>
        <w:jc w:val="left"/>
        <w:rPr>
          <w:rFonts w:ascii="宋体" w:hAnsi="宋体" w:eastAsia="宋体" w:cs="宋体"/>
          <w:color w:val="auto"/>
          <w:kern w:val="0"/>
          <w:sz w:val="24"/>
          <w:highlight w:val="none"/>
        </w:rPr>
      </w:pPr>
    </w:p>
    <w:p>
      <w:pPr>
        <w:ind w:firstLine="479" w:firstLineChars="199"/>
        <w:jc w:val="left"/>
        <w:rPr>
          <w:rFonts w:ascii="宋体" w:hAnsi="宋体" w:eastAsia="宋体" w:cs="宋体"/>
          <w:color w:val="auto"/>
          <w:kern w:val="0"/>
          <w:position w:val="-1"/>
          <w:sz w:val="24"/>
          <w:highlight w:val="none"/>
        </w:rPr>
      </w:pPr>
      <w:r>
        <w:rPr>
          <w:rFonts w:hint="eastAsia" w:ascii="宋体" w:hAnsi="宋体" w:eastAsia="宋体" w:cs="宋体"/>
          <w:b/>
          <w:color w:val="auto"/>
          <w:kern w:val="0"/>
          <w:position w:val="-1"/>
          <w:sz w:val="24"/>
          <w:highlight w:val="none"/>
        </w:rPr>
        <w:t>提供营业执照副本、公司章程、资质证书副本及其它证明材料扫描件。</w:t>
      </w:r>
    </w:p>
    <w:p>
      <w:pPr>
        <w:ind w:firstLine="479" w:firstLineChars="199"/>
        <w:jc w:val="left"/>
        <w:rPr>
          <w:rFonts w:ascii="宋体" w:hAnsi="宋体" w:eastAsia="宋体" w:cs="宋体"/>
          <w:b/>
          <w:color w:val="auto"/>
          <w:sz w:val="24"/>
          <w:highlight w:val="none"/>
        </w:rPr>
      </w:pPr>
    </w:p>
    <w:p>
      <w:pPr>
        <w:ind w:firstLine="477" w:firstLineChars="199"/>
        <w:jc w:val="left"/>
        <w:rPr>
          <w:rFonts w:ascii="宋体" w:hAnsi="宋体" w:eastAsia="宋体" w:cs="宋体"/>
          <w:color w:val="auto"/>
          <w:kern w:val="0"/>
          <w:position w:val="-1"/>
          <w:sz w:val="24"/>
          <w:highlight w:val="none"/>
        </w:rPr>
      </w:pPr>
    </w:p>
    <w:p>
      <w:pPr>
        <w:pStyle w:val="5"/>
        <w:rPr>
          <w:rFonts w:ascii="宋体" w:hAnsi="宋体" w:cs="宋体"/>
          <w:color w:val="auto"/>
          <w:sz w:val="24"/>
          <w:szCs w:val="24"/>
          <w:highlight w:val="none"/>
        </w:rPr>
      </w:pPr>
      <w:r>
        <w:rPr>
          <w:rFonts w:hint="eastAsia" w:ascii="宋体" w:hAnsi="宋体" w:cs="宋体"/>
          <w:color w:val="auto"/>
          <w:sz w:val="24"/>
          <w:szCs w:val="24"/>
          <w:highlight w:val="none"/>
        </w:rPr>
        <w:br w:type="page"/>
      </w:r>
      <w:bookmarkStart w:id="97" w:name="_Toc3555"/>
      <w:r>
        <w:rPr>
          <w:rFonts w:hint="eastAsia"/>
          <w:color w:val="auto"/>
          <w:highlight w:val="none"/>
        </w:rPr>
        <w:t>二、法定代表人身份证明及授权委托书</w:t>
      </w:r>
      <w:bookmarkEnd w:id="97"/>
    </w:p>
    <w:p>
      <w:pPr>
        <w:spacing w:beforeLines="50" w:afterLines="50"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（一）法定代表人身份证明</w:t>
      </w:r>
    </w:p>
    <w:p>
      <w:pPr>
        <w:spacing w:line="500" w:lineRule="exact"/>
        <w:ind w:right="420"/>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 标 人：_________________________________________________________</w:t>
      </w:r>
    </w:p>
    <w:p>
      <w:pPr>
        <w:spacing w:line="500" w:lineRule="exact"/>
        <w:ind w:right="420"/>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单位性质：_________________________________________________________</w:t>
      </w:r>
    </w:p>
    <w:p>
      <w:pPr>
        <w:spacing w:line="500" w:lineRule="exact"/>
        <w:ind w:right="420"/>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地    址：_________________________________________________________</w:t>
      </w:r>
    </w:p>
    <w:p>
      <w:pPr>
        <w:spacing w:line="500" w:lineRule="exact"/>
        <w:ind w:right="420"/>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成立时间：____________年____________月_______________日</w:t>
      </w:r>
    </w:p>
    <w:p>
      <w:pPr>
        <w:spacing w:line="500" w:lineRule="exact"/>
        <w:ind w:right="420"/>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经营期限：_________________________________________________________</w:t>
      </w:r>
    </w:p>
    <w:p>
      <w:pPr>
        <w:spacing w:line="500" w:lineRule="exact"/>
        <w:ind w:right="420"/>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姓    名：____________________________   性  别：__________________</w:t>
      </w:r>
    </w:p>
    <w:p>
      <w:pPr>
        <w:spacing w:line="500" w:lineRule="exact"/>
        <w:ind w:right="420"/>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年    龄：____________________________   职  务：__________________</w:t>
      </w:r>
    </w:p>
    <w:p>
      <w:pPr>
        <w:spacing w:line="500" w:lineRule="exact"/>
        <w:ind w:right="420"/>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系__________________________________________（投标人名称）的法定代表人。</w:t>
      </w:r>
    </w:p>
    <w:p>
      <w:pPr>
        <w:spacing w:line="500" w:lineRule="exact"/>
        <w:ind w:right="420"/>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特此证明。</w:t>
      </w:r>
    </w:p>
    <w:p>
      <w:pPr>
        <w:spacing w:line="500" w:lineRule="exact"/>
        <w:ind w:right="420"/>
        <w:rPr>
          <w:rFonts w:ascii="宋体" w:hAnsi="宋体" w:eastAsia="宋体" w:cs="宋体"/>
          <w:color w:val="auto"/>
          <w:sz w:val="24"/>
          <w:highlight w:val="none"/>
          <w:u w:val="none"/>
        </w:rPr>
      </w:pPr>
    </w:p>
    <w:p>
      <w:pPr>
        <w:spacing w:line="500" w:lineRule="exact"/>
        <w:ind w:right="420"/>
        <w:rPr>
          <w:rFonts w:ascii="宋体" w:hAnsi="宋体" w:eastAsia="宋体" w:cs="宋体"/>
          <w:color w:val="auto"/>
          <w:sz w:val="24"/>
          <w:highlight w:val="none"/>
          <w:u w:val="none"/>
        </w:rPr>
      </w:pPr>
    </w:p>
    <w:p>
      <w:pPr>
        <w:spacing w:line="500" w:lineRule="exact"/>
        <w:ind w:right="420"/>
        <w:jc w:val="righ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投标人：___________________________（电子签章）</w:t>
      </w:r>
    </w:p>
    <w:p>
      <w:pPr>
        <w:spacing w:line="500" w:lineRule="exact"/>
        <w:ind w:right="420"/>
        <w:jc w:val="right"/>
        <w:rPr>
          <w:rFonts w:ascii="宋体" w:hAnsi="宋体" w:eastAsia="宋体" w:cs="宋体"/>
          <w:color w:val="auto"/>
          <w:sz w:val="24"/>
          <w:highlight w:val="none"/>
        </w:rPr>
      </w:pPr>
      <w:r>
        <w:rPr>
          <w:rFonts w:hint="eastAsia" w:ascii="宋体" w:hAnsi="宋体" w:eastAsia="宋体" w:cs="宋体"/>
          <w:color w:val="auto"/>
          <w:sz w:val="24"/>
          <w:highlight w:val="none"/>
          <w:u w:val="none"/>
        </w:rPr>
        <w:t>_________年______月______日</w:t>
      </w:r>
    </w:p>
    <w:p>
      <w:pPr>
        <w:spacing w:line="500" w:lineRule="exact"/>
        <w:ind w:right="420"/>
        <w:rPr>
          <w:rFonts w:ascii="宋体" w:hAnsi="宋体" w:eastAsia="宋体" w:cs="宋体"/>
          <w:color w:val="auto"/>
          <w:sz w:val="24"/>
          <w:highlight w:val="none"/>
        </w:rPr>
      </w:pPr>
      <w:r>
        <w:rPr>
          <w:rFonts w:hint="eastAsia" w:ascii="宋体" w:hAnsi="宋体" w:eastAsia="宋体" w:cs="宋体"/>
          <w:color w:val="auto"/>
          <w:sz w:val="24"/>
          <w:highlight w:val="none"/>
        </w:rPr>
        <w:t>注：附法定代表人身份证扫描件。</w:t>
      </w:r>
    </w:p>
    <w:p>
      <w:pPr>
        <w:spacing w:line="500" w:lineRule="exact"/>
        <w:ind w:right="420"/>
        <w:rPr>
          <w:rFonts w:ascii="宋体" w:hAnsi="宋体" w:eastAsia="宋体" w:cs="宋体"/>
          <w:color w:val="auto"/>
          <w:sz w:val="24"/>
          <w:highlight w:val="none"/>
        </w:rPr>
      </w:pPr>
    </w:p>
    <w:p>
      <w:pPr>
        <w:spacing w:line="500" w:lineRule="exact"/>
        <w:ind w:right="420"/>
        <w:rPr>
          <w:rFonts w:ascii="宋体" w:hAnsi="宋体" w:eastAsia="宋体" w:cs="宋体"/>
          <w:color w:val="auto"/>
          <w:sz w:val="24"/>
          <w:highlight w:val="none"/>
        </w:rPr>
      </w:pPr>
    </w:p>
    <w:p>
      <w:pPr>
        <w:spacing w:line="500" w:lineRule="exact"/>
        <w:ind w:right="420"/>
        <w:jc w:val="center"/>
        <w:rPr>
          <w:rFonts w:ascii="宋体" w:hAnsi="宋体" w:eastAsia="宋体" w:cs="宋体"/>
          <w:color w:val="auto"/>
          <w:sz w:val="24"/>
          <w:highlight w:val="none"/>
        </w:rPr>
      </w:pPr>
    </w:p>
    <w:p>
      <w:pPr>
        <w:spacing w:line="500" w:lineRule="exact"/>
        <w:ind w:right="420"/>
        <w:rPr>
          <w:rFonts w:ascii="宋体" w:hAnsi="宋体" w:eastAsia="宋体" w:cs="宋体"/>
          <w:color w:val="auto"/>
          <w:sz w:val="24"/>
          <w:highlight w:val="none"/>
        </w:rPr>
      </w:pPr>
    </w:p>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（二）授权委托书</w:t>
      </w:r>
    </w:p>
    <w:p>
      <w:pPr>
        <w:spacing w:line="500" w:lineRule="exact"/>
        <w:ind w:firstLine="480" w:firstLineChars="200"/>
        <w:jc w:val="left"/>
        <w:rPr>
          <w:rFonts w:ascii="宋体" w:hAnsi="宋体" w:eastAsia="宋体" w:cs="宋体"/>
          <w:color w:val="auto"/>
          <w:sz w:val="24"/>
          <w:highlight w:val="none"/>
        </w:rPr>
      </w:pPr>
    </w:p>
    <w:p>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highlight w:val="none"/>
        </w:rPr>
        <w:t>_________</w:t>
      </w:r>
      <w:r>
        <w:rPr>
          <w:rFonts w:hint="eastAsia" w:ascii="宋体" w:hAnsi="宋体" w:cs="宋体"/>
          <w:color w:val="auto"/>
          <w:szCs w:val="21"/>
          <w:highlight w:val="none"/>
        </w:rPr>
        <w:t>（姓名）系</w:t>
      </w:r>
      <w:r>
        <w:rPr>
          <w:rFonts w:hint="eastAsia" w:ascii="宋体" w:hAnsi="宋体" w:cs="宋体"/>
          <w:color w:val="auto"/>
          <w:highlight w:val="none"/>
        </w:rPr>
        <w:t>______________________________</w:t>
      </w:r>
      <w:r>
        <w:rPr>
          <w:rFonts w:hint="eastAsia" w:ascii="宋体" w:hAnsi="宋体" w:cs="宋体"/>
          <w:color w:val="auto"/>
          <w:szCs w:val="21"/>
          <w:highlight w:val="none"/>
        </w:rPr>
        <w:t>（投标人名称）的法定代表人，现委托</w:t>
      </w:r>
      <w:r>
        <w:rPr>
          <w:rFonts w:hint="eastAsia" w:ascii="宋体" w:hAnsi="宋体" w:cs="宋体"/>
          <w:color w:val="auto"/>
          <w:highlight w:val="none"/>
        </w:rPr>
        <w:t>_________</w:t>
      </w:r>
      <w:r>
        <w:rPr>
          <w:rFonts w:hint="eastAsia" w:ascii="宋体" w:hAnsi="宋体" w:cs="宋体"/>
          <w:color w:val="auto"/>
          <w:szCs w:val="21"/>
          <w:highlight w:val="none"/>
        </w:rPr>
        <w:t>（姓名）为我方代理人。代理人根据授权，以我方名义签署、澄清、说明、补正、递交、撤回、修改</w:t>
      </w:r>
      <w:r>
        <w:rPr>
          <w:rFonts w:hint="eastAsia" w:ascii="宋体" w:hAnsi="宋体" w:cs="宋体"/>
          <w:color w:val="auto"/>
          <w:highlight w:val="none"/>
        </w:rPr>
        <w:t>___________________________</w:t>
      </w:r>
      <w:r>
        <w:rPr>
          <w:rFonts w:hint="eastAsia" w:ascii="宋体" w:hAnsi="宋体" w:cs="宋体"/>
          <w:color w:val="auto"/>
          <w:szCs w:val="21"/>
          <w:highlight w:val="none"/>
        </w:rPr>
        <w:t>（项目名称）投标文件、签订合同和处理有关事宜，其法律后果由我方承担。</w:t>
      </w:r>
    </w:p>
    <w:p>
      <w:pPr>
        <w:spacing w:beforeLines="100" w:afterLines="100"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代理人无转委托权。</w:t>
      </w:r>
    </w:p>
    <w:p>
      <w:pPr>
        <w:spacing w:afterLines="100"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附：附授权委托人身份证扫描件</w:t>
      </w:r>
    </w:p>
    <w:p>
      <w:pPr>
        <w:spacing w:line="500" w:lineRule="exact"/>
        <w:jc w:val="left"/>
        <w:rPr>
          <w:rFonts w:ascii="宋体" w:hAnsi="宋体" w:cs="宋体"/>
          <w:color w:val="auto"/>
          <w:szCs w:val="21"/>
          <w:highlight w:val="none"/>
        </w:rPr>
      </w:pPr>
    </w:p>
    <w:p>
      <w:pPr>
        <w:spacing w:line="400" w:lineRule="exact"/>
        <w:ind w:firstLine="3570" w:firstLineChars="1700"/>
        <w:jc w:val="left"/>
        <w:rPr>
          <w:rFonts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highlight w:val="none"/>
        </w:rPr>
        <w:t>________________________</w:t>
      </w:r>
      <w:r>
        <w:rPr>
          <w:rFonts w:hint="eastAsia" w:ascii="宋体" w:hAnsi="宋体" w:cs="宋体"/>
          <w:color w:val="auto"/>
          <w:szCs w:val="21"/>
          <w:highlight w:val="none"/>
        </w:rPr>
        <w:t>（电子签章）</w:t>
      </w:r>
    </w:p>
    <w:p>
      <w:pPr>
        <w:spacing w:line="400" w:lineRule="exact"/>
        <w:ind w:firstLine="3570" w:firstLineChars="1700"/>
        <w:jc w:val="left"/>
        <w:rPr>
          <w:rFonts w:ascii="宋体" w:hAnsi="宋体" w:cs="宋体"/>
          <w:color w:val="auto"/>
          <w:szCs w:val="21"/>
          <w:highlight w:val="none"/>
        </w:rPr>
      </w:pPr>
    </w:p>
    <w:p>
      <w:pPr>
        <w:spacing w:line="400" w:lineRule="exact"/>
        <w:ind w:firstLine="3570" w:firstLineChars="1700"/>
        <w:jc w:val="left"/>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highlight w:val="none"/>
        </w:rPr>
        <w:t>________________________</w:t>
      </w:r>
      <w:r>
        <w:rPr>
          <w:rFonts w:hint="eastAsia" w:ascii="宋体" w:hAnsi="宋体" w:cs="宋体"/>
          <w:color w:val="auto"/>
          <w:szCs w:val="21"/>
          <w:highlight w:val="none"/>
        </w:rPr>
        <w:t>（电子签章）</w:t>
      </w:r>
    </w:p>
    <w:p>
      <w:pPr>
        <w:spacing w:line="400" w:lineRule="exact"/>
        <w:ind w:firstLine="3570" w:firstLineChars="1700"/>
        <w:jc w:val="left"/>
        <w:rPr>
          <w:rFonts w:ascii="宋体" w:hAnsi="宋体" w:cs="宋体"/>
          <w:color w:val="auto"/>
          <w:szCs w:val="21"/>
          <w:highlight w:val="none"/>
        </w:rPr>
      </w:pPr>
    </w:p>
    <w:p>
      <w:pPr>
        <w:spacing w:line="400" w:lineRule="exact"/>
        <w:ind w:firstLine="3570" w:firstLineChars="1700"/>
        <w:jc w:val="left"/>
        <w:rPr>
          <w:rFonts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highlight w:val="none"/>
        </w:rPr>
        <w:t>____________________________________</w:t>
      </w:r>
    </w:p>
    <w:p>
      <w:pPr>
        <w:spacing w:line="400" w:lineRule="exact"/>
        <w:ind w:firstLine="3570" w:firstLineChars="1700"/>
        <w:jc w:val="left"/>
        <w:rPr>
          <w:rFonts w:ascii="宋体" w:hAnsi="宋体" w:cs="宋体"/>
          <w:color w:val="auto"/>
          <w:szCs w:val="21"/>
          <w:highlight w:val="none"/>
        </w:rPr>
      </w:pPr>
    </w:p>
    <w:p>
      <w:pPr>
        <w:spacing w:line="400" w:lineRule="exact"/>
        <w:ind w:firstLine="3570" w:firstLineChars="1700"/>
        <w:jc w:val="left"/>
        <w:rPr>
          <w:rFonts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highlight w:val="none"/>
        </w:rPr>
        <w:t>________________________</w:t>
      </w:r>
      <w:r>
        <w:rPr>
          <w:rFonts w:hint="eastAsia" w:ascii="宋体" w:hAnsi="宋体" w:cs="宋体"/>
          <w:color w:val="auto"/>
          <w:szCs w:val="21"/>
          <w:highlight w:val="none"/>
        </w:rPr>
        <w:t>____________</w:t>
      </w:r>
    </w:p>
    <w:p>
      <w:pPr>
        <w:spacing w:line="400" w:lineRule="exact"/>
        <w:ind w:firstLine="3570" w:firstLineChars="1700"/>
        <w:jc w:val="left"/>
        <w:rPr>
          <w:rFonts w:ascii="宋体" w:hAnsi="宋体" w:cs="宋体"/>
          <w:color w:val="auto"/>
          <w:szCs w:val="21"/>
          <w:highlight w:val="none"/>
        </w:rPr>
      </w:pPr>
    </w:p>
    <w:p>
      <w:pPr>
        <w:spacing w:line="400" w:lineRule="exact"/>
        <w:ind w:firstLine="3570" w:firstLineChars="1700"/>
        <w:jc w:val="left"/>
        <w:rPr>
          <w:rFonts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highlight w:val="none"/>
        </w:rPr>
        <w:t>____________________________________</w:t>
      </w:r>
    </w:p>
    <w:p>
      <w:pPr>
        <w:spacing w:line="400" w:lineRule="exact"/>
        <w:ind w:firstLine="3570" w:firstLineChars="1700"/>
        <w:jc w:val="left"/>
        <w:rPr>
          <w:rFonts w:ascii="宋体" w:hAnsi="宋体" w:cs="宋体"/>
          <w:color w:val="auto"/>
          <w:szCs w:val="21"/>
          <w:highlight w:val="none"/>
        </w:rPr>
      </w:pPr>
    </w:p>
    <w:p>
      <w:pPr>
        <w:spacing w:line="400" w:lineRule="exact"/>
        <w:ind w:firstLine="4830" w:firstLineChars="2300"/>
        <w:jc w:val="left"/>
        <w:rPr>
          <w:rFonts w:ascii="宋体" w:hAnsi="宋体" w:cs="宋体"/>
          <w:color w:val="auto"/>
          <w:szCs w:val="21"/>
          <w:highlight w:val="none"/>
        </w:rPr>
      </w:pPr>
      <w:r>
        <w:rPr>
          <w:rFonts w:hint="eastAsia" w:ascii="宋体" w:hAnsi="宋体" w:cs="宋体"/>
          <w:color w:val="auto"/>
          <w:highlight w:val="none"/>
        </w:rPr>
        <w:t>_________</w:t>
      </w:r>
      <w:r>
        <w:rPr>
          <w:rFonts w:hint="eastAsia" w:ascii="宋体" w:hAnsi="宋体" w:cs="宋体"/>
          <w:color w:val="auto"/>
          <w:szCs w:val="21"/>
          <w:highlight w:val="none"/>
        </w:rPr>
        <w:t>年</w:t>
      </w:r>
      <w:r>
        <w:rPr>
          <w:rFonts w:hint="eastAsia" w:ascii="宋体" w:hAnsi="宋体" w:cs="宋体"/>
          <w:color w:val="auto"/>
          <w:highlight w:val="none"/>
        </w:rPr>
        <w:t>_______</w:t>
      </w:r>
      <w:r>
        <w:rPr>
          <w:rFonts w:hint="eastAsia" w:ascii="宋体" w:hAnsi="宋体" w:cs="宋体"/>
          <w:color w:val="auto"/>
          <w:szCs w:val="21"/>
          <w:highlight w:val="none"/>
        </w:rPr>
        <w:t>月</w:t>
      </w:r>
      <w:r>
        <w:rPr>
          <w:rFonts w:hint="eastAsia" w:ascii="宋体" w:hAnsi="宋体" w:cs="宋体"/>
          <w:color w:val="auto"/>
          <w:highlight w:val="none"/>
        </w:rPr>
        <w:t>_______</w:t>
      </w:r>
      <w:r>
        <w:rPr>
          <w:rFonts w:hint="eastAsia" w:ascii="宋体" w:hAnsi="宋体" w:cs="宋体"/>
          <w:color w:val="auto"/>
          <w:szCs w:val="21"/>
          <w:highlight w:val="none"/>
        </w:rPr>
        <w:t>日</w:t>
      </w:r>
    </w:p>
    <w:p>
      <w:pPr>
        <w:spacing w:line="400" w:lineRule="exact"/>
        <w:jc w:val="left"/>
        <w:rPr>
          <w:rFonts w:ascii="宋体" w:hAnsi="宋体" w:eastAsia="宋体" w:cs="宋体"/>
          <w:color w:val="auto"/>
          <w:sz w:val="24"/>
          <w:highlight w:val="none"/>
        </w:rPr>
      </w:pPr>
    </w:p>
    <w:p>
      <w:pPr>
        <w:spacing w:line="400" w:lineRule="exact"/>
        <w:jc w:val="lef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注：如投标人由法定代表人亲自签署投标文件并参与相关活动，则不需要办理授权。如有被授权的代理人签署上述文件，则必须按本格式规定填报并提交授权书，否则被授权的代理人将不被认可。</w:t>
      </w:r>
    </w:p>
    <w:p>
      <w:pPr>
        <w:spacing w:line="400" w:lineRule="exact"/>
        <w:jc w:val="left"/>
        <w:rPr>
          <w:rFonts w:ascii="宋体" w:hAnsi="宋体" w:eastAsia="宋体" w:cs="宋体"/>
          <w:color w:val="auto"/>
          <w:sz w:val="24"/>
          <w:highlight w:val="none"/>
        </w:rPr>
      </w:pPr>
    </w:p>
    <w:p>
      <w:pPr>
        <w:spacing w:line="400" w:lineRule="exact"/>
        <w:jc w:val="left"/>
        <w:rPr>
          <w:rFonts w:ascii="宋体" w:hAnsi="宋体" w:eastAsia="宋体" w:cs="宋体"/>
          <w:color w:val="auto"/>
          <w:sz w:val="24"/>
          <w:highlight w:val="none"/>
        </w:rPr>
      </w:pPr>
    </w:p>
    <w:p>
      <w:pPr>
        <w:spacing w:line="400" w:lineRule="exact"/>
        <w:jc w:val="left"/>
        <w:rPr>
          <w:rFonts w:ascii="宋体" w:hAnsi="宋体" w:eastAsia="宋体" w:cs="宋体"/>
          <w:color w:val="auto"/>
          <w:sz w:val="24"/>
          <w:highlight w:val="none"/>
        </w:rPr>
      </w:pPr>
    </w:p>
    <w:p>
      <w:pPr>
        <w:pStyle w:val="5"/>
        <w:rPr>
          <w:color w:val="auto"/>
          <w:highlight w:val="none"/>
        </w:rPr>
      </w:pPr>
      <w:bookmarkStart w:id="98" w:name="_Toc15224"/>
      <w:r>
        <w:rPr>
          <w:rFonts w:hint="eastAsia"/>
          <w:color w:val="auto"/>
          <w:highlight w:val="none"/>
        </w:rPr>
        <w:t>三、近年类似项目情况表</w:t>
      </w:r>
      <w:bookmarkEnd w:id="98"/>
    </w:p>
    <w:tbl>
      <w:tblPr>
        <w:tblStyle w:val="18"/>
        <w:tblW w:w="10063" w:type="dxa"/>
        <w:tblInd w:w="-316" w:type="dxa"/>
        <w:tblLayout w:type="fixed"/>
        <w:tblCellMar>
          <w:top w:w="0" w:type="dxa"/>
          <w:left w:w="0" w:type="dxa"/>
          <w:bottom w:w="0" w:type="dxa"/>
          <w:right w:w="0" w:type="dxa"/>
        </w:tblCellMar>
      </w:tblPr>
      <w:tblGrid>
        <w:gridCol w:w="708"/>
        <w:gridCol w:w="2268"/>
        <w:gridCol w:w="1701"/>
        <w:gridCol w:w="1842"/>
        <w:gridCol w:w="1843"/>
        <w:gridCol w:w="1701"/>
      </w:tblGrid>
      <w:tr>
        <w:tblPrEx>
          <w:tblCellMar>
            <w:top w:w="0" w:type="dxa"/>
            <w:left w:w="0" w:type="dxa"/>
            <w:bottom w:w="0" w:type="dxa"/>
            <w:right w:w="0" w:type="dxa"/>
          </w:tblCellMar>
        </w:tblPrEx>
        <w:trPr>
          <w:trHeight w:val="750" w:hRule="atLeast"/>
        </w:trPr>
        <w:tc>
          <w:tcPr>
            <w:tcW w:w="708"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center"/>
              <w:rPr>
                <w:rFonts w:ascii="宋体" w:hAnsi="宋体" w:eastAsia="宋体" w:cs="宋体"/>
                <w:color w:val="auto"/>
                <w:sz w:val="22"/>
                <w:highlight w:val="none"/>
              </w:rPr>
            </w:pPr>
            <w:r>
              <w:rPr>
                <w:rFonts w:hint="eastAsia" w:ascii="宋体" w:hAnsi="宋体" w:eastAsia="宋体" w:cs="宋体"/>
                <w:color w:val="auto"/>
                <w:sz w:val="22"/>
                <w:highlight w:val="none"/>
              </w:rPr>
              <w:t>项目名称</w:t>
            </w:r>
          </w:p>
        </w:tc>
        <w:tc>
          <w:tcPr>
            <w:tcW w:w="1701" w:type="dxa"/>
            <w:tcBorders>
              <w:top w:val="single" w:color="000000" w:sz="4" w:space="0"/>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项目业主</w:t>
            </w:r>
          </w:p>
        </w:tc>
        <w:tc>
          <w:tcPr>
            <w:tcW w:w="1842"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项目类别</w:t>
            </w:r>
          </w:p>
        </w:tc>
        <w:tc>
          <w:tcPr>
            <w:tcW w:w="184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服务起/止时间</w:t>
            </w:r>
          </w:p>
        </w:tc>
        <w:tc>
          <w:tcPr>
            <w:tcW w:w="1701"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合同金额（元）</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bl>
    <w:p>
      <w:pPr>
        <w:pBdr>
          <w:top w:val="none" w:color="auto" w:sz="0" w:space="1"/>
          <w:left w:val="none" w:color="auto" w:sz="0" w:space="4"/>
          <w:bottom w:val="none" w:color="auto" w:sz="0" w:space="1"/>
          <w:right w:val="none" w:color="auto" w:sz="0" w:space="4"/>
        </w:pBdr>
        <w:spacing w:line="440" w:lineRule="exact"/>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注：1、本表可扩展；</w:t>
      </w:r>
    </w:p>
    <w:p>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2、类似业绩指2018年1月1日至今承担的类似城中村拆迁或改造或一级开发或征地拆迁或土地收储或棚户区改造或三旧改造项目的房产测绘或房屋测量或房屋调查、不动产数据整合、不动产登记等相关业绩。</w:t>
      </w:r>
    </w:p>
    <w:p>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eastAsia="宋体" w:cs="宋体"/>
          <w:bCs/>
          <w:color w:val="auto"/>
          <w:sz w:val="24"/>
          <w:highlight w:val="none"/>
        </w:rPr>
      </w:pPr>
      <w:r>
        <w:rPr>
          <w:rFonts w:hint="eastAsia" w:ascii="宋体" w:hAnsi="宋体" w:eastAsia="宋体" w:cs="宋体"/>
          <w:color w:val="auto"/>
          <w:sz w:val="24"/>
          <w:highlight w:val="none"/>
        </w:rPr>
        <w:t>3、业绩证明材料为合同协议书或中标通知书或所服务业主出具的证明材料扫描件。</w:t>
      </w:r>
    </w:p>
    <w:p>
      <w:pPr>
        <w:pBdr>
          <w:top w:val="none" w:color="auto" w:sz="0" w:space="1"/>
          <w:left w:val="none" w:color="auto" w:sz="0" w:space="4"/>
          <w:bottom w:val="none" w:color="auto" w:sz="0" w:space="1"/>
          <w:right w:val="none" w:color="auto" w:sz="0" w:space="4"/>
        </w:pBdr>
        <w:spacing w:line="440" w:lineRule="exact"/>
        <w:ind w:left="468"/>
        <w:rPr>
          <w:rFonts w:ascii="宋体" w:hAnsi="宋体" w:eastAsia="宋体" w:cs="宋体"/>
          <w:bCs/>
          <w:color w:val="auto"/>
          <w:sz w:val="24"/>
          <w:highlight w:val="none"/>
        </w:rPr>
      </w:pPr>
    </w:p>
    <w:p>
      <w:pPr>
        <w:rPr>
          <w:rFonts w:ascii="宋体" w:hAnsi="宋体" w:eastAsia="宋体" w:cs="宋体"/>
          <w:b/>
          <w:color w:val="auto"/>
          <w:sz w:val="24"/>
          <w:highlight w:val="none"/>
        </w:rPr>
      </w:pPr>
    </w:p>
    <w:p>
      <w:pPr>
        <w:rPr>
          <w:rFonts w:ascii="宋体" w:hAnsi="宋体" w:eastAsia="宋体" w:cs="宋体"/>
          <w:b/>
          <w:color w:val="auto"/>
          <w:sz w:val="24"/>
          <w:highlight w:val="none"/>
        </w:rPr>
      </w:pPr>
    </w:p>
    <w:p>
      <w:pPr>
        <w:rPr>
          <w:rFonts w:ascii="宋体" w:hAnsi="宋体" w:eastAsia="宋体" w:cs="宋体"/>
          <w:b/>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Bdr>
          <w:top w:val="none" w:color="auto" w:sz="0" w:space="1"/>
          <w:left w:val="none" w:color="auto" w:sz="0" w:space="4"/>
          <w:bottom w:val="none" w:color="auto" w:sz="0" w:space="1"/>
          <w:right w:val="none" w:color="auto" w:sz="0" w:space="4"/>
        </w:pBdr>
        <w:spacing w:line="480" w:lineRule="auto"/>
        <w:ind w:firstLine="480" w:firstLineChars="200"/>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pStyle w:val="5"/>
        <w:rPr>
          <w:color w:val="auto"/>
          <w:highlight w:val="none"/>
        </w:rPr>
      </w:pPr>
      <w:bookmarkStart w:id="99" w:name="_Toc2907"/>
      <w:r>
        <w:rPr>
          <w:rFonts w:hint="eastAsia"/>
          <w:color w:val="auto"/>
          <w:highlight w:val="none"/>
        </w:rPr>
        <w:t>四、项目负责人资格证明</w:t>
      </w:r>
      <w:bookmarkEnd w:id="99"/>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附项目负责人测绘（或测量）专业中级及以上职称证书，或注册测绘师资格证书</w:t>
      </w:r>
      <w:r>
        <w:rPr>
          <w:rFonts w:hint="eastAsia" w:ascii="宋体" w:hAnsi="宋体" w:eastAsia="宋体" w:cs="宋体"/>
          <w:color w:val="auto"/>
          <w:sz w:val="24"/>
          <w:highlight w:val="none"/>
          <w:lang w:val="en-US" w:eastAsia="zh-CN"/>
        </w:rPr>
        <w:t>及社保证明</w:t>
      </w:r>
      <w:r>
        <w:rPr>
          <w:rFonts w:hint="eastAsia" w:ascii="宋体" w:hAnsi="宋体" w:eastAsia="宋体" w:cs="宋体"/>
          <w:color w:val="auto"/>
          <w:sz w:val="24"/>
          <w:highlight w:val="none"/>
        </w:rPr>
        <w:t>扫描件。</w:t>
      </w: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jc w:val="left"/>
        <w:rPr>
          <w:rFonts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numPr>
          <w:ilvl w:val="0"/>
          <w:numId w:val="1"/>
        </w:numPr>
        <w:rPr>
          <w:color w:val="auto"/>
          <w:highlight w:val="none"/>
        </w:rPr>
      </w:pPr>
      <w:bookmarkStart w:id="100" w:name="_Toc17279"/>
      <w:r>
        <w:rPr>
          <w:rFonts w:hint="eastAsia"/>
          <w:color w:val="auto"/>
          <w:highlight w:val="none"/>
        </w:rPr>
        <w:t>财务报表</w:t>
      </w:r>
      <w:bookmarkEnd w:id="100"/>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提供近三年（2018年～2020年）经第三方审计机构审计的审计报告及财务报表（包括资产负债表、现金流量表、利润表等）。成立不满三年的企业提供成立至今经审计机构审计的审计报告及财务报表（包括资产负债表、现金流量表、利润表等）扫描件。</w:t>
      </w:r>
    </w:p>
    <w:p>
      <w:pPr>
        <w:pStyle w:val="2"/>
        <w:rPr>
          <w:color w:val="auto"/>
          <w:highlight w:val="none"/>
        </w:rPr>
      </w:pPr>
    </w:p>
    <w:p>
      <w:pPr>
        <w:rPr>
          <w:color w:val="auto"/>
          <w:highlight w:val="none"/>
        </w:rPr>
      </w:pPr>
      <w:r>
        <w:rPr>
          <w:rFonts w:hint="eastAsia"/>
          <w:color w:val="auto"/>
          <w:highlight w:val="none"/>
        </w:rPr>
        <w:br w:type="page"/>
      </w:r>
    </w:p>
    <w:p>
      <w:pPr>
        <w:pStyle w:val="5"/>
        <w:rPr>
          <w:color w:val="auto"/>
          <w:highlight w:val="none"/>
        </w:rPr>
      </w:pPr>
      <w:bookmarkStart w:id="101" w:name="_Toc20121"/>
      <w:r>
        <w:rPr>
          <w:rFonts w:hint="eastAsia"/>
          <w:color w:val="auto"/>
          <w:highlight w:val="none"/>
        </w:rPr>
        <w:t>六、遵守昆建发【2009】901号文规定的相关退出制度的承诺</w:t>
      </w:r>
      <w:bookmarkEnd w:id="101"/>
    </w:p>
    <w:p>
      <w:pPr>
        <w:spacing w:line="440" w:lineRule="exact"/>
        <w:ind w:left="720" w:hanging="720" w:hangingChars="300"/>
        <w:jc w:val="left"/>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本企业参与项目的投标，现作如下承诺：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我公司郑重承诺：在中标后严格遵守并执行“昆明市建设局关于印发《昆明市建设工程施行退出制度暂行办法》的通知”昆建发（2009）901号文、《昆明市人民政府办公厅关于印发社会投资人参与昆明市城市更新改造项目退出办法的通知》（昆政办〔2015〕35号文）的规定，若出现法律法规规定或合同约定的退出情形时，我公司将依约退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2、若我方中标，本承诺函将成为合同不可分割的一部分，与合同具有同等的法律效应。</w:t>
      </w:r>
    </w:p>
    <w:p>
      <w:pPr>
        <w:spacing w:line="500" w:lineRule="exact"/>
        <w:ind w:firstLine="480" w:firstLineChars="200"/>
        <w:rPr>
          <w:rFonts w:ascii="宋体" w:hAnsi="宋体" w:eastAsia="宋体" w:cs="宋体"/>
          <w:color w:val="auto"/>
          <w:sz w:val="24"/>
          <w:highlight w:val="none"/>
        </w:rPr>
      </w:pP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特此承诺！</w:t>
      </w:r>
    </w:p>
    <w:p>
      <w:pPr>
        <w:spacing w:line="360" w:lineRule="auto"/>
        <w:ind w:firstLine="480" w:firstLineChars="200"/>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480" w:lineRule="auto"/>
        <w:ind w:firstLine="480" w:firstLineChars="200"/>
        <w:rPr>
          <w:rFonts w:ascii="宋体" w:hAnsi="宋体" w:eastAsia="宋体" w:cs="宋体"/>
          <w:bCs/>
          <w:color w:val="auto"/>
          <w:sz w:val="24"/>
          <w:highlight w:val="none"/>
        </w:rPr>
      </w:pPr>
    </w:p>
    <w:p>
      <w:pPr>
        <w:spacing w:line="440" w:lineRule="exact"/>
        <w:ind w:left="720" w:hanging="720" w:hangingChars="300"/>
        <w:jc w:val="left"/>
        <w:rPr>
          <w:rFonts w:ascii="宋体" w:hAnsi="宋体" w:eastAsia="宋体" w:cs="宋体"/>
          <w:color w:val="auto"/>
          <w:sz w:val="24"/>
          <w:highlight w:val="none"/>
        </w:rPr>
      </w:pPr>
    </w:p>
    <w:p>
      <w:pPr>
        <w:spacing w:line="440" w:lineRule="exact"/>
        <w:ind w:left="720" w:hanging="720" w:hangingChars="300"/>
        <w:jc w:val="left"/>
        <w:rPr>
          <w:rFonts w:ascii="宋体" w:hAnsi="宋体" w:eastAsia="宋体" w:cs="宋体"/>
          <w:color w:val="auto"/>
          <w:sz w:val="24"/>
          <w:highlight w:val="none"/>
        </w:rPr>
      </w:pPr>
    </w:p>
    <w:p>
      <w:pPr>
        <w:spacing w:line="440" w:lineRule="exact"/>
        <w:ind w:left="720" w:hanging="720" w:hangingChars="300"/>
        <w:jc w:val="left"/>
        <w:rPr>
          <w:rFonts w:ascii="宋体" w:hAnsi="宋体" w:eastAsia="宋体" w:cs="宋体"/>
          <w:color w:val="auto"/>
          <w:sz w:val="24"/>
          <w:highlight w:val="none"/>
        </w:rPr>
      </w:pPr>
    </w:p>
    <w:p>
      <w:pPr>
        <w:spacing w:line="440" w:lineRule="exact"/>
        <w:ind w:left="720" w:hanging="720" w:hangingChars="300"/>
        <w:jc w:val="left"/>
        <w:rPr>
          <w:rFonts w:ascii="宋体" w:hAnsi="宋体" w:eastAsia="宋体" w:cs="宋体"/>
          <w:color w:val="auto"/>
          <w:sz w:val="24"/>
          <w:highlight w:val="none"/>
        </w:rPr>
      </w:pPr>
    </w:p>
    <w:p>
      <w:pPr>
        <w:spacing w:line="440" w:lineRule="exact"/>
        <w:ind w:left="720" w:hanging="720" w:hangingChars="300"/>
        <w:jc w:val="left"/>
        <w:rPr>
          <w:rFonts w:ascii="宋体" w:hAnsi="宋体" w:eastAsia="宋体" w:cs="宋体"/>
          <w:color w:val="auto"/>
          <w:sz w:val="24"/>
          <w:highlight w:val="none"/>
        </w:rPr>
      </w:pPr>
    </w:p>
    <w:p>
      <w:pPr>
        <w:spacing w:line="440" w:lineRule="exact"/>
        <w:ind w:left="720" w:hanging="720" w:hangingChars="300"/>
        <w:jc w:val="left"/>
        <w:rPr>
          <w:rFonts w:ascii="宋体" w:hAnsi="宋体" w:eastAsia="宋体" w:cs="宋体"/>
          <w:color w:val="auto"/>
          <w:sz w:val="24"/>
          <w:highlight w:val="none"/>
        </w:rPr>
      </w:pPr>
    </w:p>
    <w:p>
      <w:pPr>
        <w:spacing w:line="440" w:lineRule="exact"/>
        <w:ind w:left="720" w:hanging="720" w:hangingChars="300"/>
        <w:jc w:val="left"/>
        <w:rPr>
          <w:rFonts w:ascii="宋体" w:hAnsi="宋体" w:eastAsia="宋体" w:cs="宋体"/>
          <w:color w:val="auto"/>
          <w:sz w:val="24"/>
          <w:highlight w:val="none"/>
        </w:rPr>
      </w:pPr>
    </w:p>
    <w:p>
      <w:pPr>
        <w:jc w:val="left"/>
        <w:rPr>
          <w:rFonts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rPr>
          <w:color w:val="auto"/>
          <w:highlight w:val="none"/>
        </w:rPr>
      </w:pPr>
      <w:bookmarkStart w:id="102" w:name="_Toc20970"/>
      <w:r>
        <w:rPr>
          <w:rFonts w:hint="eastAsia"/>
          <w:color w:val="auto"/>
          <w:highlight w:val="none"/>
        </w:rPr>
        <w:t>七、企业信誉</w:t>
      </w:r>
      <w:bookmarkEnd w:id="102"/>
    </w:p>
    <w:p>
      <w:pPr>
        <w:spacing w:line="440" w:lineRule="exact"/>
        <w:jc w:val="left"/>
        <w:rPr>
          <w:rFonts w:ascii="宋体" w:hAnsi="宋体" w:eastAsia="宋体" w:cs="宋体"/>
          <w:color w:val="auto"/>
          <w:sz w:val="24"/>
          <w:highlight w:val="none"/>
        </w:rPr>
      </w:pPr>
    </w:p>
    <w:p>
      <w:pPr>
        <w:pStyle w:val="7"/>
        <w:ind w:firstLine="482"/>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7.1信用承诺</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本企业参与项目的投标，现作如下承诺：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近三年（2019年1月1日至今）无因投标人违约或不恰当履约引起的合同中止、纠纷、争议、仲裁和诉讼记录被项目所在地建筑市场监管公共服务平台列入黑名单；投标人在经营活动中没有重大违法记录，投标人没有处于被责令停业，无因企业不良行为记录被项目所在地行政主管部门暂停或取消投标资格，无财产被接管、冻结、破产等状态，没有被项目所在地政府或国家部委禁止市场准入等情形。</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如提供虚假承诺，甘愿接受公共资源交易监督管理部门、纪检监察机关或司法机关调查处理。给招标人造成损失的，依法承担赔偿责任。</w:t>
      </w:r>
    </w:p>
    <w:p>
      <w:pPr>
        <w:spacing w:line="480" w:lineRule="auto"/>
        <w:ind w:firstLine="480" w:firstLineChars="200"/>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7.2、</w:t>
      </w:r>
      <w:r>
        <w:rPr>
          <w:rFonts w:hint="eastAsia" w:ascii="宋体" w:hAnsi="宋体" w:cs="宋体"/>
          <w:color w:val="auto"/>
          <w:kern w:val="2"/>
          <w:sz w:val="24"/>
          <w:szCs w:val="24"/>
          <w:highlight w:val="none"/>
        </w:rPr>
        <w:t>“信用中国”（www.creditchina.gov.cn）、“信用中国（云南）”（http://www.yncredit.gov.cn/）、“信用中国（云南昆明）”（http://credit.km.gov.cn/）</w:t>
      </w:r>
      <w:r>
        <w:rPr>
          <w:rFonts w:hint="eastAsia" w:ascii="宋体" w:hAnsi="宋体" w:eastAsia="宋体" w:cs="宋体"/>
          <w:color w:val="auto"/>
          <w:sz w:val="24"/>
          <w:highlight w:val="none"/>
        </w:rPr>
        <w:t>失信被执行人网站查询截图；</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7.3、“国家企业信用信息公示系统（网址：http://www.gsxt.gov.cn/index.html）”严重违法失信企业名单（黑名单） 网站查询截图；</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7.4、“云南省政府采购网（网址：http://www.yngp.com/）”政府采购严重违法失信行为信息记录网站查询截图。</w:t>
      </w:r>
    </w:p>
    <w:p>
      <w:pPr>
        <w:pStyle w:val="5"/>
        <w:rPr>
          <w:color w:val="auto"/>
          <w:highlight w:val="none"/>
        </w:rPr>
      </w:pPr>
      <w:r>
        <w:rPr>
          <w:rFonts w:hint="eastAsia" w:ascii="宋体" w:hAnsi="宋体" w:cs="宋体"/>
          <w:color w:val="auto"/>
          <w:sz w:val="24"/>
          <w:szCs w:val="24"/>
          <w:highlight w:val="none"/>
        </w:rPr>
        <w:br w:type="page"/>
      </w:r>
      <w:bookmarkStart w:id="103" w:name="_Toc23692"/>
      <w:r>
        <w:rPr>
          <w:rFonts w:hint="eastAsia"/>
          <w:color w:val="auto"/>
          <w:highlight w:val="none"/>
        </w:rPr>
        <w:t>八、不得存在控股、管理等情形承诺书</w:t>
      </w:r>
      <w:bookmarkEnd w:id="103"/>
    </w:p>
    <w:p>
      <w:pPr>
        <w:jc w:val="center"/>
        <w:rPr>
          <w:rFonts w:ascii="宋体" w:hAnsi="宋体" w:eastAsia="宋体" w:cs="宋体"/>
          <w:color w:val="auto"/>
          <w:sz w:val="24"/>
          <w:highlight w:val="none"/>
          <w:u w:val="single"/>
        </w:rPr>
      </w:pP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本投标人自愿参加 ________________________（项目名称）的投标，</w:t>
      </w:r>
      <w:r>
        <w:rPr>
          <w:rFonts w:hint="eastAsia" w:ascii="宋体" w:hAnsi="宋体" w:eastAsia="宋体" w:cs="宋体"/>
          <w:color w:val="auto"/>
          <w:kern w:val="0"/>
          <w:sz w:val="24"/>
          <w:highlight w:val="none"/>
        </w:rPr>
        <w:t>我方郑重承诺，我方此次参加</w:t>
      </w:r>
      <w:r>
        <w:rPr>
          <w:rFonts w:hint="eastAsia" w:ascii="宋体" w:hAnsi="宋体" w:eastAsia="宋体" w:cs="宋体"/>
          <w:color w:val="auto"/>
          <w:sz w:val="24"/>
          <w:highlight w:val="none"/>
        </w:rPr>
        <w:t>________________________（项目名称）</w:t>
      </w:r>
      <w:r>
        <w:rPr>
          <w:rFonts w:hint="eastAsia" w:ascii="宋体" w:hAnsi="宋体" w:eastAsia="宋体" w:cs="宋体"/>
          <w:color w:val="auto"/>
          <w:kern w:val="0"/>
          <w:sz w:val="24"/>
          <w:highlight w:val="none"/>
        </w:rPr>
        <w:t>的投标，与参加本次项目</w:t>
      </w:r>
      <w:r>
        <w:rPr>
          <w:rFonts w:hint="eastAsia" w:ascii="宋体" w:hAnsi="宋体" w:eastAsia="宋体" w:cs="宋体"/>
          <w:color w:val="auto"/>
          <w:sz w:val="24"/>
          <w:highlight w:val="none"/>
        </w:rPr>
        <w:t>（包括所有标段）</w:t>
      </w:r>
      <w:r>
        <w:rPr>
          <w:rFonts w:hint="eastAsia" w:ascii="宋体" w:hAnsi="宋体" w:eastAsia="宋体" w:cs="宋体"/>
          <w:color w:val="auto"/>
          <w:kern w:val="0"/>
          <w:sz w:val="24"/>
          <w:highlight w:val="none"/>
        </w:rPr>
        <w:t>其他投标人不存在单位负责人为同一人或者控股、管理关系。如有虚假或隐瞒，愿意承担一切法律后果。</w:t>
      </w:r>
      <w:r>
        <w:rPr>
          <w:rFonts w:hint="eastAsia" w:ascii="宋体" w:hAnsi="宋体" w:eastAsia="宋体" w:cs="宋体"/>
          <w:color w:val="auto"/>
          <w:sz w:val="24"/>
          <w:highlight w:val="none"/>
        </w:rPr>
        <w:t>给招标人造成损失的，依法承担赔偿责任。</w:t>
      </w:r>
    </w:p>
    <w:p>
      <w:pPr>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pPr>
        <w:rPr>
          <w:color w:val="auto"/>
          <w:highlight w:val="none"/>
        </w:rPr>
      </w:pPr>
    </w:p>
    <w:p>
      <w:pPr>
        <w:spacing w:line="480" w:lineRule="auto"/>
        <w:ind w:firstLine="480" w:firstLineChars="200"/>
        <w:jc w:val="left"/>
        <w:rPr>
          <w:rFonts w:ascii="宋体" w:hAnsi="宋体" w:eastAsia="宋体" w:cs="宋体"/>
          <w:bCs/>
          <w:color w:val="auto"/>
          <w:sz w:val="24"/>
          <w:highlight w:val="none"/>
        </w:rPr>
      </w:pPr>
    </w:p>
    <w:p>
      <w:pPr>
        <w:spacing w:line="480" w:lineRule="auto"/>
        <w:ind w:firstLine="480" w:firstLineChars="200"/>
        <w:jc w:val="left"/>
        <w:rPr>
          <w:rFonts w:ascii="宋体" w:hAnsi="宋体" w:eastAsia="宋体" w:cs="宋体"/>
          <w:bCs/>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bookmarkStart w:id="104" w:name="_Toc11861"/>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480" w:lineRule="auto"/>
        <w:ind w:firstLine="480" w:firstLineChars="200"/>
        <w:rPr>
          <w:rFonts w:ascii="宋体" w:hAnsi="宋体" w:eastAsia="宋体" w:cs="宋体"/>
          <w:bCs/>
          <w:color w:val="auto"/>
          <w:sz w:val="24"/>
          <w:highlight w:val="none"/>
        </w:rPr>
      </w:pPr>
    </w:p>
    <w:p>
      <w:pPr>
        <w:rPr>
          <w:rFonts w:ascii="宋体" w:hAnsi="宋体" w:eastAsia="宋体" w:cs="宋体"/>
          <w:bCs/>
          <w:color w:val="auto"/>
          <w:sz w:val="24"/>
          <w:highlight w:val="none"/>
        </w:rPr>
      </w:pPr>
      <w:r>
        <w:rPr>
          <w:rFonts w:hint="eastAsia" w:ascii="宋体" w:hAnsi="宋体" w:eastAsia="宋体" w:cs="宋体"/>
          <w:bCs/>
          <w:color w:val="auto"/>
          <w:sz w:val="24"/>
          <w:highlight w:val="none"/>
        </w:rPr>
        <w:br w:type="page"/>
      </w:r>
    </w:p>
    <w:p>
      <w:pPr>
        <w:pStyle w:val="5"/>
        <w:rPr>
          <w:color w:val="auto"/>
          <w:highlight w:val="none"/>
        </w:rPr>
      </w:pPr>
      <w:bookmarkStart w:id="129" w:name="_GoBack"/>
      <w:bookmarkEnd w:id="129"/>
      <w:bookmarkStart w:id="105" w:name="_Toc14227"/>
      <w:r>
        <w:rPr>
          <w:rFonts w:hint="eastAsia"/>
          <w:color w:val="auto"/>
          <w:highlight w:val="none"/>
        </w:rPr>
        <w:t>九、无关联承诺书</w:t>
      </w:r>
      <w:bookmarkEnd w:id="105"/>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本企业参与__________________________项目的投标，现作如下承诺：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1、我公司参与此次投标活动，已完全知晓本项目招标公告中投标人资格要求及招标文件规定的所有内容。在此声明，我公司不是“昆明市官渡区太和街道和平路前卫营片区三旧连片改造项目房屋调查测绘服务”</w:t>
      </w:r>
      <w:r>
        <w:rPr>
          <w:rFonts w:hint="eastAsia" w:ascii="宋体" w:hAnsi="宋体" w:eastAsia="宋体" w:cs="宋体"/>
          <w:color w:val="auto"/>
          <w:sz w:val="24"/>
          <w:highlight w:val="none"/>
          <w:lang w:eastAsia="zh-CN"/>
        </w:rPr>
        <w:t>一、二、三标段</w:t>
      </w:r>
      <w:r>
        <w:rPr>
          <w:rFonts w:hint="eastAsia" w:ascii="宋体" w:hAnsi="宋体" w:eastAsia="宋体" w:cs="宋体"/>
          <w:color w:val="auto"/>
          <w:sz w:val="24"/>
          <w:highlight w:val="none"/>
        </w:rPr>
        <w:t>项目中的中标人。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2、我公司与“昆明市官渡区太和街道和平路前卫营片区三旧连片改造项目房屋调查测绘服务”</w:t>
      </w:r>
      <w:r>
        <w:rPr>
          <w:rFonts w:hint="eastAsia" w:ascii="宋体" w:hAnsi="宋体" w:eastAsia="宋体" w:cs="宋体"/>
          <w:color w:val="auto"/>
          <w:sz w:val="24"/>
          <w:highlight w:val="none"/>
          <w:lang w:eastAsia="zh-CN"/>
        </w:rPr>
        <w:t>一、二、三标段</w:t>
      </w:r>
      <w:r>
        <w:rPr>
          <w:rFonts w:hint="eastAsia" w:ascii="宋体" w:hAnsi="宋体" w:eastAsia="宋体" w:cs="宋体"/>
          <w:color w:val="auto"/>
          <w:sz w:val="24"/>
          <w:highlight w:val="none"/>
        </w:rPr>
        <w:t>项目中的中标人无任何控股、管理及其他利益关系。</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我公司拟派项目团队人员</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昆明市官渡区太和街道和平路前卫营片区三旧连片改造项目房屋调查测绘服务”</w:t>
      </w:r>
      <w:r>
        <w:rPr>
          <w:rFonts w:hint="eastAsia" w:ascii="宋体" w:hAnsi="宋体" w:eastAsia="宋体" w:cs="宋体"/>
          <w:color w:val="auto"/>
          <w:sz w:val="24"/>
          <w:highlight w:val="none"/>
          <w:lang w:eastAsia="zh-CN"/>
        </w:rPr>
        <w:t>一、二、三标段</w:t>
      </w:r>
      <w:r>
        <w:rPr>
          <w:rFonts w:hint="eastAsia" w:ascii="宋体" w:hAnsi="宋体" w:eastAsia="宋体" w:cs="宋体"/>
          <w:color w:val="auto"/>
          <w:sz w:val="24"/>
          <w:highlight w:val="none"/>
          <w:lang w:val="en-US" w:eastAsia="zh-CN"/>
        </w:rPr>
        <w:t>中标项目</w:t>
      </w:r>
      <w:r>
        <w:rPr>
          <w:rFonts w:hint="eastAsia" w:ascii="宋体" w:hAnsi="宋体" w:eastAsia="宋体" w:cs="宋体"/>
          <w:color w:val="auto"/>
          <w:sz w:val="24"/>
          <w:highlight w:val="none"/>
        </w:rPr>
        <w:t>团队人员</w:t>
      </w:r>
      <w:r>
        <w:rPr>
          <w:rFonts w:hint="eastAsia" w:ascii="宋体" w:hAnsi="宋体" w:eastAsia="宋体" w:cs="宋体"/>
          <w:color w:val="auto"/>
          <w:sz w:val="24"/>
          <w:highlight w:val="none"/>
          <w:lang w:val="en-US" w:eastAsia="zh-CN"/>
        </w:rPr>
        <w:t>无任何关联及利益关系，不存在有相同人员在不同标段项目工作情形，不存在围标串标行为。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如出现违法、违规或</w:t>
      </w:r>
      <w:r>
        <w:rPr>
          <w:rFonts w:hint="eastAsia" w:ascii="宋体" w:hAnsi="宋体" w:eastAsia="宋体" w:cs="宋体"/>
          <w:color w:val="auto"/>
          <w:sz w:val="24"/>
          <w:highlight w:val="none"/>
          <w:lang w:val="en-US" w:eastAsia="zh-CN"/>
        </w:rPr>
        <w:t>上述</w:t>
      </w:r>
      <w:r>
        <w:rPr>
          <w:rFonts w:hint="eastAsia" w:ascii="宋体" w:hAnsi="宋体" w:eastAsia="宋体" w:cs="宋体"/>
          <w:color w:val="auto"/>
          <w:sz w:val="24"/>
          <w:highlight w:val="none"/>
        </w:rPr>
        <w:t>不良行为</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取消中标人资格，</w:t>
      </w:r>
      <w:r>
        <w:rPr>
          <w:rFonts w:hint="eastAsia" w:ascii="宋体" w:hAnsi="宋体" w:eastAsia="宋体" w:cs="宋体"/>
          <w:color w:val="auto"/>
          <w:sz w:val="24"/>
          <w:highlight w:val="none"/>
        </w:rPr>
        <w:t>甘愿接受公共资源交易监督管理部门、纪检监察机关或司法机关调查处理。违法、违规或</w:t>
      </w:r>
      <w:r>
        <w:rPr>
          <w:rFonts w:hint="eastAsia" w:ascii="宋体" w:hAnsi="宋体" w:eastAsia="宋体" w:cs="宋体"/>
          <w:color w:val="auto"/>
          <w:sz w:val="24"/>
          <w:highlight w:val="none"/>
          <w:lang w:val="en-US" w:eastAsia="zh-CN"/>
        </w:rPr>
        <w:t>上述</w:t>
      </w:r>
      <w:r>
        <w:rPr>
          <w:rFonts w:hint="eastAsia" w:ascii="宋体" w:hAnsi="宋体" w:eastAsia="宋体" w:cs="宋体"/>
          <w:color w:val="auto"/>
          <w:sz w:val="24"/>
          <w:highlight w:val="none"/>
        </w:rPr>
        <w:t>不良行为事实成立的，本投标人不再要求退还投标时所提交的投标保证金，并承担相关责任。给招标人造成损失的，依法承担赔偿责任。</w:t>
      </w:r>
    </w:p>
    <w:p>
      <w:pPr>
        <w:spacing w:line="360" w:lineRule="auto"/>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widowControl/>
        <w:jc w:val="left"/>
        <w:rPr>
          <w:rFonts w:eastAsia="宋体"/>
          <w:b/>
          <w:bCs/>
          <w:color w:val="auto"/>
          <w:sz w:val="28"/>
          <w:szCs w:val="32"/>
          <w:highlight w:val="none"/>
        </w:rPr>
      </w:pPr>
    </w:p>
    <w:p>
      <w:pPr>
        <w:widowControl/>
        <w:jc w:val="left"/>
        <w:rPr>
          <w:rFonts w:eastAsia="宋体"/>
          <w:b/>
          <w:bCs/>
          <w:color w:val="auto"/>
          <w:sz w:val="28"/>
          <w:szCs w:val="32"/>
          <w:highlight w:val="none"/>
        </w:rPr>
      </w:pPr>
      <w:r>
        <w:rPr>
          <w:color w:val="auto"/>
          <w:highlight w:val="none"/>
        </w:rPr>
        <w:br w:type="page"/>
      </w:r>
    </w:p>
    <w:p>
      <w:pPr>
        <w:pStyle w:val="5"/>
        <w:rPr>
          <w:color w:val="auto"/>
          <w:highlight w:val="none"/>
        </w:rPr>
      </w:pPr>
      <w:bookmarkStart w:id="106" w:name="_Toc19368"/>
      <w:r>
        <w:rPr>
          <w:rFonts w:hint="eastAsia"/>
          <w:color w:val="auto"/>
          <w:highlight w:val="none"/>
        </w:rPr>
        <w:t>十、投标保证金缴纳凭证</w:t>
      </w:r>
      <w:bookmarkEnd w:id="104"/>
      <w:bookmarkEnd w:id="106"/>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______________________________（招标人名称）：</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本投标人自愿参加 ________________________（项目名称）的投标，并按招标文件要求缴纳投标保证金，金额为人民币（大写：____________元，￥______）。</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本投标人承诺所缴纳投标保证金是从本公司基本账户缴纳的，若有虚假，由此引起的一切责任均由我公司承担。</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附件：</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(1)投标保证金缴纳凭证扫描件</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(2)基本存款账户开户许可证扫描件</w:t>
      </w: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480" w:lineRule="auto"/>
        <w:ind w:firstLine="480" w:firstLineChars="200"/>
        <w:rPr>
          <w:rFonts w:ascii="宋体" w:hAnsi="宋体" w:eastAsia="宋体" w:cs="宋体"/>
          <w:bCs/>
          <w:color w:val="auto"/>
          <w:sz w:val="24"/>
          <w:highlight w:val="none"/>
        </w:rPr>
      </w:pPr>
    </w:p>
    <w:p>
      <w:pPr>
        <w:spacing w:line="360" w:lineRule="auto"/>
        <w:ind w:firstLine="3496" w:firstLineChars="1457"/>
        <w:jc w:val="right"/>
        <w:rPr>
          <w:rFonts w:ascii="宋体" w:hAnsi="宋体" w:eastAsia="宋体" w:cs="宋体"/>
          <w:color w:val="auto"/>
          <w:sz w:val="24"/>
          <w:highlight w:val="none"/>
        </w:rPr>
      </w:pPr>
    </w:p>
    <w:p>
      <w:pPr>
        <w:spacing w:line="360" w:lineRule="auto"/>
        <w:ind w:right="210"/>
        <w:jc w:val="center"/>
        <w:rPr>
          <w:rFonts w:ascii="宋体" w:hAnsi="宋体" w:eastAsia="宋体" w:cs="宋体"/>
          <w:color w:val="auto"/>
          <w:sz w:val="24"/>
          <w:highlight w:val="none"/>
        </w:rPr>
      </w:pPr>
    </w:p>
    <w:p>
      <w:pPr>
        <w:pStyle w:val="5"/>
        <w:rPr>
          <w:rFonts w:ascii="宋体" w:hAnsi="宋体" w:cs="宋体"/>
          <w:color w:val="auto"/>
          <w:sz w:val="24"/>
          <w:szCs w:val="24"/>
          <w:highlight w:val="none"/>
        </w:rPr>
      </w:pPr>
      <w:r>
        <w:rPr>
          <w:rFonts w:hint="eastAsia" w:ascii="宋体" w:hAnsi="宋体" w:cs="宋体"/>
          <w:color w:val="auto"/>
          <w:sz w:val="24"/>
          <w:szCs w:val="24"/>
          <w:highlight w:val="none"/>
        </w:rPr>
        <w:br w:type="page"/>
      </w:r>
      <w:bookmarkStart w:id="107" w:name="_Toc7707"/>
      <w:bookmarkStart w:id="108" w:name="_Toc21527"/>
      <w:r>
        <w:rPr>
          <w:rFonts w:hint="eastAsia"/>
          <w:color w:val="auto"/>
          <w:highlight w:val="none"/>
        </w:rPr>
        <w:t>十一、投标人承诺书</w:t>
      </w:r>
      <w:bookmarkEnd w:id="107"/>
      <w:bookmarkEnd w:id="108"/>
    </w:p>
    <w:p>
      <w:pPr>
        <w:jc w:val="center"/>
        <w:rPr>
          <w:rFonts w:ascii="宋体" w:hAnsi="宋体" w:eastAsia="宋体" w:cs="宋体"/>
          <w:color w:val="auto"/>
          <w:sz w:val="24"/>
          <w:highlight w:val="none"/>
          <w:u w:val="single"/>
        </w:rPr>
      </w:pP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本企业参与__________________________项目的投标，现作如下承诺：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1、我公司参与此次投标活动所提交的所有资料都是合法、真实、有效的。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2、不与其他投标人串通投标、围标，依法、依规公平竞争，不损害招标人或其他投标人的合法权益。</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3、不转让、出租、出借资质证书、人员岗位证书，不以法律、法规禁止的方式投标。</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4、不与招标人或招标代理机构串通投标，不损害国家利益、社会公共利益或其他当事人的合法权益。</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5、不向招标人、评标委员会成员、监督人员行贿。</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6、不扰乱昆明市公共资源交易活动正常秩序。</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7、不进行虚假恶意投诉。</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8、因违反法律、法规或相关规定被查处的，不干预案件查处。</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如出现违法、违规或不良行为，甘愿接受公共资源交易监督管理部门、纪检监察机关或司法机关调查处理。违法、违规或不良行为事实成立的，本投标人不再要求退还投标时所提交的投标保证金，并承担相关责任。给招标人造成损失的，依法承担赔偿责任。</w:t>
      </w:r>
    </w:p>
    <w:p>
      <w:pPr>
        <w:spacing w:line="360" w:lineRule="auto"/>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480" w:lineRule="auto"/>
        <w:ind w:firstLine="480" w:firstLineChars="200"/>
        <w:rPr>
          <w:rFonts w:ascii="宋体" w:hAnsi="宋体" w:eastAsia="宋体" w:cs="宋体"/>
          <w:bCs/>
          <w:color w:val="auto"/>
          <w:sz w:val="24"/>
          <w:highlight w:val="none"/>
        </w:rPr>
      </w:pPr>
    </w:p>
    <w:p>
      <w:pPr>
        <w:spacing w:line="360" w:lineRule="auto"/>
        <w:ind w:firstLine="480" w:firstLineChars="200"/>
        <w:rPr>
          <w:rFonts w:ascii="宋体" w:hAnsi="宋体" w:eastAsia="宋体" w:cs="宋体"/>
          <w:color w:val="auto"/>
          <w:sz w:val="24"/>
          <w:highlight w:val="none"/>
        </w:rPr>
      </w:pPr>
    </w:p>
    <w:p>
      <w:pPr>
        <w:jc w:val="center"/>
        <w:rPr>
          <w:rFonts w:ascii="宋体" w:hAnsi="宋体" w:eastAsia="宋体" w:cs="宋体"/>
          <w:color w:val="auto"/>
          <w:sz w:val="24"/>
          <w:highlight w:val="none"/>
        </w:rPr>
      </w:pPr>
    </w:p>
    <w:p>
      <w:pPr>
        <w:jc w:val="center"/>
        <w:rPr>
          <w:rFonts w:ascii="宋体" w:hAnsi="宋体" w:eastAsia="宋体" w:cs="宋体"/>
          <w:color w:val="auto"/>
          <w:sz w:val="24"/>
          <w:highlight w:val="none"/>
        </w:rPr>
      </w:pPr>
    </w:p>
    <w:p>
      <w:pPr>
        <w:jc w:val="center"/>
        <w:rPr>
          <w:rFonts w:ascii="宋体" w:hAnsi="宋体" w:eastAsia="宋体" w:cs="宋体"/>
          <w:color w:val="auto"/>
          <w:sz w:val="24"/>
          <w:highlight w:val="none"/>
        </w:rPr>
      </w:pPr>
    </w:p>
    <w:p>
      <w:pPr>
        <w:pStyle w:val="5"/>
        <w:rPr>
          <w:rFonts w:ascii="宋体" w:hAnsi="宋体" w:cs="宋体"/>
          <w:color w:val="auto"/>
          <w:sz w:val="24"/>
          <w:szCs w:val="24"/>
          <w:highlight w:val="none"/>
        </w:rPr>
      </w:pPr>
      <w:r>
        <w:rPr>
          <w:rFonts w:hint="eastAsia" w:ascii="宋体" w:hAnsi="宋体" w:cs="宋体"/>
          <w:color w:val="auto"/>
          <w:sz w:val="24"/>
          <w:szCs w:val="24"/>
          <w:highlight w:val="none"/>
        </w:rPr>
        <w:br w:type="page"/>
      </w:r>
      <w:bookmarkStart w:id="109" w:name="_Toc361404406"/>
      <w:bookmarkStart w:id="110" w:name="_Toc419019881"/>
      <w:bookmarkStart w:id="111" w:name="_Toc16412"/>
      <w:bookmarkStart w:id="112" w:name="_Toc31185"/>
      <w:r>
        <w:rPr>
          <w:rFonts w:hint="eastAsia"/>
          <w:color w:val="auto"/>
          <w:highlight w:val="none"/>
        </w:rPr>
        <w:t>十二、</w:t>
      </w:r>
      <w:bookmarkEnd w:id="109"/>
      <w:bookmarkEnd w:id="110"/>
      <w:r>
        <w:rPr>
          <w:rFonts w:hint="eastAsia"/>
          <w:color w:val="auto"/>
          <w:highlight w:val="none"/>
        </w:rPr>
        <w:t>其他材料</w:t>
      </w:r>
      <w:bookmarkEnd w:id="111"/>
      <w:bookmarkEnd w:id="112"/>
    </w:p>
    <w:p>
      <w:pPr>
        <w:autoSpaceDE w:val="0"/>
        <w:autoSpaceDN w:val="0"/>
        <w:adjustRightInd w:val="0"/>
        <w:spacing w:line="420" w:lineRule="exact"/>
        <w:jc w:val="center"/>
        <w:rPr>
          <w:rFonts w:ascii="宋体" w:hAnsi="宋体" w:eastAsia="宋体" w:cs="宋体"/>
          <w:color w:val="auto"/>
          <w:kern w:val="0"/>
          <w:sz w:val="24"/>
          <w:highlight w:val="none"/>
        </w:rPr>
      </w:pPr>
    </w:p>
    <w:p>
      <w:pPr>
        <w:autoSpaceDE w:val="0"/>
        <w:autoSpaceDN w:val="0"/>
        <w:adjustRightInd w:val="0"/>
        <w:spacing w:line="420" w:lineRule="exact"/>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（一）</w:t>
      </w:r>
      <w:bookmarkStart w:id="113" w:name="_Toc456879387"/>
      <w:r>
        <w:rPr>
          <w:rFonts w:hint="eastAsia" w:ascii="宋体" w:hAnsi="宋体" w:eastAsia="宋体" w:cs="宋体"/>
          <w:color w:val="auto"/>
          <w:kern w:val="0"/>
          <w:sz w:val="24"/>
          <w:highlight w:val="none"/>
        </w:rPr>
        <w:t>承诺书</w:t>
      </w:r>
      <w:bookmarkEnd w:id="113"/>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本企业参与__________________________项目的投标，现作如下承诺：</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1、在项目实施过程中，招标人可能会根据实际情况对整个项目进行分步实施、部分取消或变更项目实施范围，最终以招标人确认的实施范围为准。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2、合同履约期间若因政府政策改变等不可控因素造成无法履行，已签订的合同自动失效，招标人不承担任何违约责任。</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3、税金：本项目投标报价为含税价，投标阶段税率按国家现行规定执行，招标人有权根据合同履行时国家颁布的有效的税率对税额进行调整，中标人按国家规定向招标人提供发票，相关税金由中标人承担。</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4、其他承诺：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特此承诺。</w:t>
      </w:r>
    </w:p>
    <w:p>
      <w:pPr>
        <w:spacing w:line="400" w:lineRule="exact"/>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480" w:lineRule="auto"/>
        <w:ind w:firstLine="480" w:firstLineChars="200"/>
        <w:rPr>
          <w:rFonts w:ascii="宋体" w:hAnsi="宋体" w:eastAsia="宋体" w:cs="宋体"/>
          <w:bCs/>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jc w:val="center"/>
        <w:rPr>
          <w:rFonts w:ascii="宋体" w:hAnsi="宋体" w:eastAsia="宋体" w:cs="宋体"/>
          <w:color w:val="auto"/>
          <w:sz w:val="24"/>
          <w:highlight w:val="none"/>
        </w:rPr>
      </w:pPr>
    </w:p>
    <w:p>
      <w:pPr>
        <w:autoSpaceDE w:val="0"/>
        <w:autoSpaceDN w:val="0"/>
        <w:adjustRightInd w:val="0"/>
        <w:spacing w:line="420" w:lineRule="exact"/>
        <w:jc w:val="center"/>
        <w:rPr>
          <w:rFonts w:ascii="宋体" w:hAnsi="宋体" w:eastAsia="宋体" w:cs="宋体"/>
          <w:color w:val="auto"/>
          <w:kern w:val="0"/>
          <w:sz w:val="24"/>
          <w:highlight w:val="none"/>
        </w:rPr>
      </w:pPr>
      <w:bookmarkStart w:id="114" w:name="_Toc300606868"/>
      <w:bookmarkStart w:id="115" w:name="_Toc366592764"/>
      <w:bookmarkStart w:id="116" w:name="_Toc368232437"/>
      <w:bookmarkStart w:id="117" w:name="_Toc220552320"/>
      <w:r>
        <w:rPr>
          <w:rFonts w:hint="eastAsia" w:ascii="宋体" w:hAnsi="宋体" w:eastAsia="宋体" w:cs="宋体"/>
          <w:color w:val="auto"/>
          <w:kern w:val="0"/>
          <w:sz w:val="24"/>
          <w:highlight w:val="none"/>
        </w:rPr>
        <w:t>（二）</w:t>
      </w:r>
      <w:bookmarkEnd w:id="114"/>
      <w:bookmarkEnd w:id="115"/>
      <w:bookmarkEnd w:id="116"/>
      <w:bookmarkEnd w:id="117"/>
      <w:r>
        <w:rPr>
          <w:rFonts w:hint="eastAsia" w:ascii="宋体" w:hAnsi="宋体" w:eastAsia="宋体" w:cs="宋体"/>
          <w:color w:val="auto"/>
          <w:kern w:val="0"/>
          <w:sz w:val="24"/>
          <w:highlight w:val="none"/>
        </w:rPr>
        <w:t>其它资料</w:t>
      </w:r>
    </w:p>
    <w:p>
      <w:pPr>
        <w:rPr>
          <w:rFonts w:ascii="宋体" w:hAnsi="宋体" w:eastAsia="宋体" w:cs="宋体"/>
          <w:color w:val="auto"/>
          <w:sz w:val="24"/>
          <w:highlight w:val="none"/>
        </w:rPr>
      </w:pPr>
    </w:p>
    <w:p>
      <w:pPr>
        <w:autoSpaceDE w:val="0"/>
        <w:autoSpaceDN w:val="0"/>
        <w:adjustRightInd w:val="0"/>
        <w:spacing w:line="420" w:lineRule="exact"/>
        <w:jc w:val="center"/>
        <w:rPr>
          <w:rFonts w:ascii="宋体" w:hAnsi="宋体" w:eastAsia="宋体" w:cs="宋体"/>
          <w:color w:val="auto"/>
          <w:kern w:val="0"/>
          <w:sz w:val="24"/>
          <w:highlight w:val="none"/>
        </w:rPr>
      </w:pPr>
    </w:p>
    <w:p>
      <w:pPr>
        <w:pStyle w:val="4"/>
        <w:spacing w:before="156" w:after="156"/>
        <w:rPr>
          <w:color w:val="auto"/>
          <w:highlight w:val="none"/>
        </w:rPr>
      </w:pPr>
      <w:bookmarkStart w:id="118" w:name="_Toc32191"/>
      <w:r>
        <w:rPr>
          <w:rFonts w:hint="eastAsia"/>
          <w:color w:val="auto"/>
          <w:highlight w:val="none"/>
        </w:rPr>
        <w:t>商务部分</w:t>
      </w:r>
      <w:bookmarkEnd w:id="118"/>
    </w:p>
    <w:p>
      <w:pPr>
        <w:pStyle w:val="5"/>
        <w:rPr>
          <w:color w:val="auto"/>
          <w:highlight w:val="none"/>
        </w:rPr>
      </w:pPr>
      <w:bookmarkStart w:id="119" w:name="_Toc19151"/>
      <w:r>
        <w:rPr>
          <w:rFonts w:hint="eastAsia"/>
          <w:color w:val="auto"/>
          <w:highlight w:val="none"/>
        </w:rPr>
        <w:t>一、投标函及投标函附录</w:t>
      </w:r>
      <w:bookmarkEnd w:id="119"/>
    </w:p>
    <w:p>
      <w:pPr>
        <w:spacing w:beforeLines="50"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（一）投标函</w:t>
      </w: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________________________（招标人名称）：</w:t>
      </w:r>
    </w:p>
    <w:p>
      <w:pPr>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1.我方已仔细研究了________________________（项目名称）招标文件的全部内容，</w:t>
      </w:r>
      <w:r>
        <w:rPr>
          <w:rFonts w:hint="eastAsia" w:ascii="宋体" w:hAnsi="宋体" w:eastAsia="宋体" w:cs="宋体"/>
          <w:color w:val="auto"/>
          <w:kern w:val="0"/>
          <w:sz w:val="24"/>
          <w:highlight w:val="none"/>
        </w:rPr>
        <w:t>愿意按投标报价一览表的投标报价</w:t>
      </w:r>
      <w:r>
        <w:rPr>
          <w:rFonts w:hint="eastAsia" w:ascii="宋体" w:hAnsi="宋体" w:eastAsia="宋体" w:cs="宋体"/>
          <w:color w:val="auto"/>
          <w:sz w:val="24"/>
          <w:highlight w:val="none"/>
        </w:rPr>
        <w:t>、服务周期，按合同约定实施和完成承包工程。</w:t>
      </w:r>
    </w:p>
    <w:p>
      <w:pPr>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2.我方承诺在投标有效期内不修改、撤销投标文件。</w:t>
      </w:r>
    </w:p>
    <w:p>
      <w:pPr>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3．随同本投标函提交投标保证金一份，金额为人民币（大写）________元（</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_____）。</w:t>
      </w:r>
    </w:p>
    <w:p>
      <w:pPr>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4.我方已详细审核并确认全部招标文件，包括修改文件（如有时）及有关附件</w:t>
      </w:r>
    </w:p>
    <w:p>
      <w:pPr>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5.如我方中标：</w:t>
      </w:r>
    </w:p>
    <w:p>
      <w:pPr>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(1)我方承诺在收到中标通知书后，在中标通知书规定的期限内，与你方按照招标文件和我方的投标文件签订合同。</w:t>
      </w:r>
    </w:p>
    <w:p>
      <w:pPr>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(2)随同本投标函递交的投标函附录属于合同文件的组成部分。</w:t>
      </w:r>
    </w:p>
    <w:p>
      <w:pPr>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(3)我方将按照投标文件中的承诺组建项目组，保证在未征得招标人同意的前提下不变更主要项目人员。</w:t>
      </w:r>
    </w:p>
    <w:p>
      <w:pPr>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(4)我方将按业主方的要求提供高质量的后续服务，接受招标人对我方工作进行全过程的监督和管理。</w:t>
      </w:r>
    </w:p>
    <w:p>
      <w:pPr>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6．______________________________________________________（其他补充说明）。</w:t>
      </w:r>
    </w:p>
    <w:p>
      <w:pPr>
        <w:spacing w:line="360" w:lineRule="auto"/>
        <w:jc w:val="left"/>
        <w:rPr>
          <w:rFonts w:ascii="宋体" w:hAnsi="宋体" w:eastAsia="宋体" w:cs="宋体"/>
          <w:color w:val="auto"/>
          <w:sz w:val="24"/>
          <w:highlight w:val="none"/>
        </w:rPr>
      </w:pPr>
    </w:p>
    <w:p>
      <w:pPr>
        <w:spacing w:line="360" w:lineRule="auto"/>
        <w:ind w:firstLine="1800" w:firstLineChars="750"/>
        <w:jc w:val="left"/>
        <w:rPr>
          <w:rFonts w:ascii="宋体" w:hAnsi="宋体" w:eastAsia="宋体" w:cs="宋体"/>
          <w:color w:val="auto"/>
          <w:sz w:val="24"/>
          <w:highlight w:val="none"/>
        </w:rPr>
      </w:pPr>
      <w:r>
        <w:rPr>
          <w:rFonts w:hint="eastAsia" w:ascii="宋体" w:hAnsi="宋体" w:eastAsia="宋体" w:cs="宋体"/>
          <w:color w:val="auto"/>
          <w:sz w:val="24"/>
          <w:highlight w:val="none"/>
        </w:rPr>
        <w:t>投 标 人（电子签章）：____________________________________</w:t>
      </w:r>
    </w:p>
    <w:p>
      <w:pPr>
        <w:spacing w:line="360" w:lineRule="auto"/>
        <w:ind w:firstLine="1800" w:firstLineChars="750"/>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法定代表人（电子签章）：____________________</w:t>
      </w:r>
    </w:p>
    <w:p>
      <w:pPr>
        <w:spacing w:line="360" w:lineRule="auto"/>
        <w:ind w:firstLine="1800" w:firstLineChars="750"/>
        <w:jc w:val="left"/>
        <w:rPr>
          <w:rFonts w:ascii="宋体" w:hAnsi="宋体" w:eastAsia="宋体" w:cs="宋体"/>
          <w:color w:val="auto"/>
          <w:sz w:val="24"/>
          <w:highlight w:val="none"/>
        </w:rPr>
      </w:pPr>
      <w:r>
        <w:rPr>
          <w:rFonts w:hint="eastAsia" w:ascii="宋体" w:hAnsi="宋体" w:eastAsia="宋体" w:cs="宋体"/>
          <w:color w:val="auto"/>
          <w:sz w:val="24"/>
          <w:highlight w:val="none"/>
        </w:rPr>
        <w:t>地    址：____________________________________</w:t>
      </w:r>
    </w:p>
    <w:p>
      <w:pPr>
        <w:spacing w:line="360" w:lineRule="auto"/>
        <w:ind w:firstLine="1800" w:firstLineChars="750"/>
        <w:jc w:val="left"/>
        <w:rPr>
          <w:rFonts w:ascii="宋体" w:hAnsi="宋体" w:eastAsia="宋体" w:cs="宋体"/>
          <w:color w:val="auto"/>
          <w:sz w:val="24"/>
          <w:highlight w:val="none"/>
        </w:rPr>
      </w:pPr>
      <w:r>
        <w:rPr>
          <w:rFonts w:hint="eastAsia" w:ascii="宋体" w:hAnsi="宋体" w:eastAsia="宋体" w:cs="宋体"/>
          <w:color w:val="auto"/>
          <w:sz w:val="24"/>
          <w:highlight w:val="none"/>
        </w:rPr>
        <w:t>网    址：____________________________________</w:t>
      </w:r>
    </w:p>
    <w:p>
      <w:pPr>
        <w:spacing w:line="360" w:lineRule="auto"/>
        <w:ind w:firstLine="1800" w:firstLineChars="750"/>
        <w:jc w:val="left"/>
        <w:rPr>
          <w:rFonts w:ascii="宋体" w:hAnsi="宋体" w:eastAsia="宋体" w:cs="宋体"/>
          <w:color w:val="auto"/>
          <w:sz w:val="24"/>
          <w:highlight w:val="none"/>
        </w:rPr>
      </w:pPr>
      <w:r>
        <w:rPr>
          <w:rFonts w:hint="eastAsia" w:ascii="宋体" w:hAnsi="宋体" w:eastAsia="宋体" w:cs="宋体"/>
          <w:color w:val="auto"/>
          <w:sz w:val="24"/>
          <w:highlight w:val="none"/>
        </w:rPr>
        <w:t>电    话：____________________________________</w:t>
      </w:r>
    </w:p>
    <w:p>
      <w:pPr>
        <w:spacing w:line="360" w:lineRule="auto"/>
        <w:ind w:firstLine="1800" w:firstLineChars="750"/>
        <w:jc w:val="left"/>
        <w:rPr>
          <w:rFonts w:ascii="宋体" w:hAnsi="宋体" w:eastAsia="宋体" w:cs="宋体"/>
          <w:color w:val="auto"/>
          <w:sz w:val="24"/>
          <w:highlight w:val="none"/>
        </w:rPr>
      </w:pPr>
      <w:r>
        <w:rPr>
          <w:rFonts w:hint="eastAsia" w:ascii="宋体" w:hAnsi="宋体" w:eastAsia="宋体" w:cs="宋体"/>
          <w:color w:val="auto"/>
          <w:sz w:val="24"/>
          <w:highlight w:val="none"/>
        </w:rPr>
        <w:t>传    真：____________________________________</w:t>
      </w:r>
    </w:p>
    <w:p>
      <w:pPr>
        <w:spacing w:line="360" w:lineRule="auto"/>
        <w:ind w:firstLine="1800" w:firstLineChars="750"/>
        <w:jc w:val="left"/>
        <w:rPr>
          <w:rFonts w:ascii="宋体" w:hAnsi="宋体" w:eastAsia="宋体" w:cs="宋体"/>
          <w:color w:val="auto"/>
          <w:sz w:val="24"/>
          <w:highlight w:val="none"/>
        </w:rPr>
      </w:pPr>
      <w:r>
        <w:rPr>
          <w:rFonts w:hint="eastAsia" w:ascii="宋体" w:hAnsi="宋体" w:eastAsia="宋体" w:cs="宋体"/>
          <w:color w:val="auto"/>
          <w:sz w:val="24"/>
          <w:highlight w:val="none"/>
        </w:rPr>
        <w:t>邮政编码：____________________________________</w:t>
      </w:r>
    </w:p>
    <w:p>
      <w:pPr>
        <w:spacing w:line="360" w:lineRule="auto"/>
        <w:ind w:firstLine="3600" w:firstLineChars="1500"/>
        <w:jc w:val="center"/>
        <w:rPr>
          <w:rFonts w:ascii="宋体" w:hAnsi="宋体" w:eastAsia="宋体" w:cs="宋体"/>
          <w:color w:val="auto"/>
          <w:sz w:val="24"/>
          <w:highlight w:val="none"/>
        </w:rPr>
      </w:pPr>
      <w:r>
        <w:rPr>
          <w:rFonts w:hint="eastAsia" w:ascii="宋体" w:hAnsi="宋体" w:eastAsia="宋体" w:cs="宋体"/>
          <w:color w:val="auto"/>
          <w:sz w:val="24"/>
          <w:highlight w:val="none"/>
        </w:rPr>
        <w:t>_________年______月______日</w:t>
      </w: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ind w:firstLine="3600" w:firstLineChars="1500"/>
        <w:rPr>
          <w:rFonts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（二）投标函附录</w:t>
      </w:r>
    </w:p>
    <w:p>
      <w:pPr>
        <w:jc w:val="left"/>
        <w:rPr>
          <w:rFonts w:ascii="宋体" w:hAnsi="宋体" w:eastAsia="宋体" w:cs="宋体"/>
          <w:color w:val="auto"/>
          <w:sz w:val="24"/>
          <w:highlight w:val="none"/>
        </w:rPr>
      </w:pPr>
      <w:r>
        <w:rPr>
          <w:rFonts w:hint="eastAsia" w:ascii="宋体" w:hAnsi="宋体" w:eastAsia="宋体" w:cs="宋体"/>
          <w:b/>
          <w:color w:val="auto"/>
          <w:sz w:val="24"/>
          <w:highlight w:val="none"/>
        </w:rPr>
        <w:t>工程名称：</w:t>
      </w:r>
      <w:r>
        <w:rPr>
          <w:rFonts w:hint="eastAsia" w:ascii="宋体" w:hAnsi="宋体" w:eastAsia="宋体" w:cs="宋体"/>
          <w:color w:val="auto"/>
          <w:sz w:val="24"/>
          <w:highlight w:val="none"/>
        </w:rPr>
        <w:t>_____________________（项目名称）</w:t>
      </w:r>
    </w:p>
    <w:tbl>
      <w:tblPr>
        <w:tblStyle w:val="1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589"/>
        <w:gridCol w:w="567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 号</w:t>
            </w:r>
          </w:p>
        </w:tc>
        <w:tc>
          <w:tcPr>
            <w:tcW w:w="158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项目内容</w:t>
            </w:r>
          </w:p>
        </w:tc>
        <w:tc>
          <w:tcPr>
            <w:tcW w:w="5670"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约定内容</w:t>
            </w:r>
          </w:p>
        </w:tc>
        <w:tc>
          <w:tcPr>
            <w:tcW w:w="1100"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1589" w:type="dxa"/>
            <w:noWrap/>
            <w:vAlign w:val="center"/>
          </w:tcPr>
          <w:p>
            <w:pPr>
              <w:autoSpaceDE w:val="0"/>
              <w:autoSpaceDN w:val="0"/>
              <w:adjustRightInd w:val="0"/>
              <w:jc w:val="center"/>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项目负责人</w:t>
            </w:r>
          </w:p>
        </w:tc>
        <w:tc>
          <w:tcPr>
            <w:tcW w:w="5670" w:type="dxa"/>
            <w:noWrap/>
            <w:vAlign w:val="center"/>
          </w:tcPr>
          <w:p>
            <w:pPr>
              <w:autoSpaceDE w:val="0"/>
              <w:autoSpaceDN w:val="0"/>
              <w:adjustRightInd w:val="0"/>
              <w:rPr>
                <w:rFonts w:ascii="宋体" w:hAnsi="宋体" w:eastAsia="宋体" w:cs="宋体"/>
                <w:color w:val="auto"/>
                <w:sz w:val="24"/>
                <w:highlight w:val="none"/>
                <w:lang w:val="zh-CN"/>
              </w:rPr>
            </w:pPr>
            <w:r>
              <w:rPr>
                <w:rFonts w:hint="eastAsia" w:ascii="宋体" w:hAnsi="宋体" w:eastAsia="宋体" w:cs="宋体"/>
                <w:color w:val="auto"/>
                <w:sz w:val="24"/>
                <w:highlight w:val="none"/>
              </w:rPr>
              <w:t>姓名：</w:t>
            </w:r>
          </w:p>
        </w:tc>
        <w:tc>
          <w:tcPr>
            <w:tcW w:w="1100" w:type="dxa"/>
            <w:noWrap/>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158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服务周期</w:t>
            </w:r>
          </w:p>
        </w:tc>
        <w:tc>
          <w:tcPr>
            <w:tcW w:w="5670" w:type="dxa"/>
            <w:noWrap/>
            <w:vAlign w:val="center"/>
          </w:tcPr>
          <w:p>
            <w:pPr>
              <w:jc w:val="left"/>
              <w:rPr>
                <w:rFonts w:ascii="宋体" w:hAnsi="宋体" w:eastAsia="宋体" w:cs="宋体"/>
                <w:color w:val="auto"/>
                <w:sz w:val="24"/>
                <w:highlight w:val="none"/>
              </w:rPr>
            </w:pPr>
          </w:p>
        </w:tc>
        <w:tc>
          <w:tcPr>
            <w:tcW w:w="1100" w:type="dxa"/>
            <w:noWrap/>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158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质量承诺</w:t>
            </w:r>
          </w:p>
        </w:tc>
        <w:tc>
          <w:tcPr>
            <w:tcW w:w="5670" w:type="dxa"/>
            <w:noWrap/>
            <w:vAlign w:val="center"/>
          </w:tcPr>
          <w:p>
            <w:pPr>
              <w:jc w:val="left"/>
              <w:rPr>
                <w:rFonts w:ascii="宋体" w:hAnsi="宋体" w:eastAsia="宋体" w:cs="宋体"/>
                <w:color w:val="auto"/>
                <w:sz w:val="24"/>
                <w:highlight w:val="none"/>
              </w:rPr>
            </w:pPr>
          </w:p>
        </w:tc>
        <w:tc>
          <w:tcPr>
            <w:tcW w:w="1100" w:type="dxa"/>
            <w:noWrap/>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1589" w:type="dxa"/>
            <w:noWrap/>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成果质量违约金</w:t>
            </w:r>
          </w:p>
        </w:tc>
        <w:tc>
          <w:tcPr>
            <w:tcW w:w="5670" w:type="dxa"/>
            <w:noWrap/>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成果资料未通过审查，除无条件修改至审查通过外，按</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/次累计计算违约金。</w:t>
            </w:r>
          </w:p>
        </w:tc>
        <w:tc>
          <w:tcPr>
            <w:tcW w:w="1100" w:type="dxa"/>
            <w:noWrap/>
            <w:vAlign w:val="center"/>
          </w:tcPr>
          <w:p>
            <w:pPr>
              <w:autoSpaceDE w:val="0"/>
              <w:autoSpaceDN w:val="0"/>
              <w:adjustRightInd w:val="0"/>
              <w:jc w:val="center"/>
              <w:rPr>
                <w:rFonts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1589" w:type="dxa"/>
            <w:noWrap/>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中标人的误期违约金</w:t>
            </w:r>
          </w:p>
        </w:tc>
        <w:tc>
          <w:tcPr>
            <w:tcW w:w="5670" w:type="dxa"/>
            <w:noWrap/>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因中标人原因造成服务周期发生延误的，每逾期一天按</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/天累计计算违约金。</w:t>
            </w:r>
          </w:p>
        </w:tc>
        <w:tc>
          <w:tcPr>
            <w:tcW w:w="1100" w:type="dxa"/>
            <w:noWrap/>
            <w:vAlign w:val="center"/>
          </w:tcPr>
          <w:p>
            <w:pPr>
              <w:autoSpaceDE w:val="0"/>
              <w:autoSpaceDN w:val="0"/>
              <w:adjustRightInd w:val="0"/>
              <w:jc w:val="center"/>
              <w:rPr>
                <w:rFonts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6</w:t>
            </w:r>
          </w:p>
        </w:tc>
        <w:tc>
          <w:tcPr>
            <w:tcW w:w="1589" w:type="dxa"/>
            <w:noWrap/>
            <w:vAlign w:val="center"/>
          </w:tcPr>
          <w:p>
            <w:pPr>
              <w:autoSpaceDE w:val="0"/>
              <w:autoSpaceDN w:val="0"/>
              <w:adjustRightIn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其它违约责任</w:t>
            </w:r>
          </w:p>
        </w:tc>
        <w:tc>
          <w:tcPr>
            <w:tcW w:w="5670" w:type="dxa"/>
            <w:noWrap/>
            <w:vAlign w:val="center"/>
          </w:tcPr>
          <w:p>
            <w:pPr>
              <w:autoSpaceDE w:val="0"/>
              <w:autoSpaceDN w:val="0"/>
              <w:adjustRightInd w:val="0"/>
              <w:spacing w:line="360" w:lineRule="auto"/>
              <w:jc w:val="center"/>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执行招标文件及合同条款相关规定</w:t>
            </w:r>
          </w:p>
        </w:tc>
        <w:tc>
          <w:tcPr>
            <w:tcW w:w="1100" w:type="dxa"/>
            <w:noWrap/>
            <w:vAlign w:val="center"/>
          </w:tcPr>
          <w:p>
            <w:pPr>
              <w:spacing w:line="40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ascii="宋体" w:hAnsi="宋体" w:eastAsia="宋体" w:cs="宋体"/>
                <w:color w:val="auto"/>
                <w:sz w:val="24"/>
                <w:highlight w:val="none"/>
              </w:rPr>
            </w:pPr>
          </w:p>
        </w:tc>
        <w:tc>
          <w:tcPr>
            <w:tcW w:w="1589" w:type="dxa"/>
            <w:noWrap/>
            <w:vAlign w:val="center"/>
          </w:tcPr>
          <w:p>
            <w:pPr>
              <w:spacing w:line="360" w:lineRule="auto"/>
              <w:jc w:val="center"/>
              <w:rPr>
                <w:rFonts w:ascii="宋体" w:hAnsi="宋体" w:eastAsia="宋体" w:cs="宋体"/>
                <w:color w:val="auto"/>
                <w:sz w:val="24"/>
                <w:highlight w:val="none"/>
              </w:rPr>
            </w:pPr>
          </w:p>
        </w:tc>
        <w:tc>
          <w:tcPr>
            <w:tcW w:w="5670" w:type="dxa"/>
            <w:noWrap/>
            <w:vAlign w:val="center"/>
          </w:tcPr>
          <w:p>
            <w:pPr>
              <w:spacing w:line="360" w:lineRule="auto"/>
              <w:jc w:val="left"/>
              <w:rPr>
                <w:rFonts w:ascii="宋体" w:hAnsi="宋体" w:eastAsia="宋体" w:cs="宋体"/>
                <w:color w:val="auto"/>
                <w:sz w:val="24"/>
                <w:highlight w:val="none"/>
              </w:rPr>
            </w:pPr>
          </w:p>
        </w:tc>
        <w:tc>
          <w:tcPr>
            <w:tcW w:w="1100" w:type="dxa"/>
            <w:noWrap/>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ascii="宋体" w:hAnsi="宋体" w:eastAsia="宋体" w:cs="宋体"/>
                <w:color w:val="auto"/>
                <w:sz w:val="24"/>
                <w:highlight w:val="none"/>
              </w:rPr>
            </w:pPr>
          </w:p>
        </w:tc>
        <w:tc>
          <w:tcPr>
            <w:tcW w:w="1589" w:type="dxa"/>
            <w:noWrap/>
            <w:vAlign w:val="center"/>
          </w:tcPr>
          <w:p>
            <w:pPr>
              <w:spacing w:line="360" w:lineRule="auto"/>
              <w:jc w:val="center"/>
              <w:rPr>
                <w:rFonts w:ascii="宋体" w:hAnsi="宋体" w:eastAsia="宋体" w:cs="宋体"/>
                <w:color w:val="auto"/>
                <w:sz w:val="24"/>
                <w:highlight w:val="none"/>
              </w:rPr>
            </w:pPr>
          </w:p>
        </w:tc>
        <w:tc>
          <w:tcPr>
            <w:tcW w:w="5670" w:type="dxa"/>
            <w:noWrap/>
            <w:vAlign w:val="center"/>
          </w:tcPr>
          <w:p>
            <w:pPr>
              <w:spacing w:line="360" w:lineRule="auto"/>
              <w:jc w:val="center"/>
              <w:rPr>
                <w:rFonts w:ascii="宋体" w:hAnsi="宋体" w:eastAsia="宋体" w:cs="宋体"/>
                <w:color w:val="auto"/>
                <w:sz w:val="24"/>
                <w:highlight w:val="none"/>
              </w:rPr>
            </w:pPr>
          </w:p>
        </w:tc>
        <w:tc>
          <w:tcPr>
            <w:tcW w:w="1100" w:type="dxa"/>
            <w:noWrap/>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w:t>
            </w:r>
          </w:p>
        </w:tc>
        <w:tc>
          <w:tcPr>
            <w:tcW w:w="158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w:t>
            </w:r>
          </w:p>
        </w:tc>
        <w:tc>
          <w:tcPr>
            <w:tcW w:w="5670" w:type="dxa"/>
            <w:noWrap/>
            <w:vAlign w:val="center"/>
          </w:tcPr>
          <w:p>
            <w:pPr>
              <w:spacing w:line="360" w:lineRule="auto"/>
              <w:jc w:val="center"/>
              <w:rPr>
                <w:rFonts w:ascii="宋体" w:hAnsi="宋体" w:eastAsia="宋体" w:cs="宋体"/>
                <w:color w:val="auto"/>
                <w:sz w:val="24"/>
                <w:highlight w:val="none"/>
              </w:rPr>
            </w:pPr>
          </w:p>
        </w:tc>
        <w:tc>
          <w:tcPr>
            <w:tcW w:w="1100" w:type="dxa"/>
            <w:noWrap/>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88" w:type="dxa"/>
            <w:gridSpan w:val="4"/>
            <w:noWrap/>
            <w:vAlign w:val="center"/>
          </w:tcPr>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备注：投标人在响应招标文件中规定的实质性要求和条件的基础上，可做出其他有利于招标人的承诺。此类承诺可在本表中予以补充填写。</w:t>
            </w:r>
          </w:p>
        </w:tc>
      </w:tr>
    </w:tbl>
    <w:p>
      <w:pPr>
        <w:spacing w:line="480" w:lineRule="exact"/>
        <w:ind w:firstLine="482" w:firstLineChars="200"/>
        <w:jc w:val="left"/>
        <w:rPr>
          <w:rFonts w:ascii="宋体" w:hAnsi="宋体" w:eastAsia="宋体" w:cs="宋体"/>
          <w:b/>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Bdr>
          <w:top w:val="none" w:color="auto" w:sz="0" w:space="1"/>
          <w:left w:val="none" w:color="auto" w:sz="0" w:space="4"/>
          <w:bottom w:val="none" w:color="auto" w:sz="0" w:space="1"/>
          <w:right w:val="none" w:color="auto" w:sz="0" w:space="4"/>
        </w:pBdr>
        <w:spacing w:line="480" w:lineRule="auto"/>
        <w:ind w:firstLine="480" w:firstLineChars="200"/>
        <w:rPr>
          <w:rFonts w:ascii="宋体" w:hAnsi="宋体" w:eastAsia="宋体" w:cs="宋体"/>
          <w:color w:val="auto"/>
          <w:sz w:val="24"/>
          <w:highlight w:val="none"/>
        </w:rPr>
      </w:pPr>
    </w:p>
    <w:p>
      <w:pPr>
        <w:pStyle w:val="5"/>
        <w:rPr>
          <w:rFonts w:ascii="宋体" w:hAnsi="宋体" w:cs="宋体"/>
          <w:color w:val="auto"/>
          <w:sz w:val="24"/>
          <w:szCs w:val="24"/>
          <w:highlight w:val="none"/>
        </w:rPr>
      </w:pPr>
      <w:r>
        <w:rPr>
          <w:rFonts w:hint="eastAsia" w:ascii="宋体" w:hAnsi="宋体" w:cs="宋体"/>
          <w:color w:val="auto"/>
          <w:sz w:val="24"/>
          <w:szCs w:val="24"/>
          <w:highlight w:val="none"/>
        </w:rPr>
        <w:br w:type="page"/>
      </w:r>
      <w:bookmarkStart w:id="120" w:name="_Toc16099"/>
      <w:r>
        <w:rPr>
          <w:rFonts w:hint="eastAsia"/>
          <w:color w:val="auto"/>
          <w:highlight w:val="none"/>
        </w:rPr>
        <w:t>二、投标报价一览表</w:t>
      </w:r>
      <w:bookmarkEnd w:id="120"/>
    </w:p>
    <w:p>
      <w:pPr>
        <w:jc w:val="center"/>
        <w:rPr>
          <w:rFonts w:ascii="宋体" w:hAnsi="宋体" w:eastAsia="宋体" w:cs="宋体"/>
          <w:color w:val="auto"/>
          <w:sz w:val="24"/>
          <w:highlight w:val="none"/>
        </w:rPr>
      </w:pPr>
    </w:p>
    <w:p>
      <w:pPr>
        <w:spacing w:line="360" w:lineRule="auto"/>
        <w:ind w:firstLine="117" w:firstLineChars="4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（官渡区太和街道和平路前卫营片区三旧改造连片开发项目工作指挥部）项目新增地块房屋调查测绘服务</w:t>
      </w:r>
      <w:r>
        <w:rPr>
          <w:rFonts w:hint="eastAsia" w:ascii="宋体" w:hAnsi="宋体" w:eastAsia="宋体" w:cs="宋体"/>
          <w:color w:val="auto"/>
          <w:sz w:val="24"/>
          <w:highlight w:val="none"/>
          <w:lang w:eastAsia="zh-CN"/>
        </w:rPr>
        <w:t>（六标段）</w:t>
      </w:r>
    </w:p>
    <w:tbl>
      <w:tblPr>
        <w:tblStyle w:val="1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305"/>
        <w:gridCol w:w="2860"/>
        <w:gridCol w:w="3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6"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305"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2860" w:type="dxa"/>
            <w:noWrap/>
            <w:vAlign w:val="center"/>
          </w:tcPr>
          <w:p>
            <w:pPr>
              <w:spacing w:line="360" w:lineRule="auto"/>
              <w:ind w:left="-67" w:leftChars="-32"/>
              <w:jc w:val="center"/>
              <w:rPr>
                <w:rFonts w:ascii="宋体" w:hAnsi="宋体" w:eastAsia="宋体" w:cs="宋体"/>
                <w:color w:val="auto"/>
                <w:sz w:val="24"/>
                <w:highlight w:val="none"/>
              </w:rPr>
            </w:pPr>
            <w:r>
              <w:rPr>
                <w:rFonts w:hint="eastAsia" w:ascii="宋体" w:hAnsi="宋体" w:eastAsia="宋体" w:cs="宋体"/>
                <w:color w:val="auto"/>
                <w:sz w:val="24"/>
                <w:highlight w:val="none"/>
              </w:rPr>
              <w:t>填报内容</w:t>
            </w:r>
          </w:p>
        </w:tc>
        <w:tc>
          <w:tcPr>
            <w:tcW w:w="3425" w:type="dxa"/>
            <w:noWrap/>
            <w:vAlign w:val="center"/>
          </w:tcPr>
          <w:p>
            <w:pPr>
              <w:spacing w:line="360" w:lineRule="auto"/>
              <w:ind w:left="-67" w:leftChars="-32"/>
              <w:jc w:val="center"/>
              <w:rPr>
                <w:rFonts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6"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2305" w:type="dxa"/>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投标报价</w:t>
            </w:r>
          </w:p>
        </w:tc>
        <w:tc>
          <w:tcPr>
            <w:tcW w:w="2860" w:type="dxa"/>
            <w:noWrap/>
            <w:vAlign w:val="center"/>
          </w:tcPr>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测绘费</w:t>
            </w:r>
            <w:r>
              <w:rPr>
                <w:rFonts w:ascii="宋体" w:hAnsi="宋体" w:eastAsia="宋体"/>
                <w:bCs/>
                <w:color w:val="auto"/>
                <w:sz w:val="24"/>
                <w:highlight w:val="none"/>
              </w:rPr>
              <w:t>：</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元/㎡</w:t>
            </w:r>
          </w:p>
        </w:tc>
        <w:tc>
          <w:tcPr>
            <w:tcW w:w="3425" w:type="dxa"/>
            <w:noWrap/>
            <w:vAlign w:val="center"/>
          </w:tcPr>
          <w:p>
            <w:pPr>
              <w:spacing w:line="360" w:lineRule="exact"/>
              <w:ind w:left="-67" w:leftChars="-32"/>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6"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2305" w:type="dxa"/>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服务承诺</w:t>
            </w:r>
          </w:p>
        </w:tc>
        <w:tc>
          <w:tcPr>
            <w:tcW w:w="2860" w:type="dxa"/>
            <w:noWrap/>
            <w:vAlign w:val="center"/>
          </w:tcPr>
          <w:p>
            <w:pPr>
              <w:spacing w:line="360" w:lineRule="auto"/>
              <w:jc w:val="center"/>
              <w:rPr>
                <w:rFonts w:ascii="宋体" w:hAnsi="宋体" w:eastAsia="宋体" w:cs="宋体"/>
                <w:color w:val="auto"/>
                <w:sz w:val="24"/>
                <w:highlight w:val="none"/>
              </w:rPr>
            </w:pPr>
          </w:p>
        </w:tc>
        <w:tc>
          <w:tcPr>
            <w:tcW w:w="3425" w:type="dxa"/>
            <w:noWrap/>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6"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305" w:type="dxa"/>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成果质量承诺</w:t>
            </w:r>
          </w:p>
        </w:tc>
        <w:tc>
          <w:tcPr>
            <w:tcW w:w="2860" w:type="dxa"/>
            <w:noWrap/>
            <w:vAlign w:val="center"/>
          </w:tcPr>
          <w:p>
            <w:pPr>
              <w:spacing w:line="360" w:lineRule="auto"/>
              <w:jc w:val="center"/>
              <w:rPr>
                <w:rFonts w:ascii="宋体" w:hAnsi="宋体" w:eastAsia="宋体" w:cs="宋体"/>
                <w:color w:val="auto"/>
                <w:sz w:val="24"/>
                <w:highlight w:val="none"/>
              </w:rPr>
            </w:pPr>
          </w:p>
        </w:tc>
        <w:tc>
          <w:tcPr>
            <w:tcW w:w="3425" w:type="dxa"/>
            <w:noWrap/>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6"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2305" w:type="dxa"/>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项目负责人</w:t>
            </w:r>
          </w:p>
        </w:tc>
        <w:tc>
          <w:tcPr>
            <w:tcW w:w="2860" w:type="dxa"/>
            <w:noWrap/>
            <w:vAlign w:val="center"/>
          </w:tcPr>
          <w:p>
            <w:pPr>
              <w:spacing w:line="360" w:lineRule="auto"/>
              <w:jc w:val="center"/>
              <w:rPr>
                <w:rFonts w:ascii="宋体" w:hAnsi="宋体" w:eastAsia="宋体" w:cs="宋体"/>
                <w:color w:val="auto"/>
                <w:sz w:val="24"/>
                <w:highlight w:val="none"/>
              </w:rPr>
            </w:pPr>
          </w:p>
        </w:tc>
        <w:tc>
          <w:tcPr>
            <w:tcW w:w="3425" w:type="dxa"/>
            <w:noWrap/>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6"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2305" w:type="dxa"/>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2860" w:type="dxa"/>
            <w:noWrap/>
            <w:vAlign w:val="center"/>
          </w:tcPr>
          <w:p>
            <w:pPr>
              <w:spacing w:line="360" w:lineRule="auto"/>
              <w:jc w:val="center"/>
              <w:rPr>
                <w:rFonts w:ascii="宋体" w:hAnsi="宋体" w:eastAsia="宋体" w:cs="宋体"/>
                <w:color w:val="auto"/>
                <w:sz w:val="24"/>
                <w:highlight w:val="none"/>
              </w:rPr>
            </w:pPr>
          </w:p>
        </w:tc>
        <w:tc>
          <w:tcPr>
            <w:tcW w:w="3425" w:type="dxa"/>
            <w:noWrap/>
            <w:vAlign w:val="center"/>
          </w:tcPr>
          <w:p>
            <w:pPr>
              <w:spacing w:line="360" w:lineRule="auto"/>
              <w:jc w:val="center"/>
              <w:rPr>
                <w:rFonts w:ascii="宋体" w:hAnsi="宋体" w:eastAsia="宋体" w:cs="宋体"/>
                <w:color w:val="auto"/>
                <w:sz w:val="24"/>
                <w:highlight w:val="none"/>
              </w:rPr>
            </w:pPr>
          </w:p>
        </w:tc>
      </w:tr>
    </w:tbl>
    <w:p>
      <w:pPr>
        <w:spacing w:line="360" w:lineRule="auto"/>
        <w:ind w:firstLine="600" w:firstLineChars="249"/>
        <w:rPr>
          <w:rFonts w:ascii="宋体" w:hAnsi="宋体" w:eastAsia="宋体" w:cs="宋体"/>
          <w:b/>
          <w:color w:val="auto"/>
          <w:sz w:val="24"/>
          <w:highlight w:val="none"/>
        </w:rPr>
      </w:pPr>
    </w:p>
    <w:p>
      <w:pPr>
        <w:spacing w:line="360" w:lineRule="auto"/>
        <w:ind w:firstLine="600" w:firstLineChars="249"/>
        <w:rPr>
          <w:rStyle w:val="21"/>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360" w:lineRule="auto"/>
        <w:ind w:firstLine="480" w:firstLineChars="200"/>
        <w:jc w:val="left"/>
        <w:rPr>
          <w:rFonts w:ascii="宋体" w:hAnsi="宋体" w:eastAsia="宋体" w:cs="宋体"/>
          <w:b/>
          <w:color w:val="auto"/>
          <w:sz w:val="24"/>
          <w:highlight w:val="none"/>
        </w:rPr>
      </w:pPr>
      <w:r>
        <w:rPr>
          <w:rFonts w:hint="eastAsia" w:ascii="宋体" w:hAnsi="宋体" w:eastAsia="宋体" w:cs="宋体"/>
          <w:color w:val="auto"/>
          <w:sz w:val="24"/>
          <w:highlight w:val="none"/>
          <w:u w:val="none"/>
        </w:rPr>
        <w:t>日期：_________年______月______日</w:t>
      </w:r>
    </w:p>
    <w:p>
      <w:pPr>
        <w:spacing w:line="360" w:lineRule="auto"/>
        <w:ind w:firstLine="480" w:firstLineChars="200"/>
        <w:jc w:val="left"/>
        <w:rPr>
          <w:rFonts w:ascii="宋体" w:hAnsi="宋体" w:eastAsia="宋体" w:cs="宋体"/>
          <w:color w:val="auto"/>
          <w:sz w:val="24"/>
          <w:highlight w:val="none"/>
        </w:rPr>
      </w:pPr>
    </w:p>
    <w:p>
      <w:pPr>
        <w:spacing w:line="360" w:lineRule="auto"/>
        <w:ind w:firstLine="482" w:firstLineChars="200"/>
        <w:jc w:val="left"/>
        <w:rPr>
          <w:rFonts w:ascii="宋体" w:hAnsi="宋体" w:eastAsia="宋体" w:cs="宋体"/>
          <w:b/>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rPr>
          <w:color w:val="auto"/>
          <w:highlight w:val="none"/>
        </w:rPr>
      </w:pPr>
      <w:r>
        <w:rPr>
          <w:rFonts w:hint="eastAsia"/>
          <w:color w:val="auto"/>
          <w:highlight w:val="none"/>
        </w:rPr>
        <w:br w:type="page"/>
      </w:r>
    </w:p>
    <w:p>
      <w:pPr>
        <w:pStyle w:val="4"/>
        <w:spacing w:before="156" w:after="156"/>
        <w:rPr>
          <w:color w:val="auto"/>
          <w:highlight w:val="none"/>
        </w:rPr>
      </w:pPr>
      <w:bookmarkStart w:id="121" w:name="_Toc18766"/>
      <w:r>
        <w:rPr>
          <w:rFonts w:hint="eastAsia"/>
          <w:color w:val="auto"/>
          <w:highlight w:val="none"/>
        </w:rPr>
        <w:t>技术部分</w:t>
      </w:r>
      <w:bookmarkEnd w:id="121"/>
    </w:p>
    <w:p>
      <w:pPr>
        <w:spacing w:line="360" w:lineRule="auto"/>
        <w:rPr>
          <w:rFonts w:ascii="宋体" w:hAnsi="宋体" w:eastAsia="宋体" w:cs="宋体"/>
          <w:color w:val="auto"/>
          <w:sz w:val="24"/>
          <w:highlight w:val="none"/>
        </w:rPr>
      </w:pPr>
    </w:p>
    <w:p>
      <w:pPr>
        <w:pStyle w:val="5"/>
        <w:numPr>
          <w:ilvl w:val="0"/>
          <w:numId w:val="2"/>
        </w:numPr>
        <w:rPr>
          <w:color w:val="auto"/>
          <w:highlight w:val="none"/>
        </w:rPr>
      </w:pPr>
      <w:bookmarkStart w:id="122" w:name="_Toc19660"/>
      <w:r>
        <w:rPr>
          <w:rFonts w:hint="eastAsia"/>
          <w:color w:val="auto"/>
          <w:highlight w:val="none"/>
        </w:rPr>
        <w:t>项目服务方案</w:t>
      </w:r>
      <w:bookmarkEnd w:id="122"/>
    </w:p>
    <w:p>
      <w:pPr>
        <w:pStyle w:val="2"/>
        <w:rPr>
          <w:color w:val="auto"/>
          <w:highlight w:val="none"/>
        </w:rPr>
      </w:pPr>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Bdr>
          <w:top w:val="none" w:color="auto" w:sz="0" w:space="1"/>
          <w:left w:val="none" w:color="auto" w:sz="0" w:space="4"/>
          <w:bottom w:val="none" w:color="auto" w:sz="0" w:space="1"/>
          <w:right w:val="none" w:color="auto" w:sz="0" w:space="4"/>
        </w:pBdr>
        <w:spacing w:line="480" w:lineRule="auto"/>
        <w:ind w:firstLine="480" w:firstLineChars="200"/>
        <w:rPr>
          <w:rFonts w:ascii="宋体" w:hAnsi="宋体" w:eastAsia="宋体" w:cs="宋体"/>
          <w:color w:val="auto"/>
          <w:sz w:val="24"/>
          <w:highlight w:val="none"/>
        </w:rPr>
      </w:pPr>
    </w:p>
    <w:p>
      <w:pPr>
        <w:pStyle w:val="10"/>
        <w:rPr>
          <w:color w:val="auto"/>
          <w:highlight w:val="none"/>
        </w:rPr>
      </w:pPr>
    </w:p>
    <w:p>
      <w:pPr>
        <w:rPr>
          <w:rFonts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rPr>
          <w:color w:val="auto"/>
          <w:highlight w:val="none"/>
        </w:rPr>
      </w:pPr>
      <w:bookmarkStart w:id="123" w:name="_Toc5639"/>
      <w:r>
        <w:rPr>
          <w:rFonts w:hint="eastAsia"/>
          <w:color w:val="auto"/>
          <w:highlight w:val="none"/>
        </w:rPr>
        <w:t>二、服务质量承诺及保证措施</w:t>
      </w:r>
      <w:bookmarkEnd w:id="123"/>
    </w:p>
    <w:p>
      <w:pPr>
        <w:spacing w:line="360" w:lineRule="auto"/>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Bdr>
          <w:top w:val="none" w:color="auto" w:sz="0" w:space="1"/>
          <w:left w:val="none" w:color="auto" w:sz="0" w:space="4"/>
          <w:bottom w:val="none" w:color="auto" w:sz="0" w:space="1"/>
          <w:right w:val="none" w:color="auto" w:sz="0" w:space="4"/>
        </w:pBdr>
        <w:spacing w:line="480" w:lineRule="auto"/>
        <w:ind w:firstLine="480" w:firstLineChars="200"/>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pStyle w:val="5"/>
        <w:rPr>
          <w:color w:val="auto"/>
          <w:highlight w:val="none"/>
        </w:rPr>
      </w:pPr>
      <w:bookmarkStart w:id="124" w:name="_Toc19301"/>
      <w:r>
        <w:rPr>
          <w:rFonts w:hint="eastAsia"/>
          <w:color w:val="auto"/>
          <w:highlight w:val="none"/>
        </w:rPr>
        <w:t>三、成果资料质量承诺及保证措施</w:t>
      </w:r>
      <w:bookmarkEnd w:id="124"/>
    </w:p>
    <w:p>
      <w:pPr>
        <w:rPr>
          <w:color w:val="auto"/>
          <w:highlight w:val="none"/>
        </w:rPr>
      </w:pPr>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Bdr>
          <w:top w:val="none" w:color="auto" w:sz="0" w:space="1"/>
          <w:left w:val="none" w:color="auto" w:sz="0" w:space="4"/>
          <w:bottom w:val="none" w:color="auto" w:sz="0" w:space="1"/>
          <w:right w:val="none" w:color="auto" w:sz="0" w:space="4"/>
        </w:pBdr>
        <w:spacing w:line="480" w:lineRule="auto"/>
        <w:ind w:firstLine="480" w:firstLineChars="200"/>
        <w:rPr>
          <w:rFonts w:ascii="宋体" w:hAnsi="宋体" w:eastAsia="宋体" w:cs="宋体"/>
          <w:color w:val="auto"/>
          <w:sz w:val="24"/>
          <w:highlight w:val="none"/>
        </w:rPr>
      </w:pPr>
    </w:p>
    <w:p>
      <w:pPr>
        <w:rPr>
          <w:color w:val="auto"/>
          <w:highlight w:val="none"/>
        </w:rPr>
      </w:pPr>
      <w:r>
        <w:rPr>
          <w:rFonts w:hint="eastAsia"/>
          <w:color w:val="auto"/>
          <w:highlight w:val="none"/>
        </w:rPr>
        <w:br w:type="page"/>
      </w:r>
    </w:p>
    <w:p>
      <w:pPr>
        <w:pStyle w:val="5"/>
        <w:rPr>
          <w:color w:val="auto"/>
          <w:highlight w:val="none"/>
        </w:rPr>
      </w:pPr>
      <w:bookmarkStart w:id="125" w:name="_Toc5003"/>
      <w:r>
        <w:rPr>
          <w:rFonts w:hint="eastAsia"/>
          <w:color w:val="auto"/>
          <w:highlight w:val="none"/>
        </w:rPr>
        <w:t>四、拟派本项目团队人员情况</w:t>
      </w:r>
      <w:bookmarkEnd w:id="125"/>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Bdr>
          <w:top w:val="none" w:color="auto" w:sz="0" w:space="1"/>
          <w:left w:val="none" w:color="auto" w:sz="0" w:space="4"/>
          <w:bottom w:val="none" w:color="auto" w:sz="0" w:space="1"/>
          <w:right w:val="none" w:color="auto" w:sz="0" w:space="4"/>
        </w:pBdr>
        <w:spacing w:line="480" w:lineRule="auto"/>
        <w:ind w:firstLine="480" w:firstLineChars="200"/>
        <w:rPr>
          <w:rFonts w:ascii="宋体" w:hAnsi="宋体" w:eastAsia="宋体" w:cs="宋体"/>
          <w:color w:val="auto"/>
          <w:sz w:val="24"/>
          <w:highlight w:val="none"/>
        </w:rPr>
      </w:pPr>
    </w:p>
    <w:p>
      <w:pPr>
        <w:rPr>
          <w:rFonts w:ascii="宋体" w:hAnsi="宋体" w:eastAsia="宋体" w:cs="宋体"/>
          <w:color w:val="auto"/>
          <w:sz w:val="24"/>
          <w:highlight w:val="none"/>
        </w:rPr>
      </w:pPr>
      <w:r>
        <w:rPr>
          <w:rFonts w:hint="eastAsia" w:ascii="宋体" w:hAnsi="宋体" w:eastAsia="宋体" w:cs="宋体"/>
          <w:color w:val="auto"/>
          <w:sz w:val="24"/>
          <w:highlight w:val="none"/>
        </w:rPr>
        <w:br w:type="page"/>
      </w:r>
    </w:p>
    <w:p>
      <w:pPr>
        <w:pBdr>
          <w:top w:val="none" w:color="auto" w:sz="0" w:space="1"/>
          <w:left w:val="none" w:color="auto" w:sz="0" w:space="4"/>
          <w:bottom w:val="none" w:color="auto" w:sz="0" w:space="1"/>
          <w:right w:val="none" w:color="auto" w:sz="0" w:space="4"/>
        </w:pBdr>
        <w:rPr>
          <w:rFonts w:ascii="宋体" w:hAnsi="宋体" w:eastAsia="宋体" w:cs="宋体"/>
          <w:color w:val="auto"/>
          <w:sz w:val="24"/>
          <w:highlight w:val="none"/>
        </w:rPr>
      </w:pPr>
      <w:r>
        <w:rPr>
          <w:rFonts w:hint="eastAsia" w:ascii="宋体" w:hAnsi="宋体" w:eastAsia="宋体" w:cs="宋体"/>
          <w:b/>
          <w:bCs/>
          <w:color w:val="auto"/>
          <w:sz w:val="24"/>
          <w:highlight w:val="none"/>
        </w:rPr>
        <w:t>附：</w:t>
      </w:r>
    </w:p>
    <w:p>
      <w:pPr>
        <w:numPr>
          <w:ilvl w:val="0"/>
          <w:numId w:val="3"/>
        </w:numPr>
        <w:pBdr>
          <w:top w:val="none" w:color="auto" w:sz="0" w:space="1"/>
          <w:left w:val="none" w:color="auto" w:sz="0" w:space="4"/>
          <w:bottom w:val="none" w:color="auto" w:sz="0" w:space="1"/>
          <w:right w:val="none" w:color="auto" w:sz="0" w:space="4"/>
        </w:pBdr>
        <w:spacing w:line="480"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拟投入本项目的项目负责人简历表</w:t>
      </w:r>
    </w:p>
    <w:p>
      <w:pPr>
        <w:pBdr>
          <w:top w:val="none" w:color="auto" w:sz="0" w:space="1"/>
          <w:left w:val="none" w:color="auto" w:sz="0" w:space="4"/>
          <w:bottom w:val="none" w:color="auto" w:sz="0" w:space="1"/>
          <w:right w:val="none" w:color="auto" w:sz="0" w:space="4"/>
        </w:pBdr>
        <w:rPr>
          <w:rFonts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tbl>
      <w:tblPr>
        <w:tblStyle w:val="18"/>
        <w:tblW w:w="908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5"/>
        <w:gridCol w:w="380"/>
        <w:gridCol w:w="738"/>
        <w:gridCol w:w="1022"/>
        <w:gridCol w:w="978"/>
        <w:gridCol w:w="911"/>
        <w:gridCol w:w="1343"/>
        <w:gridCol w:w="43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exact"/>
        </w:trPr>
        <w:tc>
          <w:tcPr>
            <w:tcW w:w="1265" w:type="dxa"/>
            <w:noWrap/>
            <w:vAlign w:val="center"/>
          </w:tcPr>
          <w:p>
            <w:pPr>
              <w:pBdr>
                <w:top w:val="none" w:color="auto" w:sz="0" w:space="1"/>
                <w:left w:val="none" w:color="auto" w:sz="0" w:space="4"/>
                <w:bottom w:val="none" w:color="auto" w:sz="0" w:space="1"/>
                <w:right w:val="none" w:color="auto" w:sz="0" w:space="4"/>
              </w:pBdr>
              <w:tabs>
                <w:tab w:val="left" w:pos="680"/>
              </w:tabs>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118"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1022"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978"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2684" w:type="dxa"/>
            <w:gridSpan w:val="3"/>
            <w:noWrap/>
            <w:vAlign w:val="center"/>
          </w:tcPr>
          <w:p>
            <w:pPr>
              <w:pBdr>
                <w:top w:val="none" w:color="auto" w:sz="0" w:space="1"/>
                <w:left w:val="none" w:color="auto" w:sz="0" w:space="4"/>
                <w:bottom w:val="none" w:color="auto" w:sz="0" w:space="1"/>
                <w:right w:val="none" w:color="auto" w:sz="0" w:space="4"/>
              </w:pBdr>
              <w:spacing w:line="360" w:lineRule="exact"/>
              <w:ind w:hanging="523"/>
              <w:jc w:val="center"/>
              <w:rPr>
                <w:rFonts w:ascii="宋体" w:hAnsi="宋体" w:eastAsia="宋体" w:cs="宋体"/>
                <w:color w:val="auto"/>
                <w:sz w:val="24"/>
                <w:highlight w:val="none"/>
              </w:rPr>
            </w:pPr>
            <w:r>
              <w:rPr>
                <w:rFonts w:hint="eastAsia" w:ascii="宋体" w:hAnsi="宋体" w:eastAsia="宋体" w:cs="宋体"/>
                <w:color w:val="auto"/>
                <w:sz w:val="24"/>
                <w:highlight w:val="none"/>
              </w:rPr>
              <w:t>执业</w:t>
            </w:r>
            <w:r>
              <w:rPr>
                <w:rFonts w:hint="eastAsia" w:ascii="宋体" w:hAnsi="宋体" w:eastAsia="宋体" w:cs="宋体"/>
                <w:color w:val="auto"/>
                <w:spacing w:val="-2"/>
                <w:sz w:val="24"/>
                <w:highlight w:val="none"/>
              </w:rPr>
              <w:t>资</w:t>
            </w:r>
            <w:r>
              <w:rPr>
                <w:rFonts w:hint="eastAsia" w:ascii="宋体" w:hAnsi="宋体" w:eastAsia="宋体" w:cs="宋体"/>
                <w:color w:val="auto"/>
                <w:sz w:val="24"/>
                <w:highlight w:val="none"/>
              </w:rPr>
              <w:t>格</w:t>
            </w:r>
            <w:r>
              <w:rPr>
                <w:rFonts w:hint="eastAsia" w:ascii="宋体" w:hAnsi="宋体" w:eastAsia="宋体" w:cs="宋体"/>
                <w:color w:val="auto"/>
                <w:spacing w:val="-2"/>
                <w:sz w:val="24"/>
                <w:highlight w:val="none"/>
              </w:rPr>
              <w:t>证</w:t>
            </w:r>
            <w:r>
              <w:rPr>
                <w:rFonts w:hint="eastAsia" w:ascii="宋体" w:hAnsi="宋体" w:eastAsia="宋体" w:cs="宋体"/>
                <w:color w:val="auto"/>
                <w:sz w:val="24"/>
                <w:highlight w:val="none"/>
              </w:rPr>
              <w:t>书</w:t>
            </w:r>
          </w:p>
          <w:p>
            <w:pPr>
              <w:pBdr>
                <w:top w:val="none" w:color="auto" w:sz="0" w:space="1"/>
                <w:left w:val="none" w:color="auto" w:sz="0" w:space="4"/>
                <w:bottom w:val="none" w:color="auto" w:sz="0" w:space="1"/>
                <w:right w:val="none" w:color="auto" w:sz="0" w:space="4"/>
              </w:pBdr>
              <w:spacing w:line="360" w:lineRule="exact"/>
              <w:ind w:hanging="523"/>
              <w:jc w:val="center"/>
              <w:rPr>
                <w:rFonts w:ascii="宋体" w:hAnsi="宋体" w:eastAsia="宋体" w:cs="宋体"/>
                <w:color w:val="auto"/>
                <w:sz w:val="24"/>
                <w:highlight w:val="none"/>
              </w:rPr>
            </w:pP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或</w:t>
            </w:r>
            <w:r>
              <w:rPr>
                <w:rFonts w:hint="eastAsia" w:ascii="宋体" w:hAnsi="宋体" w:eastAsia="宋体" w:cs="宋体"/>
                <w:color w:val="auto"/>
                <w:spacing w:val="-2"/>
                <w:sz w:val="24"/>
                <w:highlight w:val="none"/>
              </w:rPr>
              <w:t>上</w:t>
            </w:r>
            <w:r>
              <w:rPr>
                <w:rFonts w:hint="eastAsia" w:ascii="宋体" w:hAnsi="宋体" w:eastAsia="宋体" w:cs="宋体"/>
                <w:color w:val="auto"/>
                <w:sz w:val="24"/>
                <w:highlight w:val="none"/>
              </w:rPr>
              <w:t>岗证书</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名称</w:t>
            </w:r>
          </w:p>
        </w:tc>
        <w:tc>
          <w:tcPr>
            <w:tcW w:w="2021"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exact"/>
        </w:trPr>
        <w:tc>
          <w:tcPr>
            <w:tcW w:w="1265" w:type="dxa"/>
            <w:noWrap/>
            <w:vAlign w:val="center"/>
          </w:tcPr>
          <w:p>
            <w:pPr>
              <w:pBdr>
                <w:top w:val="none" w:color="auto" w:sz="0" w:space="1"/>
                <w:left w:val="none" w:color="auto" w:sz="0" w:space="4"/>
                <w:bottom w:val="none" w:color="auto" w:sz="0" w:space="1"/>
                <w:right w:val="none" w:color="auto" w:sz="0" w:space="4"/>
              </w:pBdr>
              <w:tabs>
                <w:tab w:val="left" w:pos="680"/>
              </w:tabs>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118"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1022"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978"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2684" w:type="dxa"/>
            <w:gridSpan w:val="3"/>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拟在</w:t>
            </w:r>
            <w:r>
              <w:rPr>
                <w:rFonts w:hint="eastAsia" w:ascii="宋体" w:hAnsi="宋体" w:eastAsia="宋体" w:cs="宋体"/>
                <w:color w:val="auto"/>
                <w:spacing w:val="-2"/>
                <w:sz w:val="24"/>
                <w:highlight w:val="none"/>
              </w:rPr>
              <w:t>本</w:t>
            </w:r>
            <w:r>
              <w:rPr>
                <w:rFonts w:hint="eastAsia" w:ascii="宋体" w:hAnsi="宋体" w:eastAsia="宋体" w:cs="宋体"/>
                <w:color w:val="auto"/>
                <w:sz w:val="24"/>
                <w:highlight w:val="none"/>
              </w:rPr>
              <w:t>项</w:t>
            </w:r>
            <w:r>
              <w:rPr>
                <w:rFonts w:hint="eastAsia" w:ascii="宋体" w:hAnsi="宋体" w:eastAsia="宋体" w:cs="宋体"/>
                <w:color w:val="auto"/>
                <w:spacing w:val="-2"/>
                <w:sz w:val="24"/>
                <w:highlight w:val="none"/>
              </w:rPr>
              <w:t>目</w:t>
            </w:r>
            <w:r>
              <w:rPr>
                <w:rFonts w:hint="eastAsia" w:ascii="宋体" w:hAnsi="宋体" w:eastAsia="宋体" w:cs="宋体"/>
                <w:color w:val="auto"/>
                <w:sz w:val="24"/>
                <w:highlight w:val="none"/>
              </w:rPr>
              <w:t>任职</w:t>
            </w:r>
          </w:p>
        </w:tc>
        <w:tc>
          <w:tcPr>
            <w:tcW w:w="2021"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trPr>
        <w:tc>
          <w:tcPr>
            <w:tcW w:w="1265"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工作</w:t>
            </w:r>
            <w:r>
              <w:rPr>
                <w:rFonts w:hint="eastAsia" w:ascii="宋体" w:hAnsi="宋体" w:eastAsia="宋体" w:cs="宋体"/>
                <w:color w:val="auto"/>
                <w:spacing w:val="-2"/>
                <w:sz w:val="24"/>
                <w:highlight w:val="none"/>
              </w:rPr>
              <w:t>年</w:t>
            </w:r>
            <w:r>
              <w:rPr>
                <w:rFonts w:hint="eastAsia" w:ascii="宋体" w:hAnsi="宋体" w:eastAsia="宋体" w:cs="宋体"/>
                <w:color w:val="auto"/>
                <w:sz w:val="24"/>
                <w:highlight w:val="none"/>
              </w:rPr>
              <w:t>限</w:t>
            </w:r>
          </w:p>
        </w:tc>
        <w:tc>
          <w:tcPr>
            <w:tcW w:w="3118"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2684" w:type="dxa"/>
            <w:gridSpan w:val="3"/>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从事</w:t>
            </w:r>
            <w:r>
              <w:rPr>
                <w:rFonts w:hint="eastAsia" w:ascii="宋体" w:hAnsi="宋体" w:eastAsia="宋体" w:cs="宋体"/>
                <w:color w:val="auto"/>
                <w:spacing w:val="-2"/>
                <w:sz w:val="24"/>
                <w:highlight w:val="none"/>
              </w:rPr>
              <w:t>工</w:t>
            </w:r>
            <w:r>
              <w:rPr>
                <w:rFonts w:hint="eastAsia" w:ascii="宋体" w:hAnsi="宋体" w:eastAsia="宋体" w:cs="宋体"/>
                <w:color w:val="auto"/>
                <w:sz w:val="24"/>
                <w:highlight w:val="none"/>
              </w:rPr>
              <w:t>作</w:t>
            </w:r>
            <w:r>
              <w:rPr>
                <w:rFonts w:hint="eastAsia" w:ascii="宋体" w:hAnsi="宋体" w:eastAsia="宋体" w:cs="宋体"/>
                <w:color w:val="auto"/>
                <w:spacing w:val="-2"/>
                <w:sz w:val="24"/>
                <w:highlight w:val="none"/>
              </w:rPr>
              <w:t>年</w:t>
            </w:r>
            <w:r>
              <w:rPr>
                <w:rFonts w:hint="eastAsia" w:ascii="宋体" w:hAnsi="宋体" w:eastAsia="宋体" w:cs="宋体"/>
                <w:color w:val="auto"/>
                <w:sz w:val="24"/>
                <w:highlight w:val="none"/>
              </w:rPr>
              <w:t>限</w:t>
            </w:r>
          </w:p>
        </w:tc>
        <w:tc>
          <w:tcPr>
            <w:tcW w:w="2021"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exact"/>
        </w:trPr>
        <w:tc>
          <w:tcPr>
            <w:tcW w:w="1265"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毕业</w:t>
            </w:r>
            <w:r>
              <w:rPr>
                <w:rFonts w:hint="eastAsia" w:ascii="宋体" w:hAnsi="宋体" w:eastAsia="宋体" w:cs="宋体"/>
                <w:color w:val="auto"/>
                <w:spacing w:val="-2"/>
                <w:sz w:val="24"/>
                <w:highlight w:val="none"/>
              </w:rPr>
              <w:t>学</w:t>
            </w:r>
            <w:r>
              <w:rPr>
                <w:rFonts w:hint="eastAsia" w:ascii="宋体" w:hAnsi="宋体" w:eastAsia="宋体" w:cs="宋体"/>
                <w:color w:val="auto"/>
                <w:sz w:val="24"/>
                <w:highlight w:val="none"/>
              </w:rPr>
              <w:t>校</w:t>
            </w:r>
          </w:p>
        </w:tc>
        <w:tc>
          <w:tcPr>
            <w:tcW w:w="7823" w:type="dxa"/>
            <w:gridSpan w:val="8"/>
            <w:noWrap/>
            <w:vAlign w:val="center"/>
          </w:tcPr>
          <w:p>
            <w:pPr>
              <w:pBdr>
                <w:top w:val="none" w:color="auto" w:sz="0" w:space="1"/>
                <w:left w:val="none" w:color="auto" w:sz="0" w:space="4"/>
                <w:bottom w:val="none" w:color="auto" w:sz="0" w:space="1"/>
                <w:right w:val="none" w:color="auto" w:sz="0" w:space="4"/>
              </w:pBdr>
              <w:tabs>
                <w:tab w:val="left" w:pos="3340"/>
                <w:tab w:val="left" w:pos="4620"/>
              </w:tabs>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年毕</w:t>
            </w:r>
            <w:r>
              <w:rPr>
                <w:rFonts w:hint="eastAsia" w:ascii="宋体" w:hAnsi="宋体" w:eastAsia="宋体" w:cs="宋体"/>
                <w:color w:val="auto"/>
                <w:spacing w:val="-2"/>
                <w:sz w:val="24"/>
                <w:highlight w:val="none"/>
              </w:rPr>
              <w:t>业</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rPr>
              <w:tab/>
            </w:r>
            <w:r>
              <w:rPr>
                <w:rFonts w:hint="eastAsia" w:ascii="宋体" w:hAnsi="宋体" w:eastAsia="宋体" w:cs="宋体"/>
                <w:color w:val="auto"/>
                <w:spacing w:val="-2"/>
                <w:sz w:val="24"/>
                <w:highlight w:val="none"/>
              </w:rPr>
              <w:t>学</w:t>
            </w:r>
            <w:r>
              <w:rPr>
                <w:rFonts w:hint="eastAsia" w:ascii="宋体" w:hAnsi="宋体" w:eastAsia="宋体" w:cs="宋体"/>
                <w:color w:val="auto"/>
                <w:sz w:val="24"/>
                <w:highlight w:val="none"/>
              </w:rPr>
              <w:t>校</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trPr>
        <w:tc>
          <w:tcPr>
            <w:tcW w:w="9088" w:type="dxa"/>
            <w:gridSpan w:val="9"/>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主要</w:t>
            </w:r>
            <w:r>
              <w:rPr>
                <w:rFonts w:hint="eastAsia" w:ascii="宋体" w:hAnsi="宋体" w:eastAsia="宋体" w:cs="宋体"/>
                <w:color w:val="auto"/>
                <w:spacing w:val="-2"/>
                <w:sz w:val="24"/>
                <w:highlight w:val="none"/>
              </w:rPr>
              <w:t>工</w:t>
            </w:r>
            <w:r>
              <w:rPr>
                <w:rFonts w:hint="eastAsia" w:ascii="宋体" w:hAnsi="宋体" w:eastAsia="宋体" w:cs="宋体"/>
                <w:color w:val="auto"/>
                <w:sz w:val="24"/>
                <w:highlight w:val="none"/>
              </w:rPr>
              <w:t>作</w:t>
            </w:r>
            <w:r>
              <w:rPr>
                <w:rFonts w:hint="eastAsia" w:ascii="宋体" w:hAnsi="宋体" w:eastAsia="宋体" w:cs="宋体"/>
                <w:color w:val="auto"/>
                <w:spacing w:val="-2"/>
                <w:sz w:val="24"/>
                <w:highlight w:val="none"/>
              </w:rPr>
              <w:t>经</w:t>
            </w:r>
            <w:r>
              <w:rPr>
                <w:rFonts w:hint="eastAsia" w:ascii="宋体" w:hAnsi="宋体" w:eastAsia="宋体" w:cs="宋体"/>
                <w:color w:val="auto"/>
                <w:sz w:val="24"/>
                <w:highlight w:val="none"/>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时间</w:t>
            </w: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参加</w:t>
            </w:r>
            <w:r>
              <w:rPr>
                <w:rFonts w:hint="eastAsia" w:ascii="宋体" w:hAnsi="宋体" w:eastAsia="宋体" w:cs="宋体"/>
                <w:color w:val="auto"/>
                <w:spacing w:val="-2"/>
                <w:sz w:val="24"/>
                <w:highlight w:val="none"/>
              </w:rPr>
              <w:t>过</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类</w:t>
            </w:r>
            <w:r>
              <w:rPr>
                <w:rFonts w:hint="eastAsia" w:ascii="宋体" w:hAnsi="宋体" w:eastAsia="宋体" w:cs="宋体"/>
                <w:color w:val="auto"/>
                <w:sz w:val="24"/>
                <w:highlight w:val="none"/>
              </w:rPr>
              <w:t>似</w:t>
            </w:r>
            <w:r>
              <w:rPr>
                <w:rFonts w:hint="eastAsia" w:ascii="宋体" w:hAnsi="宋体" w:eastAsia="宋体" w:cs="宋体"/>
                <w:color w:val="auto"/>
                <w:spacing w:val="-2"/>
                <w:sz w:val="24"/>
                <w:highlight w:val="none"/>
              </w:rPr>
              <w:t>项</w:t>
            </w:r>
            <w:r>
              <w:rPr>
                <w:rFonts w:hint="eastAsia" w:ascii="宋体" w:hAnsi="宋体" w:eastAsia="宋体" w:cs="宋体"/>
                <w:color w:val="auto"/>
                <w:sz w:val="24"/>
                <w:highlight w:val="none"/>
              </w:rPr>
              <w:t>目</w:t>
            </w: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担任</w:t>
            </w:r>
            <w:r>
              <w:rPr>
                <w:rFonts w:hint="eastAsia" w:ascii="宋体" w:hAnsi="宋体" w:eastAsia="宋体" w:cs="宋体"/>
                <w:color w:val="auto"/>
                <w:spacing w:val="-2"/>
                <w:sz w:val="24"/>
                <w:highlight w:val="none"/>
              </w:rPr>
              <w:t>职</w:t>
            </w:r>
            <w:r>
              <w:rPr>
                <w:rFonts w:hint="eastAsia" w:ascii="宋体" w:hAnsi="宋体" w:eastAsia="宋体" w:cs="宋体"/>
                <w:color w:val="auto"/>
                <w:sz w:val="24"/>
                <w:highlight w:val="none"/>
              </w:rPr>
              <w:t>务</w:t>
            </w: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项目负责</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及</w:t>
            </w:r>
            <w:r>
              <w:rPr>
                <w:rFonts w:hint="eastAsia" w:ascii="宋体" w:hAnsi="宋体" w:eastAsia="宋体" w:cs="宋体"/>
                <w:color w:val="auto"/>
                <w:spacing w:val="-2"/>
                <w:sz w:val="24"/>
                <w:highlight w:val="none"/>
              </w:rPr>
              <w:t>联</w:t>
            </w:r>
            <w:r>
              <w:rPr>
                <w:rFonts w:hint="eastAsia" w:ascii="宋体" w:hAnsi="宋体" w:eastAsia="宋体" w:cs="宋体"/>
                <w:color w:val="auto"/>
                <w:sz w:val="24"/>
                <w:highlight w:val="none"/>
              </w:rPr>
              <w:t>系</w:t>
            </w:r>
            <w:r>
              <w:rPr>
                <w:rFonts w:hint="eastAsia" w:ascii="宋体" w:hAnsi="宋体" w:eastAsia="宋体" w:cs="宋体"/>
                <w:color w:val="auto"/>
                <w:spacing w:val="-2"/>
                <w:sz w:val="24"/>
                <w:highlight w:val="none"/>
              </w:rPr>
              <w:t>电</w:t>
            </w:r>
            <w:r>
              <w:rPr>
                <w:rFonts w:hint="eastAsia" w:ascii="宋体" w:hAnsi="宋体" w:eastAsia="宋体" w:cs="宋体"/>
                <w:color w:val="auto"/>
                <w:sz w:val="24"/>
                <w:highlight w:val="none"/>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ascii="宋体" w:hAnsi="宋体" w:eastAsia="宋体" w:cs="宋体"/>
                <w:color w:val="auto"/>
                <w:highlight w:val="none"/>
              </w:rPr>
            </w:pPr>
          </w:p>
          <w:p>
            <w:pPr>
              <w:pStyle w:val="2"/>
              <w:pBdr>
                <w:top w:val="none" w:color="auto" w:sz="0" w:space="1"/>
                <w:left w:val="none" w:color="auto" w:sz="0" w:space="4"/>
                <w:bottom w:val="none" w:color="auto" w:sz="0" w:space="1"/>
                <w:right w:val="none" w:color="auto" w:sz="0" w:space="4"/>
              </w:pBdr>
              <w:spacing w:after="0" w:line="360" w:lineRule="exact"/>
              <w:rPr>
                <w:rFonts w:ascii="宋体" w:hAnsi="宋体" w:eastAsia="宋体" w:cs="宋体"/>
                <w:color w:val="auto"/>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r>
    </w:tbl>
    <w:p>
      <w:pPr>
        <w:pBdr>
          <w:top w:val="none" w:color="auto" w:sz="0" w:space="1"/>
          <w:left w:val="none" w:color="auto" w:sz="0" w:space="4"/>
          <w:bottom w:val="none" w:color="auto" w:sz="0" w:space="1"/>
          <w:right w:val="none" w:color="auto" w:sz="0" w:space="4"/>
        </w:pBdr>
        <w:rPr>
          <w:rFonts w:ascii="宋体" w:hAnsi="宋体" w:eastAsia="宋体" w:cs="宋体"/>
          <w:b/>
          <w:bCs/>
          <w:color w:val="auto"/>
          <w:sz w:val="24"/>
          <w:highlight w:val="none"/>
        </w:rPr>
      </w:pPr>
      <w:r>
        <w:rPr>
          <w:rFonts w:hint="eastAsia" w:ascii="宋体" w:hAnsi="宋体" w:eastAsia="宋体" w:cs="宋体"/>
          <w:b/>
          <w:bCs/>
          <w:color w:val="auto"/>
          <w:sz w:val="24"/>
          <w:highlight w:val="none"/>
        </w:rPr>
        <w:t>说明：</w:t>
      </w:r>
    </w:p>
    <w:p>
      <w:pPr>
        <w:pBdr>
          <w:top w:val="none" w:color="auto" w:sz="0" w:space="1"/>
          <w:left w:val="none" w:color="auto" w:sz="0" w:space="4"/>
          <w:bottom w:val="none" w:color="auto" w:sz="0" w:space="1"/>
          <w:right w:val="none" w:color="auto" w:sz="0" w:space="4"/>
        </w:pBdr>
        <w:spacing w:line="440" w:lineRule="exact"/>
        <w:ind w:firstLine="482"/>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1.本项目的项目负责人</w:t>
      </w:r>
      <w:r>
        <w:rPr>
          <w:rFonts w:hint="eastAsia" w:ascii="宋体" w:hAnsi="宋体" w:cs="宋体"/>
          <w:color w:val="auto"/>
          <w:sz w:val="24"/>
          <w:szCs w:val="22"/>
          <w:highlight w:val="none"/>
        </w:rPr>
        <w:t>如有</w:t>
      </w:r>
      <w:r>
        <w:rPr>
          <w:rFonts w:hint="eastAsia" w:ascii="宋体" w:hAnsi="宋体" w:eastAsia="宋体" w:cs="宋体"/>
          <w:color w:val="auto"/>
          <w:sz w:val="24"/>
          <w:szCs w:val="22"/>
          <w:highlight w:val="none"/>
        </w:rPr>
        <w:t>承担的类似项目经历说明，需提供投标人加盖公章的证明材料（或合同协议书或中标通知书等证明文件）扫描件；</w:t>
      </w:r>
    </w:p>
    <w:p>
      <w:pPr>
        <w:pBdr>
          <w:top w:val="none" w:color="auto" w:sz="0" w:space="1"/>
          <w:left w:val="none" w:color="auto" w:sz="0" w:space="4"/>
          <w:bottom w:val="none" w:color="auto" w:sz="0" w:space="1"/>
          <w:right w:val="none" w:color="auto" w:sz="0" w:space="4"/>
        </w:pBdr>
        <w:spacing w:line="440" w:lineRule="exact"/>
        <w:ind w:firstLine="482"/>
        <w:rPr>
          <w:rFonts w:ascii="宋体" w:hAnsi="宋体" w:cs="宋体"/>
          <w:color w:val="auto"/>
          <w:sz w:val="24"/>
          <w:szCs w:val="22"/>
          <w:highlight w:val="none"/>
        </w:rPr>
      </w:pPr>
      <w:r>
        <w:rPr>
          <w:rFonts w:hint="eastAsia" w:ascii="宋体" w:hAnsi="宋体" w:eastAsia="宋体" w:cs="宋体"/>
          <w:color w:val="auto"/>
          <w:sz w:val="24"/>
          <w:szCs w:val="22"/>
          <w:highlight w:val="none"/>
        </w:rPr>
        <w:t>2.</w:t>
      </w:r>
      <w:r>
        <w:rPr>
          <w:rFonts w:hint="eastAsia" w:ascii="宋体" w:hAnsi="宋体" w:eastAsia="宋体" w:cs="宋体"/>
          <w:color w:val="auto"/>
          <w:sz w:val="24"/>
          <w:szCs w:val="22"/>
          <w:highlight w:val="none"/>
          <w:lang w:val="en-US" w:eastAsia="zh-CN"/>
        </w:rPr>
        <w:t>附</w:t>
      </w:r>
      <w:r>
        <w:rPr>
          <w:rFonts w:hint="eastAsia" w:ascii="宋体" w:hAnsi="宋体" w:eastAsia="宋体" w:cs="宋体"/>
          <w:color w:val="auto"/>
          <w:sz w:val="24"/>
          <w:szCs w:val="22"/>
          <w:highlight w:val="none"/>
        </w:rPr>
        <w:t>身份证、其他相关证件、证书</w:t>
      </w:r>
      <w:r>
        <w:rPr>
          <w:rFonts w:hint="eastAsia" w:ascii="宋体" w:hAnsi="宋体" w:eastAsia="宋体" w:cs="宋体"/>
          <w:color w:val="auto"/>
          <w:sz w:val="24"/>
          <w:szCs w:val="22"/>
          <w:highlight w:val="none"/>
          <w:lang w:val="en-US" w:eastAsia="zh-CN"/>
        </w:rPr>
        <w:t>及社保证明</w:t>
      </w:r>
      <w:r>
        <w:rPr>
          <w:rFonts w:hint="eastAsia" w:ascii="宋体" w:hAnsi="宋体" w:eastAsia="宋体" w:cs="宋体"/>
          <w:color w:val="auto"/>
          <w:sz w:val="24"/>
          <w:szCs w:val="22"/>
          <w:highlight w:val="none"/>
        </w:rPr>
        <w:t>等扫描件；</w:t>
      </w:r>
    </w:p>
    <w:p>
      <w:pPr>
        <w:pBdr>
          <w:top w:val="none" w:color="auto" w:sz="0" w:space="1"/>
          <w:left w:val="none" w:color="auto" w:sz="0" w:space="4"/>
          <w:bottom w:val="none" w:color="auto" w:sz="0" w:space="1"/>
          <w:right w:val="none" w:color="auto" w:sz="0" w:space="4"/>
        </w:pBdr>
        <w:rPr>
          <w:rFonts w:ascii="宋体" w:hAnsi="宋体" w:eastAsia="宋体" w:cs="宋体"/>
          <w:color w:val="auto"/>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Bdr>
          <w:top w:val="none" w:color="auto" w:sz="0" w:space="1"/>
          <w:left w:val="none" w:color="auto" w:sz="0" w:space="4"/>
          <w:bottom w:val="none" w:color="auto" w:sz="0" w:space="1"/>
          <w:right w:val="none" w:color="auto" w:sz="0" w:space="4"/>
        </w:pBdr>
        <w:spacing w:line="48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4"/>
          <w:highlight w:val="none"/>
        </w:rPr>
        <w:t>注：如上述资料在资格审查部分已提供，则此处无须重复提交。</w:t>
      </w:r>
      <w:r>
        <w:rPr>
          <w:rFonts w:hint="eastAsia" w:ascii="宋体" w:hAnsi="宋体" w:eastAsia="宋体" w:cs="宋体"/>
          <w:color w:val="auto"/>
          <w:highlight w:val="none"/>
        </w:rPr>
        <w:br w:type="page"/>
      </w:r>
      <w:bookmarkStart w:id="126" w:name="_Toc46998070"/>
      <w:r>
        <w:rPr>
          <w:rFonts w:hint="eastAsia" w:ascii="宋体" w:hAnsi="宋体" w:eastAsia="宋体" w:cs="宋体"/>
          <w:b/>
          <w:bCs/>
          <w:color w:val="auto"/>
          <w:sz w:val="24"/>
          <w:highlight w:val="none"/>
        </w:rPr>
        <w:t>2.拟投入本项目服务人员配备</w:t>
      </w:r>
      <w:bookmarkEnd w:id="126"/>
      <w:r>
        <w:rPr>
          <w:rFonts w:hint="eastAsia" w:ascii="宋体" w:hAnsi="宋体" w:eastAsia="宋体" w:cs="宋体"/>
          <w:b/>
          <w:bCs/>
          <w:color w:val="auto"/>
          <w:sz w:val="24"/>
          <w:highlight w:val="none"/>
        </w:rPr>
        <w:t>表</w:t>
      </w:r>
    </w:p>
    <w:p>
      <w:pPr>
        <w:pBdr>
          <w:top w:val="none" w:color="auto" w:sz="0" w:space="1"/>
          <w:left w:val="none" w:color="auto" w:sz="0" w:space="4"/>
          <w:bottom w:val="none" w:color="auto" w:sz="0" w:space="1"/>
          <w:right w:val="none" w:color="auto" w:sz="0" w:space="4"/>
        </w:pBdr>
        <w:rPr>
          <w:rFonts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tbl>
      <w:tblPr>
        <w:tblStyle w:val="1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020"/>
        <w:gridCol w:w="840"/>
        <w:gridCol w:w="1425"/>
        <w:gridCol w:w="1365"/>
        <w:gridCol w:w="1665"/>
        <w:gridCol w:w="130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84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r>
              <w:rPr>
                <w:rFonts w:hint="eastAsia" w:ascii="宋体" w:hAnsi="宋体" w:eastAsia="宋体" w:cs="宋体"/>
                <w:color w:val="auto"/>
                <w:sz w:val="24"/>
                <w:highlight w:val="none"/>
              </w:rPr>
              <w:t>职务或职称</w:t>
            </w: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r>
              <w:rPr>
                <w:rFonts w:hint="eastAsia" w:ascii="宋体" w:hAnsi="宋体" w:eastAsia="宋体" w:cs="宋体"/>
                <w:color w:val="auto"/>
                <w:sz w:val="24"/>
                <w:highlight w:val="none"/>
              </w:rPr>
              <w:t>相关资格证书名称</w:t>
            </w: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r>
              <w:rPr>
                <w:rFonts w:hint="eastAsia" w:ascii="宋体" w:hAnsi="宋体" w:eastAsia="宋体" w:cs="宋体"/>
                <w:color w:val="auto"/>
                <w:sz w:val="24"/>
                <w:highlight w:val="none"/>
              </w:rPr>
              <w:t>资格证书编号</w:t>
            </w:r>
          </w:p>
        </w:tc>
        <w:tc>
          <w:tcPr>
            <w:tcW w:w="93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r>
              <w:rPr>
                <w:rFonts w:hint="eastAsia" w:ascii="宋体" w:hAnsi="宋体" w:eastAsia="宋体" w:cs="宋体"/>
                <w:color w:val="auto"/>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r>
    </w:tbl>
    <w:p>
      <w:pPr>
        <w:pBdr>
          <w:top w:val="none" w:color="auto" w:sz="0" w:space="1"/>
          <w:left w:val="none" w:color="auto" w:sz="0" w:space="4"/>
          <w:bottom w:val="none" w:color="auto" w:sz="0" w:space="1"/>
          <w:right w:val="none" w:color="auto" w:sz="0" w:space="4"/>
        </w:pBdr>
        <w:rPr>
          <w:rFonts w:ascii="宋体" w:hAnsi="宋体" w:eastAsia="宋体" w:cs="宋体"/>
          <w:b/>
          <w:bCs/>
          <w:color w:val="auto"/>
          <w:sz w:val="24"/>
          <w:highlight w:val="none"/>
        </w:rPr>
      </w:pPr>
      <w:r>
        <w:rPr>
          <w:rFonts w:hint="eastAsia" w:ascii="宋体" w:hAnsi="宋体" w:eastAsia="宋体" w:cs="宋体"/>
          <w:b/>
          <w:bCs/>
          <w:color w:val="auto"/>
          <w:sz w:val="24"/>
          <w:highlight w:val="none"/>
        </w:rPr>
        <w:t>说明：</w:t>
      </w:r>
    </w:p>
    <w:p>
      <w:pPr>
        <w:pBdr>
          <w:top w:val="none" w:color="auto" w:sz="0" w:space="1"/>
          <w:left w:val="none" w:color="auto" w:sz="0" w:space="4"/>
          <w:bottom w:val="none" w:color="auto" w:sz="0" w:space="1"/>
          <w:right w:val="none" w:color="auto" w:sz="0" w:space="4"/>
        </w:pBdr>
        <w:spacing w:before="120" w:after="120" w:line="440" w:lineRule="exact"/>
        <w:ind w:firstLine="480"/>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1.投标人可根据实际情况调整本表；</w:t>
      </w:r>
    </w:p>
    <w:p>
      <w:pPr>
        <w:pBdr>
          <w:top w:val="none" w:color="auto" w:sz="0" w:space="1"/>
          <w:left w:val="none" w:color="auto" w:sz="0" w:space="4"/>
          <w:bottom w:val="none" w:color="auto" w:sz="0" w:space="1"/>
          <w:right w:val="none" w:color="auto" w:sz="0" w:space="4"/>
        </w:pBdr>
        <w:spacing w:before="120" w:after="120" w:line="440" w:lineRule="exact"/>
        <w:ind w:firstLine="480"/>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2.附人员相关证件、证书</w:t>
      </w:r>
      <w:r>
        <w:rPr>
          <w:rFonts w:hint="eastAsia" w:ascii="宋体" w:hAnsi="宋体" w:eastAsia="宋体" w:cs="宋体"/>
          <w:color w:val="auto"/>
          <w:sz w:val="24"/>
          <w:szCs w:val="22"/>
          <w:highlight w:val="none"/>
          <w:lang w:val="en-US" w:eastAsia="zh-CN"/>
        </w:rPr>
        <w:t>及社保证明</w:t>
      </w:r>
      <w:r>
        <w:rPr>
          <w:rFonts w:hint="eastAsia" w:ascii="宋体" w:hAnsi="宋体" w:eastAsia="宋体" w:cs="宋体"/>
          <w:color w:val="auto"/>
          <w:sz w:val="24"/>
          <w:szCs w:val="22"/>
          <w:highlight w:val="none"/>
        </w:rPr>
        <w:t>扫描件。</w:t>
      </w:r>
    </w:p>
    <w:p>
      <w:pPr>
        <w:pBdr>
          <w:top w:val="none" w:color="auto" w:sz="0" w:space="1"/>
          <w:left w:val="none" w:color="auto" w:sz="0" w:space="4"/>
          <w:bottom w:val="none" w:color="auto" w:sz="0" w:space="1"/>
          <w:right w:val="none" w:color="auto" w:sz="0" w:space="4"/>
        </w:pBdr>
        <w:rPr>
          <w:rFonts w:ascii="宋体" w:hAnsi="宋体" w:eastAsia="宋体" w:cs="宋体"/>
          <w:color w:val="auto"/>
          <w:highlight w:val="none"/>
        </w:rPr>
      </w:pPr>
    </w:p>
    <w:p>
      <w:pPr>
        <w:pBdr>
          <w:top w:val="none" w:color="auto" w:sz="0" w:space="1"/>
          <w:left w:val="none" w:color="auto" w:sz="0" w:space="4"/>
          <w:bottom w:val="none" w:color="auto" w:sz="0" w:space="1"/>
          <w:right w:val="none" w:color="auto" w:sz="0" w:space="4"/>
        </w:pBdr>
        <w:rPr>
          <w:rFonts w:ascii="宋体" w:hAnsi="宋体" w:eastAsia="宋体" w:cs="宋体"/>
          <w:color w:val="auto"/>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before="120" w:after="120" w:line="440" w:lineRule="exact"/>
        <w:ind w:firstLine="360" w:firstLineChars="150"/>
        <w:rPr>
          <w:rFonts w:ascii="宋体" w:hAnsi="宋体" w:eastAsia="宋体" w:cs="宋体"/>
          <w:color w:val="auto"/>
          <w:sz w:val="24"/>
          <w:highlight w:val="none"/>
        </w:rPr>
      </w:pPr>
    </w:p>
    <w:p>
      <w:pPr>
        <w:pStyle w:val="7"/>
        <w:ind w:firstLine="480"/>
        <w:rPr>
          <w:rFonts w:ascii="宋体" w:hAnsi="宋体" w:eastAsia="宋体" w:cs="宋体"/>
          <w:color w:val="auto"/>
          <w:sz w:val="24"/>
          <w:highlight w:val="none"/>
        </w:rPr>
      </w:pPr>
    </w:p>
    <w:p>
      <w:pPr>
        <w:pStyle w:val="7"/>
        <w:ind w:firstLine="480"/>
        <w:rPr>
          <w:rFonts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spacing w:line="480" w:lineRule="auto"/>
        <w:jc w:val="center"/>
        <w:rPr>
          <w:rFonts w:ascii="宋体" w:hAnsi="宋体" w:eastAsia="宋体" w:cs="宋体"/>
          <w:b/>
          <w:bCs/>
          <w:color w:val="auto"/>
          <w:sz w:val="24"/>
          <w:highlight w:val="none"/>
        </w:rPr>
      </w:pPr>
      <w:r>
        <w:rPr>
          <w:rFonts w:ascii="宋体" w:hAnsi="宋体" w:eastAsia="宋体" w:cs="宋体"/>
          <w:color w:val="auto"/>
          <w:sz w:val="24"/>
          <w:highlight w:val="none"/>
        </w:rPr>
        <w:br w:type="page"/>
      </w:r>
    </w:p>
    <w:p>
      <w:pPr>
        <w:pBdr>
          <w:top w:val="none" w:color="auto" w:sz="0" w:space="1"/>
          <w:left w:val="none" w:color="auto" w:sz="0" w:space="4"/>
          <w:bottom w:val="none" w:color="auto" w:sz="0" w:space="1"/>
          <w:right w:val="none" w:color="auto" w:sz="0" w:space="4"/>
        </w:pBdr>
        <w:spacing w:line="480"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拟派往本项目的项目组成员不更换承诺</w:t>
      </w:r>
    </w:p>
    <w:p>
      <w:pPr>
        <w:pBdr>
          <w:top w:val="none" w:color="auto" w:sz="0" w:space="1"/>
          <w:left w:val="none" w:color="auto" w:sz="0" w:space="4"/>
          <w:bottom w:val="none" w:color="auto" w:sz="0" w:space="1"/>
          <w:right w:val="none" w:color="auto" w:sz="0" w:space="4"/>
        </w:pBdr>
        <w:spacing w:line="480" w:lineRule="auto"/>
        <w:rPr>
          <w:rFonts w:ascii="宋体" w:hAnsi="宋体" w:eastAsia="宋体" w:cs="宋体"/>
          <w:b/>
          <w:bCs/>
          <w:color w:val="auto"/>
          <w:sz w:val="24"/>
          <w:highlight w:val="none"/>
        </w:rPr>
      </w:pP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（招标人名称）：</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若我方成为本项目的中标人，我单位现对拟派往本项目的项目组成员做如下承诺：</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1、拟派往本项目的项目负责人、主要专业负责人及主要管理人员均为本单位人员，如有虚报，一经查实导致投标被拒绝的一切责任自行承担。</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中标后，项目负责人、主要专业负责人及主要管理人员未经招标人同意不得进行更换。如需更换必须经过招标人书面同意，未经招标人同意私自更换项目组成人员的，每次更换罚款以合同中约定的为准，罚款金额在服务费中扣除。</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3、本项目无条件服从招标人的工作安排，并保证项目负责人、主要专业负责人及主要管理人员随叫随到，全心全意服务本项目，直至本项目竣工验收移交及审计完成。</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4、若因拟派成员不能满足招标人要求，招标人提出对成员进行调整的，则按招标人要求进行调整。</w:t>
      </w:r>
    </w:p>
    <w:p>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eastAsia="宋体" w:cs="宋体"/>
          <w:color w:val="auto"/>
          <w:sz w:val="24"/>
          <w:highlight w:val="none"/>
        </w:rPr>
      </w:pPr>
    </w:p>
    <w:p>
      <w:pPr>
        <w:rPr>
          <w:color w:val="auto"/>
          <w:highlight w:val="none"/>
        </w:rPr>
      </w:pPr>
      <w:r>
        <w:rPr>
          <w:rFonts w:hint="eastAsia" w:ascii="宋体" w:hAnsi="宋体" w:eastAsia="宋体" w:cs="宋体"/>
          <w:color w:val="auto"/>
          <w:sz w:val="24"/>
          <w:highlight w:val="none"/>
        </w:rPr>
        <w:t>特此承诺。</w:t>
      </w:r>
    </w:p>
    <w:p>
      <w:pPr>
        <w:widowControl/>
        <w:jc w:val="left"/>
        <w:rPr>
          <w:color w:val="auto"/>
          <w:highlight w:val="none"/>
        </w:rPr>
      </w:pPr>
    </w:p>
    <w:p>
      <w:pPr>
        <w:rPr>
          <w:color w:val="auto"/>
          <w:highlight w:val="none"/>
        </w:rPr>
      </w:pPr>
    </w:p>
    <w:p>
      <w:pPr>
        <w:rPr>
          <w:color w:val="auto"/>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color w:val="auto"/>
          <w:highlight w:val="none"/>
        </w:rPr>
      </w:pPr>
      <w:r>
        <w:rPr>
          <w:rFonts w:hint="eastAsia" w:ascii="宋体" w:hAnsi="宋体" w:eastAsia="宋体" w:cs="宋体"/>
          <w:color w:val="auto"/>
          <w:sz w:val="24"/>
          <w:highlight w:val="none"/>
          <w:u w:val="none"/>
        </w:rPr>
        <w:t>日期：_________年______月______日</w:t>
      </w:r>
    </w:p>
    <w:p>
      <w:pPr>
        <w:rPr>
          <w:color w:val="auto"/>
          <w:highlight w:val="none"/>
        </w:rPr>
      </w:pPr>
      <w:r>
        <w:rPr>
          <w:color w:val="auto"/>
          <w:highlight w:val="none"/>
        </w:rPr>
        <w:br w:type="page"/>
      </w:r>
    </w:p>
    <w:p>
      <w:pPr>
        <w:pStyle w:val="5"/>
        <w:rPr>
          <w:color w:val="auto"/>
          <w:highlight w:val="none"/>
        </w:rPr>
      </w:pPr>
      <w:bookmarkStart w:id="127" w:name="_Toc28681"/>
      <w:r>
        <w:rPr>
          <w:rFonts w:hint="eastAsia"/>
          <w:color w:val="auto"/>
          <w:highlight w:val="none"/>
        </w:rPr>
        <w:t>五、近年类似项目情况表</w:t>
      </w:r>
      <w:bookmarkEnd w:id="127"/>
    </w:p>
    <w:tbl>
      <w:tblPr>
        <w:tblStyle w:val="18"/>
        <w:tblW w:w="10063" w:type="dxa"/>
        <w:tblInd w:w="-316" w:type="dxa"/>
        <w:tblLayout w:type="fixed"/>
        <w:tblCellMar>
          <w:top w:w="0" w:type="dxa"/>
          <w:left w:w="0" w:type="dxa"/>
          <w:bottom w:w="0" w:type="dxa"/>
          <w:right w:w="0" w:type="dxa"/>
        </w:tblCellMar>
      </w:tblPr>
      <w:tblGrid>
        <w:gridCol w:w="708"/>
        <w:gridCol w:w="2268"/>
        <w:gridCol w:w="1701"/>
        <w:gridCol w:w="1842"/>
        <w:gridCol w:w="1843"/>
        <w:gridCol w:w="1701"/>
      </w:tblGrid>
      <w:tr>
        <w:tblPrEx>
          <w:tblCellMar>
            <w:top w:w="0" w:type="dxa"/>
            <w:left w:w="0" w:type="dxa"/>
            <w:bottom w:w="0" w:type="dxa"/>
            <w:right w:w="0" w:type="dxa"/>
          </w:tblCellMar>
        </w:tblPrEx>
        <w:trPr>
          <w:trHeight w:val="750" w:hRule="atLeast"/>
        </w:trPr>
        <w:tc>
          <w:tcPr>
            <w:tcW w:w="708"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center"/>
              <w:rPr>
                <w:rFonts w:ascii="宋体" w:hAnsi="宋体" w:eastAsia="宋体" w:cs="宋体"/>
                <w:color w:val="auto"/>
                <w:sz w:val="22"/>
                <w:highlight w:val="none"/>
              </w:rPr>
            </w:pPr>
            <w:r>
              <w:rPr>
                <w:rFonts w:hint="eastAsia" w:ascii="宋体" w:hAnsi="宋体" w:eastAsia="宋体" w:cs="宋体"/>
                <w:color w:val="auto"/>
                <w:sz w:val="22"/>
                <w:highlight w:val="none"/>
              </w:rPr>
              <w:t>项目名称</w:t>
            </w:r>
          </w:p>
        </w:tc>
        <w:tc>
          <w:tcPr>
            <w:tcW w:w="1701" w:type="dxa"/>
            <w:tcBorders>
              <w:top w:val="single" w:color="000000" w:sz="4" w:space="0"/>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项目业主</w:t>
            </w:r>
          </w:p>
        </w:tc>
        <w:tc>
          <w:tcPr>
            <w:tcW w:w="1842"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项目类别</w:t>
            </w:r>
          </w:p>
        </w:tc>
        <w:tc>
          <w:tcPr>
            <w:tcW w:w="184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服务起/止时间</w:t>
            </w:r>
          </w:p>
        </w:tc>
        <w:tc>
          <w:tcPr>
            <w:tcW w:w="1701"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合同金额（元）</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bl>
    <w:p>
      <w:pPr>
        <w:pBdr>
          <w:top w:val="none" w:color="auto" w:sz="0" w:space="1"/>
          <w:left w:val="none" w:color="auto" w:sz="0" w:space="4"/>
          <w:bottom w:val="none" w:color="auto" w:sz="0" w:space="1"/>
          <w:right w:val="none" w:color="auto" w:sz="0" w:space="4"/>
        </w:pBdr>
        <w:spacing w:line="440" w:lineRule="exact"/>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注：1、本表可扩展；</w:t>
      </w:r>
    </w:p>
    <w:p>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2、类似业绩指2018年1月1日至今承担的类似城中村拆迁或改造或一级开发或征地拆迁或土地收储或棚户区改造或三旧改造项目的房产测绘或房屋测量或房屋调查、不动产数据整合、不动产登记等相关业绩。</w:t>
      </w:r>
    </w:p>
    <w:p>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eastAsia="宋体" w:cs="宋体"/>
          <w:bCs/>
          <w:color w:val="auto"/>
          <w:sz w:val="24"/>
          <w:highlight w:val="none"/>
        </w:rPr>
      </w:pPr>
      <w:r>
        <w:rPr>
          <w:rFonts w:hint="eastAsia" w:ascii="宋体" w:hAnsi="宋体" w:eastAsia="宋体" w:cs="宋体"/>
          <w:color w:val="auto"/>
          <w:sz w:val="24"/>
          <w:highlight w:val="none"/>
        </w:rPr>
        <w:t>3、业绩证明材料为合同协议书或中标通知书或所服务业主出具的证明材料扫描件。</w:t>
      </w:r>
    </w:p>
    <w:p>
      <w:pPr>
        <w:rPr>
          <w:rFonts w:ascii="宋体" w:hAnsi="宋体" w:eastAsia="宋体" w:cs="宋体"/>
          <w:b/>
          <w:color w:val="auto"/>
          <w:sz w:val="24"/>
          <w:highlight w:val="none"/>
        </w:rPr>
      </w:pPr>
    </w:p>
    <w:p>
      <w:pPr>
        <w:rPr>
          <w:rFonts w:ascii="宋体" w:hAnsi="宋体" w:eastAsia="宋体" w:cs="宋体"/>
          <w:b/>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ascii="宋体" w:hAnsi="宋体" w:eastAsia="宋体" w:cs="宋体"/>
          <w:b/>
          <w:bCs/>
          <w:color w:val="auto"/>
          <w:sz w:val="24"/>
          <w:highlight w:val="none"/>
        </w:rPr>
      </w:pPr>
    </w:p>
    <w:p>
      <w:pPr>
        <w:rPr>
          <w:rFonts w:ascii="宋体" w:hAnsi="宋体" w:eastAsia="宋体" w:cs="宋体"/>
          <w:b/>
          <w:bCs/>
          <w:color w:val="auto"/>
          <w:sz w:val="24"/>
          <w:highlight w:val="none"/>
        </w:rPr>
      </w:pPr>
    </w:p>
    <w:p>
      <w:pPr>
        <w:rPr>
          <w:rFonts w:ascii="宋体" w:hAnsi="宋体" w:eastAsia="宋体" w:cs="宋体"/>
          <w:b/>
          <w:color w:val="auto"/>
          <w:sz w:val="24"/>
          <w:highlight w:val="none"/>
        </w:rPr>
      </w:pPr>
      <w:r>
        <w:rPr>
          <w:rFonts w:hint="eastAsia" w:ascii="宋体" w:hAnsi="宋体" w:eastAsia="宋体" w:cs="宋体"/>
          <w:b/>
          <w:bCs/>
          <w:color w:val="auto"/>
          <w:sz w:val="24"/>
          <w:highlight w:val="none"/>
        </w:rPr>
        <w:t>注：如上述资料在资格审查部分已提供，则此处无须重复提交。</w:t>
      </w:r>
      <w:r>
        <w:rPr>
          <w:rFonts w:hint="eastAsia" w:ascii="宋体" w:hAnsi="宋体" w:eastAsia="宋体" w:cs="宋体"/>
          <w:b/>
          <w:color w:val="auto"/>
          <w:sz w:val="24"/>
          <w:highlight w:val="none"/>
        </w:rPr>
        <w:br w:type="page"/>
      </w:r>
    </w:p>
    <w:p>
      <w:pPr>
        <w:pStyle w:val="5"/>
        <w:rPr>
          <w:color w:val="auto"/>
          <w:highlight w:val="none"/>
        </w:rPr>
      </w:pPr>
      <w:bookmarkStart w:id="128" w:name="_Toc12971"/>
      <w:r>
        <w:rPr>
          <w:rFonts w:hint="eastAsia"/>
          <w:color w:val="auto"/>
          <w:highlight w:val="none"/>
        </w:rPr>
        <w:t>六、其它资料</w:t>
      </w:r>
      <w:bookmarkEnd w:id="128"/>
    </w:p>
    <w:p>
      <w:pPr>
        <w:spacing w:line="360" w:lineRule="auto"/>
        <w:jc w:val="center"/>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p>
    <w:p>
      <w:pPr>
        <w:pStyle w:val="26"/>
        <w:spacing w:after="0" w:line="360" w:lineRule="auto"/>
        <w:jc w:val="left"/>
        <w:rPr>
          <w:rFonts w:ascii="宋体" w:hAnsi="宋体" w:cs="宋体"/>
          <w:color w:val="auto"/>
          <w:sz w:val="24"/>
          <w:highlight w:val="none"/>
        </w:rPr>
      </w:pPr>
    </w:p>
    <w:p>
      <w:pPr>
        <w:rPr>
          <w:color w:val="auto"/>
          <w:highlight w:val="none"/>
        </w:rPr>
      </w:pPr>
    </w:p>
    <w:sectPr>
      <w:headerReference r:id="rId3" w:type="default"/>
      <w:footerReference r:id="rId4" w:type="default"/>
      <w:pgSz w:w="11906" w:h="16838"/>
      <w:pgMar w:top="1417" w:right="1418" w:bottom="1417" w:left="1418" w:header="1021" w:footer="227" w:gutter="0"/>
      <w:pgNumType w:start="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2525"/>
        <w:tab w:val="clear" w:pos="4153"/>
      </w:tabs>
      <w:ind w:firstLine="360"/>
      <w:rPr>
        <w:rFonts w:hAnsi="宋体"/>
        <w:b/>
        <w:sz w:val="21"/>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35</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wp:posOffset>
              </wp:positionV>
              <wp:extent cx="5951220" cy="0"/>
              <wp:effectExtent l="0" t="0" r="0" b="0"/>
              <wp:wrapNone/>
              <wp:docPr id="2" name="自选图形 1025"/>
              <wp:cNvGraphicFramePr/>
              <a:graphic xmlns:a="http://schemas.openxmlformats.org/drawingml/2006/main">
                <a:graphicData uri="http://schemas.microsoft.com/office/word/2010/wordprocessingShape">
                  <wps:wsp>
                    <wps:cNvCnPr/>
                    <wps:spPr>
                      <a:xfrm>
                        <a:off x="0" y="0"/>
                        <a:ext cx="595122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1025" o:spid="_x0000_s1026" o:spt="32" type="#_x0000_t32" style="position:absolute;left:0pt;margin-left:0pt;margin-top:0.7pt;height:0pt;width:468.6pt;z-index:251660288;mso-width-relative:page;mso-height-relative:page;" filled="f" stroked="t" coordsize="21600,21600" o:gfxdata="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hJQN9IAAAAEAQAADwAAAAAAAAABACAAAAAiAAAAZHJzL2Rvd25yZXYueG1sUEsB&#10;AhQAFAAAAAgAh07iQL28aRL7AQAA9AMAAA4AAAAAAAAAAQAgAAAAIQEAAGRycy9lMm9Eb2MueG1s&#10;UEsFBgAAAAAGAAYAWQEAAI4FAAAAAA==&#10;">
              <v:fill on="f" focussize="0,0"/>
              <v:stroke color="#000000" joinstyle="round"/>
              <v:imagedata o:title=""/>
              <o:lock v:ext="edit" aspectratio="f"/>
            </v:shape>
          </w:pict>
        </mc:Fallback>
      </mc:AlternateContent>
    </w:r>
    <w:r>
      <w:rPr>
        <w:rFonts w:hint="eastAsia" w:ascii="宋体" w:hAnsi="宋体"/>
        <w:b/>
        <w:sz w:val="21"/>
        <w:szCs w:val="21"/>
      </w:rPr>
      <w:tab/>
    </w:r>
  </w:p>
  <w:p>
    <w:pPr>
      <w:pStyle w:val="14"/>
    </w:pPr>
  </w:p>
  <w:p>
    <w:pPr>
      <w:pStyle w:val="14"/>
    </w:pPr>
  </w:p>
  <w:p>
    <w:pPr>
      <w:pStyle w:val="14"/>
      <w:tabs>
        <w:tab w:val="left" w:pos="5250"/>
        <w:tab w:val="clear" w:pos="4153"/>
        <w:tab w:val="clear" w:pos="8306"/>
      </w:tabs>
    </w:pPr>
    <w:r>
      <w:tab/>
    </w:r>
  </w:p>
  <w:p>
    <w:pPr>
      <w:pStyle w:val="14"/>
      <w:rPr>
        <w:b/>
        <w:bCs/>
        <w:sz w:val="21"/>
        <w:szCs w:val="21"/>
      </w:rPr>
    </w:pPr>
    <w:r>
      <w:rPr>
        <w:b/>
        <w:bCs/>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ha1jWzwEAAKoDAAAOAAAAAAAAAAEAIAAAAB4BAABkcnMv&#10;ZTJvRG9jLnhtbFBLBQYAAAAABgAGAFkBAABfBQAAAAA=&#10;">
              <v:fill on="f" focussize="0,0"/>
              <v:stroke on="f"/>
              <v:imagedata o:title=""/>
              <o:lock v:ext="edit" aspectratio="f"/>
              <v:textbox inset="0mm,0mm,0mm,0mm" style="mso-fit-shape-to-text:t;">
                <w:txbxContent>
                  <w:p>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SmallGap" w:color="622423" w:sz="24" w:space="2"/>
      </w:pBdr>
      <w:tabs>
        <w:tab w:val="left" w:pos="-142"/>
        <w:tab w:val="left" w:pos="284"/>
        <w:tab w:val="left" w:pos="1134"/>
        <w:tab w:val="right" w:pos="9356"/>
      </w:tabs>
      <w:jc w:val="left"/>
      <w:rPr>
        <w:rFonts w:ascii="宋体" w:hAnsi="宋体" w:eastAsia="宋体" w:cs="宋体"/>
        <w:b/>
        <w:szCs w:val="18"/>
      </w:rPr>
    </w:pPr>
    <w:r>
      <w:rPr>
        <w:rFonts w:hint="eastAsia" w:ascii="宋体" w:hAnsi="宋体" w:eastAsia="宋体" w:cs="宋体"/>
        <w:szCs w:val="18"/>
        <w:lang w:eastAsia="zh-CN"/>
      </w:rPr>
      <w:t>官渡区太和街道跨境合作先行区太和1903</w:t>
    </w:r>
    <w:r>
      <w:rPr>
        <w:rFonts w:hint="eastAsia" w:ascii="宋体" w:hAnsi="宋体" w:eastAsia="宋体" w:cs="宋体"/>
        <w:szCs w:val="18"/>
      </w:rPr>
      <w:t>（官渡区太和街道和平路前卫营片区三旧改造连片开发项目工作指挥部）项目新增地块房屋调查测绘服务</w:t>
    </w:r>
    <w:r>
      <w:rPr>
        <w:rFonts w:hint="eastAsia" w:ascii="宋体" w:hAnsi="宋体" w:eastAsia="宋体" w:cs="宋体"/>
        <w:szCs w:val="18"/>
        <w:lang w:eastAsia="zh-CN"/>
      </w:rPr>
      <w:t>(六标段)</w:t>
    </w:r>
    <w:r>
      <w:rPr>
        <w:rFonts w:hint="eastAsia" w:ascii="宋体" w:hAnsi="宋体" w:eastAsia="宋体" w:cs="宋体"/>
        <w:szCs w:val="18"/>
      </w:rPr>
      <w:t xml:space="preserve"> </w:t>
    </w:r>
    <w:r>
      <w:rPr>
        <w:rFonts w:hint="eastAsia" w:ascii="宋体" w:hAnsi="宋体" w:eastAsia="宋体" w:cs="宋体"/>
        <w:b/>
        <w:szCs w:val="18"/>
      </w:rPr>
      <w:t xml:space="preserve">                  </w:t>
    </w:r>
    <w:r>
      <w:rPr>
        <w:rFonts w:hint="eastAsia" w:ascii="宋体" w:hAnsi="宋体" w:eastAsia="宋体" w:cs="宋体"/>
        <w:szCs w:val="18"/>
      </w:rPr>
      <w:t xml:space="preserve">                                     招标文件</w:t>
    </w:r>
  </w:p>
  <w:p>
    <w:pPr>
      <w:pStyle w:val="15"/>
      <w:pBdr>
        <w:bottom w:val="none" w:color="auto" w:sz="0" w:space="1"/>
      </w:pBdr>
      <w:jc w:val="left"/>
      <w:rPr>
        <w:rFonts w:ascii="宋体" w:hAnsi="宋体" w:eastAsia="宋体" w:cs="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9E972"/>
    <w:multiLevelType w:val="singleLevel"/>
    <w:tmpl w:val="D849E972"/>
    <w:lvl w:ilvl="0" w:tentative="0">
      <w:start w:val="1"/>
      <w:numFmt w:val="decimal"/>
      <w:lvlText w:val="%1."/>
      <w:lvlJc w:val="left"/>
      <w:pPr>
        <w:tabs>
          <w:tab w:val="left" w:pos="312"/>
        </w:tabs>
      </w:pPr>
    </w:lvl>
  </w:abstractNum>
  <w:abstractNum w:abstractNumId="1">
    <w:nsid w:val="DFB9EAB7"/>
    <w:multiLevelType w:val="singleLevel"/>
    <w:tmpl w:val="DFB9EAB7"/>
    <w:lvl w:ilvl="0" w:tentative="0">
      <w:start w:val="5"/>
      <w:numFmt w:val="chineseCounting"/>
      <w:suff w:val="nothing"/>
      <w:lvlText w:val="%1、"/>
      <w:lvlJc w:val="left"/>
      <w:rPr>
        <w:rFonts w:hint="eastAsia"/>
      </w:rPr>
    </w:lvl>
  </w:abstractNum>
  <w:abstractNum w:abstractNumId="2">
    <w:nsid w:val="65E901E9"/>
    <w:multiLevelType w:val="singleLevel"/>
    <w:tmpl w:val="65E901E9"/>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E6DB8"/>
    <w:rsid w:val="00061AC2"/>
    <w:rsid w:val="000824A2"/>
    <w:rsid w:val="000A1DE2"/>
    <w:rsid w:val="00162BD6"/>
    <w:rsid w:val="00166E1C"/>
    <w:rsid w:val="0017245E"/>
    <w:rsid w:val="00175E60"/>
    <w:rsid w:val="00184765"/>
    <w:rsid w:val="001A056B"/>
    <w:rsid w:val="001A2B2D"/>
    <w:rsid w:val="001D4FE5"/>
    <w:rsid w:val="0025179F"/>
    <w:rsid w:val="002C1C0F"/>
    <w:rsid w:val="002F48C0"/>
    <w:rsid w:val="00397C79"/>
    <w:rsid w:val="003C088D"/>
    <w:rsid w:val="003D24A0"/>
    <w:rsid w:val="0042609D"/>
    <w:rsid w:val="0045493B"/>
    <w:rsid w:val="00460D87"/>
    <w:rsid w:val="00495D9B"/>
    <w:rsid w:val="004C57BE"/>
    <w:rsid w:val="004E37AC"/>
    <w:rsid w:val="00531BE1"/>
    <w:rsid w:val="005333D3"/>
    <w:rsid w:val="00581BEB"/>
    <w:rsid w:val="005A1D8C"/>
    <w:rsid w:val="005A6103"/>
    <w:rsid w:val="005A66F2"/>
    <w:rsid w:val="00612D96"/>
    <w:rsid w:val="00684B7B"/>
    <w:rsid w:val="006B411F"/>
    <w:rsid w:val="006F7946"/>
    <w:rsid w:val="007066DC"/>
    <w:rsid w:val="00733E92"/>
    <w:rsid w:val="00752EBB"/>
    <w:rsid w:val="007628C2"/>
    <w:rsid w:val="00772A17"/>
    <w:rsid w:val="0077540F"/>
    <w:rsid w:val="007B2050"/>
    <w:rsid w:val="007D6763"/>
    <w:rsid w:val="00824253"/>
    <w:rsid w:val="00835BB8"/>
    <w:rsid w:val="00836284"/>
    <w:rsid w:val="008A3F25"/>
    <w:rsid w:val="008D43CE"/>
    <w:rsid w:val="008E2345"/>
    <w:rsid w:val="0091562A"/>
    <w:rsid w:val="0091705D"/>
    <w:rsid w:val="00944ACA"/>
    <w:rsid w:val="00975089"/>
    <w:rsid w:val="009A05B2"/>
    <w:rsid w:val="009E235A"/>
    <w:rsid w:val="00A411E2"/>
    <w:rsid w:val="00A470C6"/>
    <w:rsid w:val="00A65A41"/>
    <w:rsid w:val="00A81FAA"/>
    <w:rsid w:val="00AC2693"/>
    <w:rsid w:val="00AC5C41"/>
    <w:rsid w:val="00AE0AE0"/>
    <w:rsid w:val="00AE7384"/>
    <w:rsid w:val="00AF2E69"/>
    <w:rsid w:val="00AF73C6"/>
    <w:rsid w:val="00B06581"/>
    <w:rsid w:val="00B23A18"/>
    <w:rsid w:val="00B37415"/>
    <w:rsid w:val="00B504F2"/>
    <w:rsid w:val="00B700BB"/>
    <w:rsid w:val="00B778BC"/>
    <w:rsid w:val="00BA3CA6"/>
    <w:rsid w:val="00BA7324"/>
    <w:rsid w:val="00C12057"/>
    <w:rsid w:val="00CE4E98"/>
    <w:rsid w:val="00D6102F"/>
    <w:rsid w:val="00D67B43"/>
    <w:rsid w:val="00D75D9A"/>
    <w:rsid w:val="00D76CCE"/>
    <w:rsid w:val="00DB22B6"/>
    <w:rsid w:val="00DC0982"/>
    <w:rsid w:val="00DD6288"/>
    <w:rsid w:val="00DF2543"/>
    <w:rsid w:val="00E245D5"/>
    <w:rsid w:val="00E27043"/>
    <w:rsid w:val="00E355E0"/>
    <w:rsid w:val="00E67269"/>
    <w:rsid w:val="00E812DE"/>
    <w:rsid w:val="00E828B2"/>
    <w:rsid w:val="00E91D00"/>
    <w:rsid w:val="00E96A6C"/>
    <w:rsid w:val="00EF5970"/>
    <w:rsid w:val="00F3389E"/>
    <w:rsid w:val="00F81A3A"/>
    <w:rsid w:val="00FB3312"/>
    <w:rsid w:val="00FC1A87"/>
    <w:rsid w:val="00FF2F18"/>
    <w:rsid w:val="01BA5D14"/>
    <w:rsid w:val="020849F5"/>
    <w:rsid w:val="03DF1845"/>
    <w:rsid w:val="03E82181"/>
    <w:rsid w:val="07C5289C"/>
    <w:rsid w:val="07E75CC6"/>
    <w:rsid w:val="09196052"/>
    <w:rsid w:val="0A9F62B6"/>
    <w:rsid w:val="0B7078E0"/>
    <w:rsid w:val="0D183D9C"/>
    <w:rsid w:val="103118B1"/>
    <w:rsid w:val="117F087D"/>
    <w:rsid w:val="13967221"/>
    <w:rsid w:val="172C6426"/>
    <w:rsid w:val="19D34E51"/>
    <w:rsid w:val="1ACC5DB6"/>
    <w:rsid w:val="1BFED09D"/>
    <w:rsid w:val="1C0C112E"/>
    <w:rsid w:val="1C56768A"/>
    <w:rsid w:val="1DCE3E11"/>
    <w:rsid w:val="1F020F56"/>
    <w:rsid w:val="20B775B0"/>
    <w:rsid w:val="20E43A56"/>
    <w:rsid w:val="24D23084"/>
    <w:rsid w:val="25ED137A"/>
    <w:rsid w:val="25F91781"/>
    <w:rsid w:val="26816807"/>
    <w:rsid w:val="29476F34"/>
    <w:rsid w:val="294869CD"/>
    <w:rsid w:val="2CFE340E"/>
    <w:rsid w:val="2F8F59BF"/>
    <w:rsid w:val="2FF04409"/>
    <w:rsid w:val="30707B1E"/>
    <w:rsid w:val="334A55DE"/>
    <w:rsid w:val="35812DA6"/>
    <w:rsid w:val="38812C7C"/>
    <w:rsid w:val="3C701D9A"/>
    <w:rsid w:val="415A362E"/>
    <w:rsid w:val="469A75D8"/>
    <w:rsid w:val="4C730FD7"/>
    <w:rsid w:val="5010213B"/>
    <w:rsid w:val="50D97323"/>
    <w:rsid w:val="51BA3CEC"/>
    <w:rsid w:val="51BB1B9D"/>
    <w:rsid w:val="53BD8C39"/>
    <w:rsid w:val="547E3B46"/>
    <w:rsid w:val="55473DCD"/>
    <w:rsid w:val="55EA45FA"/>
    <w:rsid w:val="56CB70AD"/>
    <w:rsid w:val="5D3E3A82"/>
    <w:rsid w:val="5D902BE3"/>
    <w:rsid w:val="65525406"/>
    <w:rsid w:val="660E6DB8"/>
    <w:rsid w:val="66E12B14"/>
    <w:rsid w:val="689E1A6C"/>
    <w:rsid w:val="68CD6729"/>
    <w:rsid w:val="69184538"/>
    <w:rsid w:val="69834B7D"/>
    <w:rsid w:val="6A0171F6"/>
    <w:rsid w:val="6A032BC8"/>
    <w:rsid w:val="6E2D555D"/>
    <w:rsid w:val="6FAB172C"/>
    <w:rsid w:val="72BC5266"/>
    <w:rsid w:val="733A31E2"/>
    <w:rsid w:val="76A470E6"/>
    <w:rsid w:val="7ED75D53"/>
    <w:rsid w:val="7F0A43A6"/>
    <w:rsid w:val="7F337E6A"/>
    <w:rsid w:val="7FF139BD"/>
    <w:rsid w:val="7FFE505E"/>
    <w:rsid w:val="B3FF85E1"/>
    <w:rsid w:val="FFECD8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jc w:val="center"/>
      <w:outlineLvl w:val="0"/>
    </w:pPr>
    <w:rPr>
      <w:rFonts w:ascii="Calibri" w:hAnsi="Calibri" w:eastAsia="宋体"/>
      <w:b/>
      <w:spacing w:val="20"/>
      <w:kern w:val="44"/>
      <w:sz w:val="44"/>
      <w:szCs w:val="22"/>
    </w:rPr>
  </w:style>
  <w:style w:type="paragraph" w:styleId="4">
    <w:name w:val="heading 2"/>
    <w:basedOn w:val="1"/>
    <w:next w:val="1"/>
    <w:unhideWhenUsed/>
    <w:qFormat/>
    <w:uiPriority w:val="0"/>
    <w:pPr>
      <w:keepNext/>
      <w:keepLines/>
      <w:spacing w:beforeLines="50" w:afterLines="50" w:line="400" w:lineRule="exact"/>
      <w:jc w:val="center"/>
      <w:outlineLvl w:val="1"/>
    </w:pPr>
    <w:rPr>
      <w:rFonts w:ascii="Arial" w:hAnsi="Arial" w:eastAsia="宋体"/>
      <w:b/>
      <w:kern w:val="0"/>
      <w:sz w:val="32"/>
      <w:szCs w:val="22"/>
    </w:rPr>
  </w:style>
  <w:style w:type="paragraph" w:styleId="5">
    <w:name w:val="heading 3"/>
    <w:basedOn w:val="1"/>
    <w:next w:val="1"/>
    <w:unhideWhenUsed/>
    <w:qFormat/>
    <w:uiPriority w:val="0"/>
    <w:pPr>
      <w:keepNext/>
      <w:keepLines/>
      <w:spacing w:line="360" w:lineRule="auto"/>
      <w:jc w:val="center"/>
      <w:outlineLvl w:val="2"/>
    </w:pPr>
    <w:rPr>
      <w:rFonts w:eastAsia="宋体"/>
      <w:b/>
      <w:bCs/>
      <w:sz w:val="28"/>
      <w:szCs w:val="32"/>
    </w:rPr>
  </w:style>
  <w:style w:type="paragraph" w:styleId="6">
    <w:name w:val="heading 4"/>
    <w:basedOn w:val="1"/>
    <w:next w:val="1"/>
    <w:qFormat/>
    <w:uiPriority w:val="0"/>
    <w:pPr>
      <w:keepNext/>
      <w:keepLines/>
      <w:spacing w:before="280" w:after="290" w:line="376" w:lineRule="auto"/>
      <w:outlineLvl w:val="3"/>
    </w:pPr>
    <w:rPr>
      <w:rFonts w:ascii="Cambria" w:hAnsi="Cambria" w:eastAsia="宋体" w:cs="Times New Roman"/>
      <w:b/>
      <w:bCs/>
      <w:kern w:val="0"/>
      <w:sz w:val="28"/>
      <w:szCs w:val="28"/>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99"/>
    <w:pPr>
      <w:ind w:firstLine="420" w:firstLineChars="200"/>
    </w:pPr>
  </w:style>
  <w:style w:type="paragraph" w:styleId="8">
    <w:name w:val="Document Map"/>
    <w:basedOn w:val="1"/>
    <w:link w:val="27"/>
    <w:qFormat/>
    <w:uiPriority w:val="0"/>
    <w:rPr>
      <w:rFonts w:ascii="宋体" w:eastAsia="宋体"/>
      <w:sz w:val="18"/>
      <w:szCs w:val="18"/>
    </w:rPr>
  </w:style>
  <w:style w:type="paragraph" w:styleId="9">
    <w:name w:val="annotation text"/>
    <w:basedOn w:val="1"/>
    <w:unhideWhenUsed/>
    <w:qFormat/>
    <w:uiPriority w:val="0"/>
    <w:pPr>
      <w:jc w:val="left"/>
    </w:pPr>
    <w:rPr>
      <w:rFonts w:ascii="宋体" w:hAnsi="Times New Roman" w:eastAsia="宋体" w:cs="Times New Roman"/>
      <w:kern w:val="0"/>
      <w:sz w:val="34"/>
      <w:szCs w:val="20"/>
    </w:rPr>
  </w:style>
  <w:style w:type="paragraph" w:styleId="10">
    <w:name w:val="toc 5"/>
    <w:basedOn w:val="1"/>
    <w:next w:val="1"/>
    <w:qFormat/>
    <w:uiPriority w:val="0"/>
    <w:pPr>
      <w:ind w:left="840"/>
      <w:jc w:val="left"/>
    </w:pPr>
    <w:rPr>
      <w:rFonts w:ascii="Times New Roman" w:hAnsi="Times New Roman" w:eastAsia="宋体" w:cs="Times New Roman"/>
      <w:sz w:val="18"/>
      <w:szCs w:val="18"/>
    </w:rPr>
  </w:style>
  <w:style w:type="paragraph" w:styleId="11">
    <w:name w:val="toc 3"/>
    <w:basedOn w:val="1"/>
    <w:next w:val="1"/>
    <w:qFormat/>
    <w:uiPriority w:val="39"/>
    <w:pPr>
      <w:spacing w:line="280" w:lineRule="exact"/>
      <w:ind w:left="300" w:leftChars="300"/>
    </w:pPr>
    <w:rPr>
      <w:rFonts w:ascii="宋体" w:hAnsi="宋体" w:eastAsia="宋体"/>
    </w:rPr>
  </w:style>
  <w:style w:type="paragraph" w:styleId="12">
    <w:name w:val="Plain Text"/>
    <w:basedOn w:val="1"/>
    <w:next w:val="1"/>
    <w:qFormat/>
    <w:uiPriority w:val="0"/>
    <w:rPr>
      <w:rFonts w:ascii="宋体" w:hAnsi="Courier New" w:cs="Courier New"/>
      <w:kern w:val="0"/>
      <w:szCs w:val="21"/>
    </w:rPr>
  </w:style>
  <w:style w:type="paragraph" w:styleId="13">
    <w:name w:val="Balloon Text"/>
    <w:basedOn w:val="1"/>
    <w:link w:val="28"/>
    <w:qFormat/>
    <w:uiPriority w:val="0"/>
    <w:rPr>
      <w:sz w:val="18"/>
      <w:szCs w:val="18"/>
    </w:rPr>
  </w:style>
  <w:style w:type="paragraph" w:styleId="14">
    <w:name w:val="footer"/>
    <w:basedOn w:val="1"/>
    <w:qFormat/>
    <w:uiPriority w:val="99"/>
    <w:pPr>
      <w:tabs>
        <w:tab w:val="center" w:pos="4153"/>
        <w:tab w:val="right" w:pos="8306"/>
      </w:tabs>
      <w:snapToGrid w:val="0"/>
      <w:jc w:val="left"/>
    </w:pPr>
    <w:rPr>
      <w:kern w:val="0"/>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paragraph" w:styleId="16">
    <w:name w:val="toc 1"/>
    <w:basedOn w:val="1"/>
    <w:next w:val="1"/>
    <w:qFormat/>
    <w:uiPriority w:val="39"/>
    <w:pPr>
      <w:spacing w:line="400" w:lineRule="exact"/>
    </w:pPr>
    <w:rPr>
      <w:rFonts w:eastAsia="宋体"/>
      <w:sz w:val="24"/>
    </w:rPr>
  </w:style>
  <w:style w:type="paragraph" w:styleId="17">
    <w:name w:val="toc 2"/>
    <w:basedOn w:val="1"/>
    <w:next w:val="1"/>
    <w:qFormat/>
    <w:uiPriority w:val="39"/>
    <w:pPr>
      <w:spacing w:line="320" w:lineRule="exact"/>
      <w:ind w:left="200" w:leftChars="200"/>
    </w:pPr>
    <w:rPr>
      <w:rFonts w:eastAsia="宋体"/>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basedOn w:val="20"/>
    <w:qFormat/>
    <w:uiPriority w:val="0"/>
    <w:rPr>
      <w:sz w:val="21"/>
      <w:szCs w:val="21"/>
    </w:rPr>
  </w:style>
  <w:style w:type="paragraph" w:customStyle="1" w:styleId="24">
    <w:name w:val="Normal_1"/>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25">
    <w:name w:val="正文_2"/>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paragraph" w:customStyle="1" w:styleId="26">
    <w:name w:val="Normal_2"/>
    <w:qFormat/>
    <w:uiPriority w:val="0"/>
    <w:pPr>
      <w:widowControl w:val="0"/>
      <w:spacing w:after="160" w:line="259" w:lineRule="auto"/>
      <w:jc w:val="both"/>
    </w:pPr>
    <w:rPr>
      <w:rFonts w:ascii="Calibri" w:hAnsi="Calibri" w:eastAsia="宋体" w:cs="Times New Roman"/>
      <w:lang w:val="en-US" w:eastAsia="zh-CN" w:bidi="ar-SA"/>
    </w:rPr>
  </w:style>
  <w:style w:type="character" w:customStyle="1" w:styleId="27">
    <w:name w:val="文档结构图 Char"/>
    <w:basedOn w:val="20"/>
    <w:link w:val="8"/>
    <w:qFormat/>
    <w:uiPriority w:val="0"/>
    <w:rPr>
      <w:rFonts w:ascii="宋体" w:eastAsia="宋体"/>
      <w:kern w:val="2"/>
      <w:sz w:val="18"/>
      <w:szCs w:val="18"/>
    </w:rPr>
  </w:style>
  <w:style w:type="character" w:customStyle="1" w:styleId="28">
    <w:name w:val="批注框文本 Char"/>
    <w:basedOn w:val="20"/>
    <w:link w:val="13"/>
    <w:qFormat/>
    <w:uiPriority w:val="0"/>
    <w:rPr>
      <w:kern w:val="2"/>
      <w:sz w:val="18"/>
      <w:szCs w:val="18"/>
    </w:rPr>
  </w:style>
  <w:style w:type="paragraph" w:customStyle="1" w:styleId="2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93</Pages>
  <Words>46077</Words>
  <Characters>52233</Characters>
  <Lines>388</Lines>
  <Paragraphs>109</Paragraphs>
  <TotalTime>6</TotalTime>
  <ScaleCrop>false</ScaleCrop>
  <LinksUpToDate>false</LinksUpToDate>
  <CharactersWithSpaces>54208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2022-03-11T00:15:00Z</dcterms:created>
  <dc:creator>不想说话</dc:creator>
  <cp:lastModifiedBy>冰逸寒雪</cp:lastModifiedBy>
  <dcterms:modified xsi:type="dcterms:W3CDTF">2022-04-15T07:13:28Z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CAC84F83021C4F3FB4289B0AD1382436</vt:lpwstr>
  </property>
</Properties>
</file>