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0F" w:rsidRDefault="0040060F" w:rsidP="0040060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0060F" w:rsidRDefault="0040060F" w:rsidP="0040060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0060F" w:rsidRDefault="0040060F" w:rsidP="0040060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00000" w:rsidRPr="0040060F" w:rsidRDefault="0040060F" w:rsidP="0040060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0060F">
        <w:rPr>
          <w:rFonts w:ascii="方正小标宋简体" w:eastAsia="方正小标宋简体" w:hint="eastAsia"/>
          <w:sz w:val="44"/>
          <w:szCs w:val="44"/>
        </w:rPr>
        <w:t>监管企业经营业绩考核</w:t>
      </w:r>
    </w:p>
    <w:p w:rsidR="0040060F" w:rsidRDefault="0040060F" w:rsidP="0040060F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40060F" w:rsidRPr="0040060F" w:rsidRDefault="0040060F" w:rsidP="0040060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060F">
        <w:rPr>
          <w:rFonts w:ascii="仿宋_GB2312" w:eastAsia="仿宋_GB2312" w:hAnsi="Times New Roman" w:cs="Times New Roman" w:hint="eastAsia"/>
          <w:sz w:val="32"/>
          <w:szCs w:val="32"/>
        </w:rPr>
        <w:t>根据官渡区财政局2021年度年终考核的要求，对照官渡区人民政府国有资产监督管理委员会与市场中心签订的《2021年度绩效目标责任书》，2022年1月19日区财政局考核领导小组对市场中心2021年责任书各项目标任务完成情况进行了现场考核，市场中心完成了年初制定的经营业绩指标任务。</w:t>
      </w:r>
    </w:p>
    <w:sectPr w:rsidR="0040060F" w:rsidRPr="0040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B7" w:rsidRDefault="00A903B7" w:rsidP="0040060F">
      <w:r>
        <w:separator/>
      </w:r>
    </w:p>
  </w:endnote>
  <w:endnote w:type="continuationSeparator" w:id="1">
    <w:p w:rsidR="00A903B7" w:rsidRDefault="00A903B7" w:rsidP="0040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B7" w:rsidRDefault="00A903B7" w:rsidP="0040060F">
      <w:r>
        <w:separator/>
      </w:r>
    </w:p>
  </w:footnote>
  <w:footnote w:type="continuationSeparator" w:id="1">
    <w:p w:rsidR="00A903B7" w:rsidRDefault="00A903B7" w:rsidP="00400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60F"/>
    <w:rsid w:val="0040060F"/>
    <w:rsid w:val="00A9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2022-05-17T07:09:00Z</dcterms:created>
  <dcterms:modified xsi:type="dcterms:W3CDTF">2022-05-17T07:16:00Z</dcterms:modified>
</cp:coreProperties>
</file>