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168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77"/>
        <w:gridCol w:w="1450"/>
        <w:gridCol w:w="1884"/>
        <w:gridCol w:w="756"/>
        <w:gridCol w:w="1155"/>
        <w:gridCol w:w="1170"/>
        <w:gridCol w:w="1155"/>
        <w:gridCol w:w="3986"/>
        <w:gridCol w:w="708"/>
        <w:gridCol w:w="15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15168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黑体_GBK" w:hAnsi="宋体" w:eastAsia="方正黑体_GBK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宋体" w:eastAsia="方正小标宋_GBK" w:cs="宋体"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>官渡区</w:t>
            </w:r>
            <w:r>
              <w:rPr>
                <w:rFonts w:hint="eastAsia" w:ascii="方正小标宋_GBK" w:hAnsi="宋体" w:eastAsia="方正小标宋_GBK" w:cs="宋体"/>
                <w:color w:val="000000" w:themeColor="text1"/>
                <w:kern w:val="0"/>
                <w:sz w:val="40"/>
                <w:szCs w:val="40"/>
                <w:lang w:eastAsia="zh-CN"/>
                <w14:textFill>
                  <w14:solidFill>
                    <w14:schemeClr w14:val="tx1"/>
                  </w14:solidFill>
                </w14:textFill>
              </w:rPr>
              <w:t>发展和改革局</w:t>
            </w:r>
            <w:r>
              <w:rPr>
                <w:rFonts w:hint="eastAsia" w:ascii="方正小标宋_GBK" w:hAnsi="宋体" w:eastAsia="方正小标宋_GBK" w:cs="宋体"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>市场监管领域随机抽查事项清单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tblHeader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3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抽查项目 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事项类别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检查对象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检查方式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检查主体</w:t>
            </w:r>
          </w:p>
        </w:tc>
        <w:tc>
          <w:tcPr>
            <w:tcW w:w="3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检查依据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适用区域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抽查类别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抽查事项</w:t>
            </w: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官渡区发展和改革局  （2类2项）  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固定资产投资项目节能审查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对固定资产投资项目节能审查意见落实情况的监督检查。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一般检查事项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项目建设单位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现场检查、书面检查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官渡区发展和改革局</w:t>
            </w:r>
          </w:p>
        </w:tc>
        <w:tc>
          <w:tcPr>
            <w:tcW w:w="3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中华人民共和国节约能源法》（中华人民共和国主席令第七十七号）第十五条、第六十八条第一款；《固定资产投资项目节能审查办法》（国家发展和改革委员会令第44号）第十二条、第十三条；《企业投资项目事中事后监管办法》（国家发展改革委令2018年第14号）第三条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cs="宋体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工程咨询单位抽查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工程咨询单位备案信息一致性及其他情况。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一般检查事项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工程咨询单位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现场检查、书面检查 、网络核查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官渡区发展和改革局</w:t>
            </w:r>
          </w:p>
        </w:tc>
        <w:tc>
          <w:tcPr>
            <w:tcW w:w="3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Arial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《工程咨询行业管理办法》（国家发展改革委令第9号）第二十七条 国家和省级发展改革委应当依照有关法律法规、本办法及有关规定，制定工程咨询单位监督检查计划，按照一定比例开展抽查，并及时公布抽查结果。监督检查内容主要包括：（一）遵守国家法律法规及有关规定的情况；（二）信息备案情况；（三）咨询质量管理制度建立情况；（四）咨询成果质量情况；（五）咨询成果文件档案建立情况；（六）其他应当检查的内容。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F3ABB"/>
    <w:multiLevelType w:val="singleLevel"/>
    <w:tmpl w:val="60BF3ABB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45463"/>
    <w:rsid w:val="2FC47742"/>
    <w:rsid w:val="79F4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昆明市官渡区党政机关单位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2021-10-18T06:56:00Z</dcterms:created>
  <dc:creator>dell</dc:creator>
  <cp:lastModifiedBy>dell</cp:lastModifiedBy>
  <dcterms:modified xsi:type="dcterms:W3CDTF">2022-09-19T10:09:33Z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