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eastAsiaTheme="minorEastAsia"/>
          <w:lang w:eastAsia="zh-CN"/>
        </w:rPr>
      </w:pPr>
    </w:p>
    <w:p>
      <w:pPr>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320040</wp:posOffset>
                </wp:positionV>
                <wp:extent cx="2120265" cy="717550"/>
                <wp:effectExtent l="0" t="0" r="13335" b="6350"/>
                <wp:wrapNone/>
                <wp:docPr id="2" name="文本框 2"/>
                <wp:cNvGraphicFramePr/>
                <a:graphic xmlns:a="http://schemas.openxmlformats.org/drawingml/2006/main">
                  <a:graphicData uri="http://schemas.microsoft.com/office/word/2010/wordprocessingShape">
                    <wps:wsp>
                      <wps:cNvSpPr txBox="1"/>
                      <wps:spPr>
                        <a:xfrm>
                          <a:off x="0" y="0"/>
                          <a:ext cx="2120265" cy="717550"/>
                        </a:xfrm>
                        <a:prstGeom prst="rect">
                          <a:avLst/>
                        </a:prstGeom>
                        <a:solidFill>
                          <a:srgbClr val="FFFFFF"/>
                        </a:solidFill>
                        <a:ln w="9525">
                          <a:noFill/>
                        </a:ln>
                      </wps:spPr>
                      <wps:txbx>
                        <w:txbxContent>
                          <w:p>
                            <w:pPr>
                              <w:rPr>
                                <w:rFonts w:hint="eastAsia"/>
                                <w:spacing w:val="-7"/>
                                <w:sz w:val="36"/>
                                <w:szCs w:val="36"/>
                              </w:rPr>
                            </w:pPr>
                            <w:r>
                              <w:rPr>
                                <w:spacing w:val="-7"/>
                                <w:sz w:val="36"/>
                                <w:szCs w:val="36"/>
                              </w:rPr>
                              <w:t>BSZN-</w:t>
                            </w:r>
                            <w:r>
                              <w:rPr>
                                <w:rFonts w:hint="eastAsia"/>
                                <w:spacing w:val="-7"/>
                                <w:sz w:val="36"/>
                                <w:szCs w:val="36"/>
                              </w:rPr>
                              <w:t>1100373000</w:t>
                            </w:r>
                          </w:p>
                          <w:p>
                            <w:pPr>
                              <w:rPr>
                                <w:rFonts w:hint="eastAsia" w:ascii="黑体" w:eastAsia="黑体"/>
                                <w:color w:val="FF0000"/>
                                <w:spacing w:val="-6"/>
                                <w:szCs w:val="21"/>
                              </w:rPr>
                            </w:pPr>
                          </w:p>
                        </w:txbxContent>
                      </wps:txbx>
                      <wps:bodyPr upright="1"/>
                    </wps:wsp>
                  </a:graphicData>
                </a:graphic>
              </wp:anchor>
            </w:drawing>
          </mc:Choice>
          <mc:Fallback>
            <w:pict>
              <v:shape id="_x0000_s1026" o:spid="_x0000_s1026" o:spt="202" type="#_x0000_t202" style="position:absolute;left:0pt;margin-left:297pt;margin-top:25.2pt;height:56.5pt;width:166.95pt;z-index:251659264;mso-width-relative:page;mso-height-relative:page;" fillcolor="#FFFFFF" filled="t" stroked="f" coordsize="21600,21600" o:gfxdata="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UnrjPY&#10;AAAACgEAAA8AAAAAAAAAAQAgAAAAIgAAAGRycy9kb3ducmV2LnhtbFBLAQIUABQAAAAIAIdO4kA4&#10;bkdorgEAADIDAAAOAAAAAAAAAAEAIAAAACcBAABkcnMvZTJvRG9jLnhtbFBLBQYAAAAABgAGAFkB&#10;AABHBQAAAAA=&#10;">
                <v:fill on="t" focussize="0,0"/>
                <v:stroke on="f"/>
                <v:imagedata o:title=""/>
                <o:lock v:ext="edit" aspectratio="f"/>
                <v:textbox>
                  <w:txbxContent>
                    <w:p>
                      <w:pPr>
                        <w:rPr>
                          <w:rFonts w:hint="eastAsia"/>
                          <w:spacing w:val="-7"/>
                          <w:sz w:val="36"/>
                          <w:szCs w:val="36"/>
                        </w:rPr>
                      </w:pPr>
                      <w:r>
                        <w:rPr>
                          <w:spacing w:val="-7"/>
                          <w:sz w:val="36"/>
                          <w:szCs w:val="36"/>
                        </w:rPr>
                        <w:t>BSZN-</w:t>
                      </w:r>
                      <w:r>
                        <w:rPr>
                          <w:rFonts w:hint="eastAsia"/>
                          <w:spacing w:val="-7"/>
                          <w:sz w:val="36"/>
                          <w:szCs w:val="36"/>
                        </w:rPr>
                        <w:t>1100373000</w:t>
                      </w:r>
                    </w:p>
                    <w:p>
                      <w:pPr>
                        <w:rPr>
                          <w:rFonts w:hint="eastAsia" w:ascii="黑体" w:eastAsia="黑体"/>
                          <w:color w:val="FF0000"/>
                          <w:spacing w:val="-6"/>
                          <w:szCs w:val="21"/>
                        </w:rPr>
                      </w:pPr>
                    </w:p>
                  </w:txbxContent>
                </v:textbox>
              </v:shape>
            </w:pict>
          </mc:Fallback>
        </mc:AlternateContent>
      </w:r>
      <w:r>
        <w:rPr>
          <w:sz w:val="44"/>
          <w:szCs w:val="44"/>
        </w:rPr>
        <w:pict>
          <v:shape id="_x0000_s1027" o:spid="_x0000_s1027" o:spt="136" type="#_x0000_t136" style="position:absolute;left:0pt;margin-left:-0.65pt;margin-top:0.7pt;height:42.5pt;width:127.55pt;z-index:251703296;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r>
        <w:rPr>
          <w:sz w:val="44"/>
          <w:szCs w:val="44"/>
        </w:rPr>
        <mc:AlternateContent>
          <mc:Choice Requires="wps">
            <w:drawing>
              <wp:anchor distT="0" distB="0" distL="114300" distR="114300" simplePos="0" relativeHeight="251658240" behindDoc="1" locked="0" layoutInCell="1" allowOverlap="1">
                <wp:simplePos x="0" y="0"/>
                <wp:positionH relativeFrom="margin">
                  <wp:posOffset>189865</wp:posOffset>
                </wp:positionH>
                <wp:positionV relativeFrom="margin">
                  <wp:posOffset>2445385</wp:posOffset>
                </wp:positionV>
                <wp:extent cx="5236210" cy="2045970"/>
                <wp:effectExtent l="5080" t="5080" r="16510" b="6350"/>
                <wp:wrapNone/>
                <wp:docPr id="3" name="文本框 3"/>
                <wp:cNvGraphicFramePr/>
                <a:graphic xmlns:a="http://schemas.openxmlformats.org/drawingml/2006/main">
                  <a:graphicData uri="http://schemas.microsoft.com/office/word/2010/wordprocessingShape">
                    <wps:wsp>
                      <wps:cNvSpPr txBox="1"/>
                      <wps:spPr>
                        <a:xfrm>
                          <a:off x="0" y="0"/>
                          <a:ext cx="5236210" cy="20459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在风景名胜区内从事建设、设置广告、举办大型游乐活动以及其他影响生态和景观活动许可办事指南</w:t>
                            </w:r>
                          </w:p>
                          <w:p>
                            <w:pPr>
                              <w:rPr>
                                <w:rFonts w:ascii="Times New Roman" w:hAnsi="Times New Roman" w:eastAsia="宋体" w:cs="Times New Roman"/>
                                <w:sz w:val="44"/>
                                <w:szCs w:val="44"/>
                              </w:rPr>
                            </w:pPr>
                          </w:p>
                        </w:txbxContent>
                      </wps:txbx>
                      <wps:bodyPr upright="1"/>
                    </wps:wsp>
                  </a:graphicData>
                </a:graphic>
              </wp:anchor>
            </w:drawing>
          </mc:Choice>
          <mc:Fallback>
            <w:pict>
              <v:shape id="_x0000_s1026" o:spid="_x0000_s1026" o:spt="202" type="#_x0000_t202" style="position:absolute;left:0pt;margin-left:14.95pt;margin-top:192.55pt;height:161.1pt;width:412.3pt;mso-position-horizontal-relative:margin;mso-position-vertical-relative:margin;z-index:-251658240;mso-width-relative:page;mso-height-relative:page;" fillcolor="#FFFFFF" filled="t" stroked="t" coordsize="21600,21600" o:gfxdata="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HrQi2gAAAAoBAAAPAAAAAAAAAAEAIAAAACIAAABkcnMvZG93bnJldi54bWxQSwECFAAU&#10;AAAACACHTuJAiOEzBO8BAADpAwAADgAAAAAAAAABACAAAAApAQAAZHJzL2Uyb0RvYy54bWxQSwUG&#10;AAAAAAYABgBZAQAAigUAAAAA&#10;">
                <v:fill on="t" focussize="0,0"/>
                <v:stroke color="#FFFFFF" joinstyle="miter"/>
                <v:imagedata o:title=""/>
                <o:lock v:ext="edit" aspectratio="f"/>
                <v:textbox>
                  <w:txbxContent>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在风景名胜区内从事建设、设置广告、举办大型游乐活动以及其他影响生态和景观活动许可办事指南</w:t>
                      </w:r>
                    </w:p>
                    <w:p>
                      <w:pPr>
                        <w:rPr>
                          <w:rFonts w:ascii="Times New Roman" w:hAnsi="Times New Roman" w:eastAsia="宋体" w:cs="Times New Roman"/>
                          <w:sz w:val="44"/>
                          <w:szCs w:val="44"/>
                        </w:rPr>
                      </w:pPr>
                    </w:p>
                  </w:txbxContent>
                </v:textbox>
              </v:shape>
            </w:pict>
          </mc:Fallback>
        </mc:AlternateContent>
      </w:r>
    </w:p>
    <w:p>
      <w:pPr>
        <w:jc w:val="center"/>
        <w:rPr>
          <w:rFonts w:hint="eastAsia" w:ascii="黑体" w:hAnsi="黑体" w:eastAsia="黑体"/>
          <w:sz w:val="32"/>
          <w:szCs w:val="32"/>
        </w:rPr>
      </w:pPr>
    </w:p>
    <w:p>
      <w:pPr>
        <w:tabs>
          <w:tab w:val="left" w:pos="6210"/>
        </w:tabs>
        <w:jc w:val="left"/>
        <w:rPr>
          <w:rFonts w:hint="eastAsia" w:ascii="黑体" w:hAnsi="黑体" w:eastAsia="黑体"/>
          <w:sz w:val="32"/>
          <w:szCs w:val="32"/>
        </w:rPr>
      </w:pPr>
      <w:r>
        <w:rPr>
          <w:rFonts w:ascii="黑体" w:hAnsi="黑体" w:eastAsia="黑体"/>
          <w:sz w:val="32"/>
          <w:szCs w:val="32"/>
        </w:rPr>
        <w:tab/>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Cs w:val="21"/>
        </w:rPr>
      </w:pPr>
    </w:p>
    <w:p>
      <w:pPr>
        <w:spacing w:line="240" w:lineRule="exact"/>
        <w:jc w:val="center"/>
        <w:rPr>
          <w:rFonts w:hint="eastAsia" w:ascii="黑体" w:hAnsi="黑体" w:eastAsia="黑体"/>
          <w:szCs w:val="21"/>
        </w:rPr>
      </w:pPr>
    </w:p>
    <w:p>
      <w:pPr>
        <w:adjustRightInd w:val="0"/>
        <w:snapToGrid w:val="0"/>
        <w:spacing w:before="100" w:beforeAutospacing="1" w:after="100" w:afterAutospacing="1" w:line="240" w:lineRule="exact"/>
        <w:jc w:val="center"/>
        <w:rPr>
          <w:rFonts w:hint="eastAsia" w:ascii="黑体" w:hAnsi="黑体" w:eastAsia="黑体"/>
          <w:sz w:val="36"/>
          <w:szCs w:val="36"/>
        </w:rPr>
      </w:pPr>
      <w:r>
        <w:rPr>
          <w:rFonts w:hint="eastAsia" w:ascii="黑体" w:hAnsi="黑体" w:eastAsia="黑体"/>
          <w:sz w:val="36"/>
          <w:szCs w:val="36"/>
        </w:rPr>
        <w:t xml:space="preserve">昆明市官渡区自然资源局 </w:t>
      </w:r>
    </w:p>
    <w:p>
      <w:pPr>
        <w:jc w:val="center"/>
        <w:rPr>
          <w:rFonts w:ascii="黑体" w:hAnsi="黑体" w:eastAsia="黑体"/>
          <w:sz w:val="32"/>
          <w:szCs w:val="32"/>
        </w:rPr>
        <w:sectPr>
          <w:footerReference r:id="rId4" w:type="default"/>
          <w:headerReference r:id="rId3" w:type="even"/>
          <w:footerReference r:id="rId5" w:type="even"/>
          <w:pgSz w:w="11906" w:h="16838"/>
          <w:pgMar w:top="2098" w:right="1474" w:bottom="1985" w:left="1588" w:header="851" w:footer="992" w:gutter="0"/>
          <w:pgNumType w:fmt="numberInDash" w:start="1"/>
          <w:cols w:space="720" w:num="1"/>
          <w:titlePg/>
          <w:docGrid w:type="lines" w:linePitch="312" w:charSpace="0"/>
        </w:sectPr>
      </w:pPr>
      <w:r>
        <w:rPr>
          <w:rFonts w:hint="eastAsia" w:ascii="黑体" w:hAnsi="黑体" w:eastAsia="黑体"/>
          <w:sz w:val="36"/>
          <w:szCs w:val="36"/>
        </w:rPr>
        <w:t>2020年7月发布</w:t>
      </w:r>
      <w:r>
        <w:rPr>
          <w:rFonts w:ascii="黑体" w:hAnsi="黑体" w:eastAsia="黑体"/>
          <w:sz w:val="32"/>
          <w:szCs w:val="32"/>
        </w:rPr>
        <w:tab/>
      </w:r>
    </w:p>
    <w:p>
      <w:pPr>
        <w:pStyle w:val="9"/>
        <w:kinsoku w:val="0"/>
        <w:overflowPunct w:val="0"/>
        <w:snapToGrid w:val="0"/>
        <w:spacing w:before="100" w:beforeAutospacing="1" w:after="100" w:afterAutospacing="1" w:line="0" w:lineRule="atLeast"/>
        <w:jc w:val="center"/>
        <w:outlineLvl w:val="0"/>
        <w:rPr>
          <w:rFonts w:hint="eastAsia" w:ascii="微软雅黑" w:hAnsi="微软雅黑" w:eastAsia="微软雅黑" w:cs="微软雅黑"/>
          <w:b w:val="0"/>
          <w:i w:val="0"/>
          <w:caps w:val="0"/>
          <w:color w:val="337AB7"/>
          <w:spacing w:val="0"/>
          <w:sz w:val="26"/>
          <w:szCs w:val="26"/>
          <w:shd w:val="clear" w:fill="FFFFFF"/>
        </w:rPr>
      </w:pPr>
      <w:r>
        <w:rPr>
          <w:rFonts w:hint="eastAsia" w:hAnsi="黑体"/>
          <w:sz w:val="32"/>
          <w:szCs w:val="32"/>
        </w:rPr>
        <w:t>在风景名胜区内从事建设、设置广告、举办大型游乐活动以及其他影响生态和景观活动许可办事指南</w:t>
      </w:r>
    </w:p>
    <w:p>
      <w:pPr>
        <w:adjustRightInd w:val="0"/>
        <w:snapToGrid w:val="0"/>
        <w:spacing w:line="560" w:lineRule="exact"/>
        <w:ind w:firstLine="480" w:firstLineChars="200"/>
        <w:outlineLvl w:val="0"/>
        <w:rPr>
          <w:rFonts w:hint="eastAsia" w:ascii="黑体" w:hAnsi="宋体" w:eastAsia="黑体" w:cs="Times New Roman"/>
          <w:sz w:val="24"/>
          <w:lang w:val="en-US" w:eastAsia="zh-CN"/>
        </w:rPr>
      </w:pPr>
      <w:r>
        <w:rPr>
          <w:rFonts w:hint="eastAsia" w:ascii="黑体" w:hAnsi="宋体" w:eastAsia="黑体" w:cs="Times New Roman"/>
          <w:sz w:val="24"/>
          <w:lang w:val="en-US" w:eastAsia="zh-CN"/>
        </w:rPr>
        <w:t>一、设定依据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《风景名胜区条例》第二十九条 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 《云南省人民政府关于调整482项涉及省级行政权力事项的决定》（云政发〔2020〕16号）附件3第72项 在风景名胜区内从事建设、设置广告、举办大型游乐活动以及其他影响生态和景观活动许可，省林草部门不再实施，保留州、县级林草部门审批权限。</w:t>
      </w:r>
    </w:p>
    <w:p>
      <w:pPr>
        <w:adjustRightInd w:val="0"/>
        <w:snapToGrid w:val="0"/>
        <w:spacing w:line="560" w:lineRule="exact"/>
        <w:ind w:firstLine="480" w:firstLineChars="200"/>
        <w:outlineLvl w:val="0"/>
        <w:rPr>
          <w:rFonts w:hint="eastAsia" w:ascii="黑体" w:hAnsi="宋体" w:eastAsia="黑体" w:cs="Times New Roman"/>
          <w:sz w:val="24"/>
          <w:lang w:val="en-US" w:eastAsia="zh-CN"/>
        </w:rPr>
      </w:pPr>
      <w:r>
        <w:rPr>
          <w:rFonts w:hint="eastAsia" w:ascii="黑体" w:hAnsi="宋体" w:eastAsia="黑体" w:cs="Times New Roman"/>
          <w:sz w:val="24"/>
          <w:lang w:val="en-US" w:eastAsia="zh-CN"/>
        </w:rPr>
        <w:t>二、办理条件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（一）服务对象：自然人、企业法人、事业法人、社会组织法人、非法人企业、行政机关、其他组织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（二）受理条件：1.活动项目符合景区总体规划；2.项目符合《风景名胜区条例》要求。</w:t>
      </w:r>
    </w:p>
    <w:p>
      <w:pPr>
        <w:adjustRightInd w:val="0"/>
        <w:snapToGrid w:val="0"/>
        <w:spacing w:line="560" w:lineRule="exact"/>
        <w:ind w:firstLine="480" w:firstLineChars="200"/>
        <w:outlineLvl w:val="0"/>
        <w:rPr>
          <w:rFonts w:hint="eastAsia" w:ascii="黑体" w:hAnsi="宋体" w:eastAsia="黑体" w:cs="Times New Roman"/>
          <w:sz w:val="24"/>
          <w:lang w:val="en-US" w:eastAsia="zh-CN"/>
        </w:rPr>
      </w:pPr>
      <w:r>
        <w:rPr>
          <w:rFonts w:hint="eastAsia" w:ascii="黑体" w:hAnsi="宋体" w:eastAsia="黑体" w:cs="Times New Roman"/>
          <w:sz w:val="24"/>
          <w:lang w:val="en-US" w:eastAsia="zh-CN"/>
        </w:rPr>
        <w:t>三、办理程序 </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 xml:space="preserve">（一）申请 </w:t>
      </w:r>
    </w:p>
    <w:p>
      <w:pPr>
        <w:adjustRightInd w:val="0"/>
        <w:snapToGrid w:val="0"/>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1.提交方式：昆明市</w:t>
      </w:r>
      <w:r>
        <w:rPr>
          <w:rFonts w:hint="eastAsia" w:ascii="宋体" w:hAnsi="宋体" w:cstheme="minorBidi"/>
          <w:b w:val="0"/>
          <w:kern w:val="2"/>
          <w:sz w:val="24"/>
          <w:szCs w:val="24"/>
          <w:lang w:val="en-US" w:eastAsia="zh-CN" w:bidi="ar-SA"/>
        </w:rPr>
        <w:t>云秀路2898号</w:t>
      </w:r>
      <w:r>
        <w:rPr>
          <w:rFonts w:hint="eastAsia" w:ascii="宋体" w:hAnsi="宋体" w:eastAsiaTheme="minorEastAsia" w:cstheme="minorBidi"/>
          <w:b w:val="0"/>
          <w:kern w:val="2"/>
          <w:sz w:val="24"/>
          <w:szCs w:val="24"/>
          <w:lang w:val="en-US" w:eastAsia="zh-CN" w:bidi="ar-SA"/>
        </w:rPr>
        <w:t>号，电话：0871-67172637。</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2.提交时间：自然资源局窗口现场提交：星期一至星期五上午9:00～下午17:00。</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（二）受理</w:t>
      </w:r>
    </w:p>
    <w:p>
      <w:pPr>
        <w:adjustRightInd w:val="0"/>
        <w:snapToGrid w:val="0"/>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自然资源局窗口受理。</w:t>
      </w:r>
    </w:p>
    <w:p>
      <w:pPr>
        <w:adjustRightInd w:val="0"/>
        <w:snapToGrid w:val="0"/>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申请被受理的，申请人可获得实施机关出具的受理通知书；申请不被受理的，申请人可获得实施机关出具的退件通知书；提交申请但申请材料不齐全或者不符合法定形式的，申请人可获得实施机关出具的补正材料通知书。</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（三）审核</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申报材料齐全正式受理后 7 个工作日内完成行政审批工作，其中不含前期项目咨询时间。</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（四）许可决定及送达方式</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自做出决定之日起20日内，许可结果将按要求在相应网站上公开。</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办理结果：对许可通过的单位，核发《建设项目选址意见书》，有效期限三年，自批准之日起计算，逾期应重新办理。对不予许可的单位，下发《退件通知书》。</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 xml:space="preserve">送达方式：自然资源局窗口直接领取。 </w:t>
      </w:r>
    </w:p>
    <w:p>
      <w:pPr>
        <w:adjustRightInd w:val="0"/>
        <w:snapToGrid w:val="0"/>
        <w:spacing w:line="560" w:lineRule="exact"/>
        <w:ind w:firstLine="480" w:firstLineChars="200"/>
        <w:outlineLvl w:val="0"/>
        <w:rPr>
          <w:rFonts w:hint="eastAsia" w:ascii="黑体" w:hAnsi="宋体" w:eastAsia="黑体" w:cs="Times New Roman"/>
          <w:sz w:val="24"/>
          <w:lang w:val="en-US" w:eastAsia="zh-CN"/>
        </w:rPr>
      </w:pPr>
      <w:r>
        <w:rPr>
          <w:rFonts w:hint="eastAsia" w:ascii="黑体" w:hAnsi="宋体" w:eastAsia="黑体" w:cs="Times New Roman"/>
          <w:sz w:val="24"/>
          <w:lang w:val="en-US" w:eastAsia="zh-CN"/>
        </w:rPr>
        <w:t>四、办理结果</w:t>
      </w:r>
    </w:p>
    <w:p>
      <w:pPr>
        <w:pStyle w:val="5"/>
        <w:keepNext w:val="0"/>
        <w:keepLines w:val="0"/>
        <w:widowControl/>
        <w:suppressLineNumbers w:val="0"/>
        <w:spacing w:before="0" w:beforeAutospacing="0" w:after="0" w:afterAutospacing="0" w:line="560" w:lineRule="atLeast"/>
        <w:ind w:left="0" w:right="0" w:firstLine="640"/>
        <w:jc w:val="both"/>
        <w:rPr>
          <w:rFonts w:hint="default"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关于同意XXX单位（个人）办理XXX事项的行政许可决定/关于不同意XXX单位（个人）办理XXX事项的行政许可决定</w:t>
      </w:r>
    </w:p>
    <w:p>
      <w:pPr>
        <w:adjustRightInd w:val="0"/>
        <w:snapToGrid w:val="0"/>
        <w:spacing w:line="560" w:lineRule="exact"/>
        <w:ind w:firstLine="480" w:firstLineChars="200"/>
        <w:outlineLvl w:val="0"/>
        <w:rPr>
          <w:rFonts w:hint="eastAsia" w:ascii="黑体" w:hAnsi="宋体" w:eastAsia="黑体" w:cs="Times New Roman"/>
          <w:sz w:val="24"/>
          <w:lang w:val="en-US" w:eastAsia="zh-CN"/>
        </w:rPr>
      </w:pPr>
      <w:r>
        <w:rPr>
          <w:rFonts w:hint="eastAsia" w:ascii="黑体" w:hAnsi="宋体" w:eastAsia="黑体" w:cs="Times New Roman"/>
          <w:sz w:val="24"/>
          <w:lang w:val="en-US" w:eastAsia="zh-CN"/>
        </w:rPr>
        <w:t>五、收费信息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不收费</w:t>
      </w:r>
    </w:p>
    <w:p>
      <w:pPr>
        <w:adjustRightInd w:val="0"/>
        <w:snapToGrid w:val="0"/>
        <w:spacing w:line="560" w:lineRule="exact"/>
        <w:ind w:firstLine="480" w:firstLineChars="200"/>
        <w:outlineLvl w:val="0"/>
        <w:rPr>
          <w:rFonts w:hint="default" w:ascii="黑体" w:hAnsi="宋体" w:eastAsia="黑体" w:cs="Times New Roman"/>
          <w:sz w:val="24"/>
          <w:lang w:val="en-US" w:eastAsia="zh-CN"/>
        </w:rPr>
      </w:pPr>
      <w:r>
        <w:rPr>
          <w:rFonts w:hint="eastAsia" w:ascii="黑体" w:hAnsi="宋体" w:eastAsia="黑体" w:cs="Times New Roman"/>
          <w:sz w:val="24"/>
          <w:lang w:val="en-US" w:eastAsia="zh-CN"/>
        </w:rPr>
        <w:t>六、咨询服务</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 xml:space="preserve">（一）咨询 </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 xml:space="preserve">1.咨询方式 </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（1）官渡区自然资源局：地址：昆明市</w:t>
      </w:r>
      <w:r>
        <w:rPr>
          <w:rFonts w:hint="eastAsia" w:ascii="宋体" w:hAnsi="宋体" w:cstheme="minorBidi"/>
          <w:b w:val="0"/>
          <w:kern w:val="2"/>
          <w:sz w:val="24"/>
          <w:szCs w:val="24"/>
          <w:lang w:val="en-US" w:eastAsia="zh-CN" w:bidi="ar-SA"/>
        </w:rPr>
        <w:t>云秀路2898号</w:t>
      </w:r>
      <w:r>
        <w:rPr>
          <w:rFonts w:hint="eastAsia" w:ascii="宋体" w:hAnsi="宋体" w:eastAsiaTheme="minorEastAsia" w:cstheme="minorBidi"/>
          <w:b w:val="0"/>
          <w:kern w:val="2"/>
          <w:sz w:val="24"/>
          <w:szCs w:val="24"/>
          <w:lang w:val="en-US" w:eastAsia="zh-CN" w:bidi="ar-SA"/>
        </w:rPr>
        <w:t>号，电话：0871-67172637。</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（2）网络咨询昆明市自然资源和规划局门户网站（</w:t>
      </w:r>
      <w:r>
        <w:rPr>
          <w:rFonts w:hint="eastAsia" w:ascii="宋体" w:hAnsi="宋体" w:eastAsiaTheme="minorEastAsia" w:cstheme="minorBidi"/>
          <w:b w:val="0"/>
          <w:kern w:val="2"/>
          <w:sz w:val="24"/>
          <w:szCs w:val="24"/>
          <w:lang w:val="en-US" w:eastAsia="zh-CN" w:bidi="ar-SA"/>
        </w:rPr>
        <w:fldChar w:fldCharType="begin"/>
      </w:r>
      <w:r>
        <w:rPr>
          <w:rFonts w:hint="eastAsia" w:ascii="宋体" w:hAnsi="宋体" w:eastAsiaTheme="minorEastAsia" w:cstheme="minorBidi"/>
          <w:b w:val="0"/>
          <w:kern w:val="2"/>
          <w:sz w:val="24"/>
          <w:szCs w:val="24"/>
          <w:lang w:val="en-US" w:eastAsia="zh-CN" w:bidi="ar-SA"/>
        </w:rPr>
        <w:instrText xml:space="preserve"> HYPERLINK "http://gtzy.km.gov.cn" </w:instrText>
      </w:r>
      <w:r>
        <w:rPr>
          <w:rFonts w:hint="eastAsia" w:ascii="宋体" w:hAnsi="宋体" w:eastAsiaTheme="minorEastAsia" w:cstheme="minorBidi"/>
          <w:b w:val="0"/>
          <w:kern w:val="2"/>
          <w:sz w:val="24"/>
          <w:szCs w:val="24"/>
          <w:lang w:val="en-US" w:eastAsia="zh-CN" w:bidi="ar-SA"/>
        </w:rPr>
        <w:fldChar w:fldCharType="separate"/>
      </w:r>
      <w:r>
        <w:rPr>
          <w:rFonts w:hint="eastAsia" w:ascii="宋体" w:hAnsi="宋体" w:eastAsiaTheme="minorEastAsia" w:cstheme="minorBidi"/>
          <w:b w:val="0"/>
          <w:kern w:val="2"/>
          <w:sz w:val="24"/>
          <w:szCs w:val="24"/>
          <w:lang w:val="en-US" w:eastAsia="zh-CN" w:bidi="ar-SA"/>
        </w:rPr>
        <w:t>http://gtzy.km.gov.cn</w:t>
      </w:r>
      <w:r>
        <w:rPr>
          <w:rFonts w:hint="eastAsia" w:ascii="宋体" w:hAnsi="宋体" w:eastAsiaTheme="minorEastAsia" w:cstheme="minorBidi"/>
          <w:b w:val="0"/>
          <w:kern w:val="2"/>
          <w:sz w:val="24"/>
          <w:szCs w:val="24"/>
          <w:lang w:val="en-US" w:eastAsia="zh-CN" w:bidi="ar-SA"/>
        </w:rPr>
        <w:fldChar w:fldCharType="end"/>
      </w:r>
      <w:r>
        <w:rPr>
          <w:rFonts w:hint="eastAsia" w:ascii="宋体" w:hAnsi="宋体" w:eastAsiaTheme="minorEastAsia" w:cstheme="minorBidi"/>
          <w:b w:val="0"/>
          <w:kern w:val="2"/>
          <w:sz w:val="24"/>
          <w:szCs w:val="24"/>
          <w:lang w:val="en-US" w:eastAsia="zh-CN" w:bidi="ar-SA"/>
        </w:rPr>
        <w:t xml:space="preserve">）。 </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（3）信函咨询。咨询部门名称：昆明市官渡区自然资源局行政审批科；通讯地址：昆明市官渡区</w:t>
      </w:r>
      <w:r>
        <w:rPr>
          <w:rFonts w:hint="eastAsia" w:ascii="宋体" w:hAnsi="宋体" w:cstheme="minorBidi"/>
          <w:b w:val="0"/>
          <w:kern w:val="2"/>
          <w:sz w:val="24"/>
          <w:szCs w:val="24"/>
          <w:lang w:val="en-US" w:eastAsia="zh-CN" w:bidi="ar-SA"/>
        </w:rPr>
        <w:t>云秀路2898号</w:t>
      </w:r>
      <w:r>
        <w:rPr>
          <w:rFonts w:hint="eastAsia" w:ascii="宋体" w:hAnsi="宋体" w:eastAsiaTheme="minorEastAsia" w:cstheme="minorBidi"/>
          <w:b w:val="0"/>
          <w:kern w:val="2"/>
          <w:sz w:val="24"/>
          <w:szCs w:val="24"/>
          <w:lang w:val="en-US" w:eastAsia="zh-CN" w:bidi="ar-SA"/>
        </w:rPr>
        <w:t xml:space="preserve">号； 邮政编码：650011。 </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（二）办理进程查询</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 xml:space="preserve">申请人可现场或电话咨询昆明市官渡区自然资源局项目办理进程。 </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（三）监督投诉</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 电话投诉</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1. 咨询或投诉：昆明市官渡区自然资源局办公室，电话号码：（0871）67173525，地址：昆明市官渡区</w:t>
      </w:r>
      <w:r>
        <w:rPr>
          <w:rFonts w:hint="eastAsia" w:ascii="宋体" w:hAnsi="宋体" w:cstheme="minorBidi"/>
          <w:b w:val="0"/>
          <w:kern w:val="2"/>
          <w:sz w:val="24"/>
          <w:szCs w:val="24"/>
          <w:lang w:val="en-US" w:eastAsia="zh-CN" w:bidi="ar-SA"/>
        </w:rPr>
        <w:t>云秀路2898号</w:t>
      </w:r>
      <w:r>
        <w:rPr>
          <w:rFonts w:hint="eastAsia" w:ascii="宋体" w:hAnsi="宋体" w:eastAsiaTheme="minorEastAsia" w:cstheme="minorBidi"/>
          <w:b w:val="0"/>
          <w:kern w:val="2"/>
          <w:sz w:val="24"/>
          <w:szCs w:val="24"/>
          <w:lang w:val="en-US" w:eastAsia="zh-CN" w:bidi="ar-SA"/>
        </w:rPr>
        <w:t>号；</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2. 纪检监察投诉：中共昆明市纪委驻市自然资源和规划局检查组，电话号码：（0871）63199076、63170867   中共昆明市官渡区纪委驻区自然资源局检查组，电话号码：（0871）67375931；</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3.信函投诉：中共昆明市纪委驻市自然资源和规划局检查组，通讯地址：云南省昆明市呈贡新区锦绣大街1号，邮政编码：650500；中共昆明市官渡区纪委驻区自然资源局检查组，通讯地址：云南省昆明市官渡区云秀路2898号，邮编：650214；</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4.网站：昆明市自然资源和规划局门户网站（http://zrzygh.km.gov.cn）。</w:t>
      </w:r>
    </w:p>
    <w:p>
      <w:pPr>
        <w:spacing w:line="560" w:lineRule="exact"/>
        <w:ind w:firstLine="480" w:firstLineChars="200"/>
        <w:outlineLvl w:val="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（四）行政复议或行政诉讼</w:t>
      </w:r>
    </w:p>
    <w:p>
      <w:pPr>
        <w:spacing w:line="560" w:lineRule="exact"/>
        <w:ind w:firstLine="480" w:firstLineChars="200"/>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公民、法人或者其他组织认为具体行政行为侵犯其合法权益的，可以自知道该具体行政行为之日起60日内向官渡区人民政府或昆明市自然资源和规划局提出行政复议，或当知道作出行政行为之日起六个月内向有管辖权限的人民法院提起行政诉讼。</w:t>
      </w:r>
    </w:p>
    <w:p>
      <w:pPr>
        <w:adjustRightInd w:val="0"/>
        <w:snapToGrid w:val="0"/>
        <w:spacing w:line="560" w:lineRule="exact"/>
        <w:ind w:firstLine="480" w:firstLineChars="200"/>
        <w:outlineLvl w:val="0"/>
        <w:rPr>
          <w:rFonts w:hint="default" w:ascii="黑体" w:hAnsi="宋体" w:eastAsia="黑体" w:cs="Times New Roman"/>
          <w:sz w:val="24"/>
          <w:lang w:val="en-US" w:eastAsia="zh-CN"/>
        </w:rPr>
      </w:pPr>
      <w:r>
        <w:rPr>
          <w:rFonts w:hint="eastAsia" w:ascii="黑体" w:hAnsi="宋体" w:eastAsia="黑体" w:cs="Times New Roman"/>
          <w:sz w:val="24"/>
          <w:lang w:val="en-US" w:eastAsia="zh-CN"/>
        </w:rPr>
        <w:t>七、办理基本流程</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4006850" cy="5264150"/>
            <wp:effectExtent l="0" t="0" r="6350" b="6350"/>
            <wp:docPr id="1" name="图片 1" descr="f45ad7b8645178666451005d14d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ad7b8645178666451005d14d5861"/>
                    <pic:cNvPicPr>
                      <a:picLocks noChangeAspect="1"/>
                    </pic:cNvPicPr>
                  </pic:nvPicPr>
                  <pic:blipFill>
                    <a:blip r:embed="rId7"/>
                    <a:stretch>
                      <a:fillRect/>
                    </a:stretch>
                  </pic:blipFill>
                  <pic:spPr>
                    <a:xfrm>
                      <a:off x="0" y="0"/>
                      <a:ext cx="4006850" cy="52641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- 3 -</w:t>
    </w:r>
    <w:r>
      <w:rPr>
        <w:rFonts w:ascii="宋体" w:hAnsi="宋体"/>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69" w:y="51"/>
      <w:jc w:val="right"/>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- 4 -</w:t>
    </w:r>
    <w:r>
      <w:rPr>
        <w:rFonts w:ascii="宋体" w:hAnsi="宋体"/>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27ED0"/>
    <w:rsid w:val="322B1899"/>
    <w:rsid w:val="45570B2A"/>
    <w:rsid w:val="477A4BA8"/>
    <w:rsid w:val="57050A0C"/>
    <w:rsid w:val="7A1A5FD9"/>
    <w:rsid w:val="7FFE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Heading 2"/>
    <w:basedOn w:val="1"/>
    <w:qFormat/>
    <w:uiPriority w:val="0"/>
    <w:pPr>
      <w:autoSpaceDE w:val="0"/>
      <w:autoSpaceDN w:val="0"/>
      <w:adjustRightInd w:val="0"/>
      <w:jc w:val="left"/>
      <w:outlineLvl w:val="1"/>
    </w:pPr>
    <w:rPr>
      <w:rFonts w:ascii="黑体" w:eastAsia="黑体" w:cs="黑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2021-08-09T08:29:00Z</dcterms:created>
  <dc:creator>Administrator</dc:creator>
  <cp:lastModifiedBy>Administrator</cp:lastModifiedBy>
  <dcterms:modified xsi:type="dcterms:W3CDTF">2022-11-01T07:29:03Z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