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3898" w:type="dxa"/>
        <w:tblInd w:w="64" w:type="dxa"/>
        <w:tblLayout w:type="fixed"/>
        <w:tblCellMar>
          <w:top w:w="0" w:type="dxa"/>
          <w:left w:w="0" w:type="dxa"/>
          <w:bottom w:w="0" w:type="dxa"/>
          <w:right w:w="0" w:type="dxa"/>
        </w:tblCellMar>
      </w:tblPr>
      <w:tblGrid>
        <w:gridCol w:w="518"/>
        <w:gridCol w:w="619"/>
        <w:gridCol w:w="1418"/>
        <w:gridCol w:w="1559"/>
        <w:gridCol w:w="993"/>
        <w:gridCol w:w="993"/>
        <w:gridCol w:w="1134"/>
        <w:gridCol w:w="1134"/>
        <w:gridCol w:w="3825"/>
        <w:gridCol w:w="996"/>
        <w:gridCol w:w="709"/>
      </w:tblGrid>
      <w:tr>
        <w:tblPrEx>
          <w:tblCellMar>
            <w:top w:w="0" w:type="dxa"/>
            <w:left w:w="0" w:type="dxa"/>
            <w:bottom w:w="0" w:type="dxa"/>
            <w:right w:w="0" w:type="dxa"/>
          </w:tblCellMar>
        </w:tblPrEx>
        <w:trPr>
          <w:cantSplit/>
          <w:trHeight w:val="567" w:hRule="exact"/>
          <w:tblHeader/>
        </w:trPr>
        <w:tc>
          <w:tcPr>
            <w:tcW w:w="13898" w:type="dxa"/>
            <w:gridSpan w:val="11"/>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320" w:lineRule="exact"/>
              <w:jc w:val="center"/>
              <w:textAlignment w:val="center"/>
              <w:rPr>
                <w:rFonts w:asciiTheme="minorEastAsia" w:hAnsiTheme="minorEastAsia" w:cstheme="minorEastAsia"/>
                <w:color w:val="000000"/>
                <w:kern w:val="0"/>
                <w:sz w:val="18"/>
                <w:szCs w:val="18"/>
              </w:rPr>
            </w:pPr>
            <w:r>
              <w:rPr>
                <w:rFonts w:hint="eastAsia" w:ascii="方正小标宋简体" w:hAnsi="方正小标宋简体" w:eastAsia="方正小标宋简体" w:cs="方正小标宋简体"/>
                <w:color w:val="000000"/>
                <w:kern w:val="0"/>
                <w:sz w:val="32"/>
                <w:szCs w:val="32"/>
              </w:rPr>
              <w:t>昆明市官渡区市场监管领域随机抽查事项清单</w:t>
            </w:r>
          </w:p>
        </w:tc>
      </w:tr>
      <w:tr>
        <w:tblPrEx>
          <w:tblCellMar>
            <w:top w:w="0" w:type="dxa"/>
            <w:left w:w="0" w:type="dxa"/>
            <w:bottom w:w="0" w:type="dxa"/>
            <w:right w:w="0" w:type="dxa"/>
          </w:tblCellMar>
        </w:tblPrEx>
        <w:trPr>
          <w:cantSplit/>
          <w:trHeight w:val="454" w:hRule="exact"/>
          <w:tblHeader/>
        </w:trPr>
        <w:tc>
          <w:tcPr>
            <w:tcW w:w="51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序号</w:t>
            </w:r>
          </w:p>
        </w:tc>
        <w:tc>
          <w:tcPr>
            <w:tcW w:w="61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部门</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抽查项目</w:t>
            </w:r>
          </w:p>
        </w:tc>
        <w:tc>
          <w:tcPr>
            <w:tcW w:w="9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事项类别</w:t>
            </w:r>
          </w:p>
        </w:tc>
        <w:tc>
          <w:tcPr>
            <w:tcW w:w="9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检查对象</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检查方式</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检查主体</w:t>
            </w:r>
          </w:p>
        </w:tc>
        <w:tc>
          <w:tcPr>
            <w:tcW w:w="3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检查依据</w:t>
            </w:r>
          </w:p>
        </w:tc>
        <w:tc>
          <w:tcPr>
            <w:tcW w:w="99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适用区域</w:t>
            </w:r>
          </w:p>
        </w:tc>
        <w:tc>
          <w:tcPr>
            <w:tcW w:w="7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备注</w:t>
            </w:r>
          </w:p>
        </w:tc>
      </w:tr>
      <w:tr>
        <w:tblPrEx>
          <w:tblCellMar>
            <w:top w:w="0" w:type="dxa"/>
            <w:left w:w="0" w:type="dxa"/>
            <w:bottom w:w="0" w:type="dxa"/>
            <w:right w:w="0" w:type="dxa"/>
          </w:tblCellMar>
        </w:tblPrEx>
        <w:trPr>
          <w:cantSplit/>
          <w:trHeight w:val="568" w:hRule="exact"/>
          <w:tblHeader/>
        </w:trPr>
        <w:tc>
          <w:tcPr>
            <w:tcW w:w="518"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61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4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22"/>
              </w:rPr>
            </w:pPr>
            <w:r>
              <w:rPr>
                <w:rFonts w:hint="eastAsia" w:ascii="方正黑体_GBK" w:hAnsi="方正黑体_GBK" w:eastAsia="方正黑体_GBK" w:cs="方正黑体_GBK"/>
                <w:b/>
                <w:bCs/>
                <w:kern w:val="0"/>
                <w:sz w:val="22"/>
              </w:rPr>
              <w:t>抽查类别</w:t>
            </w:r>
          </w:p>
        </w:tc>
        <w:tc>
          <w:tcPr>
            <w:tcW w:w="15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b/>
                <w:bCs/>
                <w:kern w:val="0"/>
                <w:sz w:val="22"/>
              </w:rPr>
              <w:t>抽查事项</w:t>
            </w:r>
          </w:p>
        </w:tc>
        <w:tc>
          <w:tcPr>
            <w:tcW w:w="99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99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13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13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38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99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70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heme="minorEastAsia" w:hAnsiTheme="minorEastAsia" w:cstheme="minorEastAsia"/>
                <w:b/>
                <w:bCs/>
                <w:kern w:val="0"/>
                <w:sz w:val="22"/>
              </w:rPr>
            </w:pPr>
          </w:p>
        </w:tc>
      </w:tr>
      <w:tr>
        <w:tblPrEx>
          <w:tblCellMar>
            <w:top w:w="0" w:type="dxa"/>
            <w:left w:w="0" w:type="dxa"/>
            <w:bottom w:w="0" w:type="dxa"/>
            <w:right w:w="0" w:type="dxa"/>
          </w:tblCellMar>
        </w:tblPrEx>
        <w:trPr>
          <w:trHeight w:val="465"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w:t>
            </w:r>
          </w:p>
        </w:tc>
        <w:tc>
          <w:tcPr>
            <w:tcW w:w="619"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stheme="minorEastAsia"/>
                <w:color w:val="000000" w:themeColor="text1"/>
                <w:sz w:val="20"/>
                <w:szCs w:val="20"/>
              </w:rPr>
            </w:pPr>
            <w:r>
              <w:rPr>
                <w:rFonts w:hint="eastAsia" w:cs="宋体" w:asciiTheme="minorEastAsia" w:hAnsiTheme="minorEastAsia"/>
                <w:color w:val="000000" w:themeColor="text1"/>
                <w:kern w:val="0"/>
                <w:sz w:val="20"/>
                <w:szCs w:val="20"/>
              </w:rPr>
              <w:t>官渡区人力资源和社会保障局(17类192项)</w:t>
            </w: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stheme="minorEastAsia"/>
                <w:color w:val="000000" w:themeColor="text1"/>
                <w:sz w:val="20"/>
                <w:szCs w:val="20"/>
              </w:rPr>
            </w:pPr>
            <w:r>
              <w:rPr>
                <w:rFonts w:hint="eastAsia" w:cs="宋体" w:asciiTheme="minorEastAsia" w:hAnsiTheme="minorEastAsia"/>
                <w:color w:val="000000" w:themeColor="text1"/>
                <w:kern w:val="0"/>
                <w:sz w:val="20"/>
                <w:szCs w:val="20"/>
              </w:rPr>
              <w:t>人力资源服务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对未经许可和登记擅自从事职业中介活动且有违法所得的检查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asciiTheme="minorEastAsia" w:hAnsiTheme="minorEastAsia" w:cs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p>
            <w:pPr>
              <w:widowControl/>
              <w:spacing w:line="240" w:lineRule="exact"/>
              <w:textAlignment w:val="center"/>
              <w:rPr>
                <w:rFonts w:asciiTheme="minorEastAsia" w:hAnsiTheme="minorEastAsia" w:cstheme="minorEastAsia"/>
                <w:color w:val="000000" w:themeColor="text1"/>
                <w:kern w:val="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对职业中介机构提供虚假就业信息，为无合法证照的用人单位提供职业中介服务，伪造、涂改、转让职业中介许可证的检查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widowControl/>
              <w:spacing w:line="240" w:lineRule="exact"/>
              <w:jc w:val="left"/>
              <w:rPr>
                <w:rFonts w:cs="Arial" w:asciiTheme="minorEastAsia" w:hAnsiTheme="minorEastAsia"/>
                <w:color w:val="000000" w:themeColor="text1"/>
                <w:kern w:val="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对职业中介机构向劳动者收取押金的检查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《中华人民共和国就业促进法》第六十六条第二款：“违反本法规定，职业中介机构向劳动者收取押金的，由劳动行政部门责令限期退还劳动者，并以每人五百元以上二千元以下的标准处以罚款。”</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p>
        </w:tc>
      </w:tr>
      <w:tr>
        <w:tblPrEx>
          <w:tblCellMar>
            <w:top w:w="0" w:type="dxa"/>
            <w:left w:w="0" w:type="dxa"/>
            <w:bottom w:w="0" w:type="dxa"/>
            <w:right w:w="0" w:type="dxa"/>
          </w:tblCellMar>
        </w:tblPrEx>
        <w:trPr>
          <w:trHeight w:val="970" w:hRule="atLeast"/>
        </w:trPr>
        <w:tc>
          <w:tcPr>
            <w:tcW w:w="518" w:type="dxa"/>
            <w:vMerge w:val="restart"/>
            <w:tcBorders>
              <w:top w:val="single" w:color="auto" w:sz="4" w:space="0"/>
              <w:left w:val="single" w:color="000000" w:sz="4" w:space="0"/>
              <w:bottom w:val="nil"/>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w:t>
            </w:r>
          </w:p>
        </w:tc>
        <w:tc>
          <w:tcPr>
            <w:tcW w:w="619" w:type="dxa"/>
            <w:vMerge w:val="continue"/>
            <w:tcBorders>
              <w:left w:val="single" w:color="000000" w:sz="4" w:space="0"/>
              <w:bottom w:val="nil"/>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nil"/>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p>
        </w:tc>
        <w:tc>
          <w:tcPr>
            <w:tcW w:w="1559" w:type="dxa"/>
            <w:vMerge w:val="restar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对中外合资（合作）职业介绍机构的检查</w:t>
            </w:r>
          </w:p>
        </w:tc>
        <w:tc>
          <w:tcPr>
            <w:tcW w:w="993" w:type="dxa"/>
            <w:vMerge w:val="restar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vMerge w:val="restar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中外合资（合作）职业介绍机构</w:t>
            </w:r>
          </w:p>
        </w:tc>
        <w:tc>
          <w:tcPr>
            <w:tcW w:w="1134" w:type="dxa"/>
            <w:vMerge w:val="restar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vMerge w:val="restar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vMerge w:val="restar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《中华人民共和国就业促进法》第六十四至六十六条</w:t>
            </w:r>
          </w:p>
        </w:tc>
        <w:tc>
          <w:tcPr>
            <w:tcW w:w="996" w:type="dxa"/>
            <w:vMerge w:val="restar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vMerge w:val="restart"/>
            <w:tcBorders>
              <w:top w:val="single" w:color="000000" w:sz="4" w:space="0"/>
              <w:left w:val="single" w:color="000000" w:sz="4" w:space="0"/>
              <w:bottom w:val="nil"/>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p>
        </w:tc>
      </w:tr>
      <w:tr>
        <w:tblPrEx>
          <w:tblCellMar>
            <w:top w:w="0" w:type="dxa"/>
            <w:left w:w="0" w:type="dxa"/>
            <w:bottom w:w="0" w:type="dxa"/>
            <w:right w:w="0" w:type="dxa"/>
          </w:tblCellMar>
        </w:tblPrEx>
        <w:trPr>
          <w:trHeight w:val="320" w:hRule="atLeast"/>
        </w:trPr>
        <w:tc>
          <w:tcPr>
            <w:tcW w:w="518" w:type="dxa"/>
            <w:vMerge w:val="continue"/>
            <w:tcBorders>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p>
        </w:tc>
        <w:tc>
          <w:tcPr>
            <w:tcW w:w="155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993"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993"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134"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134"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3825"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996"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709" w:type="dxa"/>
            <w:vMerge w:val="continue"/>
            <w:tcBorders>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w:t>
            </w:r>
          </w:p>
        </w:tc>
        <w:tc>
          <w:tcPr>
            <w:tcW w:w="619" w:type="dxa"/>
            <w:tcBorders>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劳动合同及招用工管理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对用人单位招用人员提供虚假招聘信息，发布虚假招聘广告的检查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p>
            <w:pPr>
              <w:widowControl/>
              <w:spacing w:line="240" w:lineRule="exact"/>
              <w:jc w:val="left"/>
              <w:rPr>
                <w:rFonts w:cs="宋体" w:asciiTheme="minorEastAsia" w:hAnsiTheme="minorEastAsia"/>
                <w:color w:val="000000" w:themeColor="text1"/>
                <w:kern w:val="0"/>
                <w:sz w:val="20"/>
                <w:szCs w:val="20"/>
              </w:rPr>
            </w:pP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p>
        </w:tc>
      </w:tr>
      <w:tr>
        <w:tblPrEx>
          <w:tblCellMar>
            <w:top w:w="0" w:type="dxa"/>
            <w:left w:w="0" w:type="dxa"/>
            <w:bottom w:w="0" w:type="dxa"/>
            <w:right w:w="0" w:type="dxa"/>
          </w:tblCellMar>
        </w:tblPrEx>
        <w:trPr>
          <w:trHeight w:val="653"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w:t>
            </w:r>
          </w:p>
        </w:tc>
        <w:tc>
          <w:tcPr>
            <w:tcW w:w="61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jc w:val="center"/>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对用人单位招用无合法身份证件的人员的检查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劳动合同及招用工管理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对用人单位以招用人员为名牟取不正当利益或进行其他违法活动的检查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对用人单位招用人员在国家法律、行政法规和国务院卫生行政部门规定禁止乙肝病原携带者从事的工作岗位之外，将乙肝病毒血清学指标作为体检标准的检查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劳动合同及招用工管理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对用人单位不按规定报告空缺岗位，或者招用人员后，不到劳动保障等行政管理部门进行录用登记的检查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对用人单位不能向招用人员提供工作岗位的检查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对以招用人员或者职业培训为名欺诈劳动者的检查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劳动合同及招用工管理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对用人单位未及时为劳动者办理就业登记手续的检查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对职业中介机构未明示职业中介许可证、监督电话的检查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对职业中介机构未建立服务台账，或虽建立服务台账但未记录服务对象、服务过程、服务结果和收费情况的检查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对职业中介机构在职业中介服务不成功后，未向劳动者退还所收取的中介服务费的检查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对职业中介机构发布的就业信息中包含歧视性内容的检查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对职业中介机构为无合法身份证件的劳动者提供职业中介服务的检查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w:t>
            </w:r>
          </w:p>
        </w:tc>
        <w:tc>
          <w:tcPr>
            <w:tcW w:w="61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对职业中介机构介绍劳动者从事法律、法规禁止从事的职业的检查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对职业中介机构以暴力、胁迫、欺诈等方式进行职业中介活动的检查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20</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对职业中介机构超出核准的业务范围经营的检查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21</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对不具备用工、职业介绍、职业培训主体资格，擅自招用工、从事职业介绍和职业培训的检查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未取得职业介绍许可证或使用无效职业介绍许可证进行和参与职业介绍活动的检查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对使用欺诈、诱惑、胁迫等手段进行职业介绍活动的检查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24</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对为无证件、证件不全、证件经审查不实的求职者或用人单位提供中介服务的检查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25</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对职业介绍机构未经劳动行政部门批准组织劳动力供求洽谈会、组织劳动者跨县（市、区）流动就业和开展职业培训的检查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市、区）流动就业和开展职业培训。”</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对职业介绍机构出卖、出租、转借或复印张贴职业介绍许可证的检查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27</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对职业介绍机构从事妨害社会秩序的职业介绍活动的检查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28</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对推荐介绍不成功收取或不退还预收的中介服务费的检查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29</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对职业介绍机构超过核定业务范围从事职业介绍业务活动的检查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30</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对职业介绍机构不参加职业介绍机构年审的检查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31</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人力资源服务</w:t>
            </w:r>
          </w:p>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对职业介绍机构未按规定补足责任保证金的检查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对省外职业介绍机构在我省未经批准从事职业介绍活动的检查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对职业介绍机构、职业技能培训机构或职业技能考核鉴定机构违反国家有关职业介绍、职业技能培训或职业技能考核鉴定的规定的检查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职业中介机构、职业技能培训及考核鉴定机构机构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未经劳动保障行政部门许可，从事职业介绍、职业技能培训或者职业技能考核鉴定的组织或者个人，由劳动保障行政部门、工商行政管理部门依照国家有关无照经营查处取缔的规定查处取缔。”</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34</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职业教育</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对未经批准擅自举办中外合作职业技能培训办学项目，或者以不正当手段骗取中外合作办学项目批准书的检查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35</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对中外合作职业技能培训办学项目发布虚假招生简章或者招生广告，骗取钱财的检查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中外合作职业技能培训机构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36</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对未经批准擅自设立中外合作办学机构，或以不正当手段骗取中外合作办学许可证的检查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中外合作职业技能培训机构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37</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职业教育</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对在中外合作办学机构筹备设立期间招收学生的检查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中外合作办学机构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38</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对中外合作办学者虚假出资或在中外合作办学机构成立后抽逃出资的检查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中外合作办学机构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39</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对违反中外合作办学规定发布虚假招生简章，骗取钱财的检查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中外合作办学机构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职业教育</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对用人单位违反有关规定发放职业培训证书和职业资格证书的检查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四）违反有关规定发放职业培训证书和职业资格证书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41</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中外合作职业技能培训机构设立、分立、合并、变更及终止的监管（非经营性）</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中外合作职业技能培训机构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42</w:t>
            </w:r>
          </w:p>
        </w:tc>
        <w:tc>
          <w:tcPr>
            <w:tcW w:w="61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jc w:val="center"/>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职业教育</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对中外合作职业技能培训项目的监管</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中外合作职业技能培训项目</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43</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职业教育</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对普通技工学校、高级技工学校从事教育活动的监管</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普通技工学校、高级技工学校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《中华人民共和国职业教育法》第二章、第三章、第四章第十二条至第三十七条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44</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对民办职业培训学校设立、分立、合并、变更及终止的监管</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民办职业培训学校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45</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对民办学校、民办职业培训学校的监管</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民办学校、民办职业培训学校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实地核查书面检查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cs="宋体" w:asciiTheme="minorEastAsia" w:hAnsiTheme="minorEastAsia"/>
                <w:color w:val="000000" w:themeColor="text1"/>
                <w:kern w:val="0"/>
                <w:sz w:val="20"/>
                <w:szCs w:val="20"/>
              </w:rPr>
              <w:br w:type="textWrapping"/>
            </w:r>
            <w:r>
              <w:rPr>
                <w:rFonts w:hint="eastAsia" w:cs="宋体" w:asciiTheme="minorEastAsia" w:hAnsiTheme="minorEastAsia"/>
                <w:color w:val="000000" w:themeColor="text1"/>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职业教育</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对职业技能鉴定机构未取得职业技能鉴定许可或超出职业技能鉴定许可范围进行职业技能鉴定的检查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 xml:space="preserve">职业技能鉴定机构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技能鉴定管理条例》（2002年11月29日云南省第九届人民代表大会常务委员会第三十一次会议通过）第二十条：“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47</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对未取得《中华人民共和国社会力量办学许可证》、《中华人民共和国民办学校办学许可证》或使用无效许可证从事职业培训活动的检查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w:t>
            </w:r>
          </w:p>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cs="宋体" w:asciiTheme="minorEastAsia" w:hAnsiTheme="minorEastAsia"/>
                <w:color w:val="000000" w:themeColor="text1"/>
                <w:kern w:val="0"/>
                <w:sz w:val="20"/>
                <w:szCs w:val="20"/>
              </w:rPr>
              <w:br w:type="textWrapping"/>
            </w:r>
            <w:r>
              <w:rPr>
                <w:rFonts w:hint="eastAsia" w:cs="宋体" w:asciiTheme="minorEastAsia" w:hAnsiTheme="minorEastAsia"/>
                <w:color w:val="000000" w:themeColor="text1"/>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48</w:t>
            </w:r>
          </w:p>
        </w:tc>
        <w:tc>
          <w:tcPr>
            <w:tcW w:w="61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职业技能考核鉴定</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对职业技能鉴定机构在鉴定工作中弄虚作假的检查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职业技能鉴定机构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技能鉴定管理条例》（2002年11月29日云南省第九届人民代表大会常务委员会第三十一次会议通过）第二十一条：“职业技能鉴定机构在鉴定工作中弄虚作假的，其鉴定结果无效，由县以上劳动保障行政部门责令改正，并对职业技能鉴定机构处一万元以上五万元以下罚款，对直接负责的主管人员和其他直接责任人员处一千元以上五千元以下罚款；拒不改正的，由发证机关吊销职业技能鉴定许可证。”</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49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职业技能考核鉴定</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民办学校是否有民办教育促进法第62条的情形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民办教育促进法第6派遣2条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50</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社会组织或个人是否擅自举办实施职业技能培训的民办学校</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民办教育促进法第64条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51</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职业技能培训机构或者职业技能考核鉴定机构违反国家有关职业技能培训或者职业技能考核鉴定规定的行为</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《劳动保障监察条例》第28条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52</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职业技能考核鉴定</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实施职业技能培训的民办学校是否有《民办教育促进法实施条例》第47、49条的情形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《民办教育促进法实施条例》第47、49条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53</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实施职业技能培训的民办学校是否将出资人取得回报比例的决定和向社会公布的有关办学水平和教育质量等材料、财务状况报审批机关备案，或者备案材料不真实的情形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《民办教育促进法实施条例》第50条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54</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实施职业技能培训的民办学校是否存在管理混乱严重影响教育教学，存在《民办教育促进法实施条例》第51条的情形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《民办教育促进法实施条例》第51条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55</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职业技能考核鉴定</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实施职业技能培训的中外合作办学机构是否存在未经批准增加收费项目或者提高收费标准的情形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《中外合作办学条例》第55条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56</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实施职业技能培训的中外合作办学机构是否存在管理混乱、教育教学质量低下，造成恶劣影响的情形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《中外合作办学条例》第56条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57</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实施职业技能培训的中外合作办学机构是否存在发布虚假招生简章，骗取钱财的情形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《中外合作办学条例》第57条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58</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用人单位是否违反有关规定发放职业培训证书和职业资格证书</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《云南省劳动监察条例》第24条第4款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59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职业技能考核鉴定</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用人单位是否取得《中华人民共和国社会力量办学许可证》或者使用无效许可证从事职业培训活动，社会力量办学责任保证金用于赔偿后，是否按照规定补足缺额，通知停止办学期间，是否仍然进行办学活动</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《云南省劳动就业条例》第25条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60</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职业技能鉴定机构在鉴定工作中不存在弄虚作假</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《云南省职业技能鉴定管理条例》第21条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61</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职业教育</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对用人单位伪造、变造、买卖职业资格证书的检查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云南省职业技能鉴定管理条例》（2002年11月29日云南省第九届人民代表大会常务委员会第三十一次会议通过）第二十四条：“伪造、变造、买卖职业资格证书的，由县以上劳动保障行政部门没收违法所得，并处违法所得一倍以上五倍以下罚款；无违法所得的，处一千元以上五千元以下罚款；构成犯罪的，依法追究刑事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外国人就业、台港澳人员就业</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对伪造、涂改、冒用、转让、买卖就业证和许可证的外国人和用人单位的检查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用人单位是否存在聘雇或者接受被派遣台港澳人员，未为其办理就业证或未办理备案手续的情形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《台湾香港澳门居民在内地就业管理规定》第16条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64</w:t>
            </w:r>
          </w:p>
        </w:tc>
        <w:tc>
          <w:tcPr>
            <w:tcW w:w="619" w:type="dxa"/>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外国人就业、台港澳人员就业</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用人单位与聘雇台、港、澳人员终止、解除劳动合同或者台、港、澳人员任职期满，是否存在未办理就业证注销手续的情形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官渡</w:t>
            </w:r>
            <w:r>
              <w:rPr>
                <w:rFonts w:hint="eastAsia" w:cs="宋体" w:asciiTheme="minorEastAsia" w:hAnsiTheme="minorEastAsia"/>
                <w:color w:val="000000" w:themeColor="text1"/>
                <w:kern w:val="0"/>
                <w:sz w:val="20"/>
                <w:szCs w:val="20"/>
              </w:rPr>
              <w:t>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《台湾香港澳门居民在内地就业管理规定》第17条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65</w:t>
            </w:r>
          </w:p>
        </w:tc>
        <w:tc>
          <w:tcPr>
            <w:tcW w:w="619" w:type="dxa"/>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用人单位是否存在伪造、涂改、冒用、转让台、港、澳人员就业证的行为</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《台湾香港澳门居民在内地就业管理规定》第18条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continue"/>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外国人是否存在拒绝检查就业证、擅自变更用人单位、擅自更换职业、擅自延长就业期限的情形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《外国人在中国就业管理规定》第29条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67</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外国人就业、台港澳人员就业</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外国人和用人单位是否存在伪造、涂改、冒用、转让、买卖就业证和许可证书的行为</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《外国人在中国就业管理规定》第30条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68</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规章制度</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对用人单位直接涉及劳动者切身利益的规章制度违反法律、法规规定的检查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用人单位直接涉及劳动者切身利益的规章制度违反法律、法规规定的，由劳动行政部门责令改正，给予警告；给劳动者造成损害的，应当承担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69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用人单位制定的内部管理劳动规章制度是否违反法律、法规</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《中华人民共和国劳动法》第89条</w:t>
            </w:r>
          </w:p>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《中华人民共和国劳动合同法》第80条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70</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劳动合同和招用工管理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对用人单位以担保或其他名义向劳动者收取财物的检查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71</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spacing w:line="240" w:lineRule="exact"/>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对劳动者依法解除或终止劳动合同，用人单位扣押劳动者档案或其他物品的检查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对用人单位违反劳动合同法有关建立职工名册规定的检查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73</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spacing w:line="240" w:lineRule="exact"/>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劳动合同和招用工管理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对用人单位招用人员未按规定订立劳动合同或者订立法定条款不完备劳动合同的检查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w:t>
            </w:r>
          </w:p>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处以50元的罚款，并对法定代表人处以200元的罚款。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74</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对用人单位未依法订立劳动合同的检查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75</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对不按规定签订集体合同的检查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《云南省劳动监察条例》（1998年11月27日云南省第九届人民代表大会常务委员会第六次会议通过）第二十二条：不按规定签订集体合同的，处以用人单位1000元的罚款。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76</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对用人单位不执行集体合同约定的劳动标准或其他事项的检查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77</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劳动合同和招用工管理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用人单位提供的劳动合同文本是否载明《中华人民共和国劳动合同法》规定的劳动合同必备条款</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《中华人民共和国劳动合同法》第81条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78</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用人单位是否将劳动合同文本交付劳动者</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《中华人民共和国劳动合同法》第81条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79</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用人单位是否违反《中华人民共和国劳动合同法》规定约定试用期</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《中华人民共和国劳动合同法》第83条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80</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用人单位是否违反《中华人民共和国劳动合同法》规定，扣押劳动者居民身份证等证件</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《中华人民共和国劳动合同法》第84条第1款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 xml:space="preserve"> 81</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用人单位是否按照《中华人民共和国劳动法》的规定的条件解除劳动合同或者故意拖延不订立劳动合同</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《中华人民共和国劳动法》第98条；《劳动保障监察条例》第24条;《云南省劳动监察条例》第22条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劳动合同和招用工管理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用人单位是否违反《中华人民共和国劳动合同法》有关建立职工名册规定</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《《中华人民共和国劳动合同法》实施条例》第33条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用人单位是否向协商代表提供开展工资集体协商所必需的工作条件和工作时间</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《云南省企业工资集体协商条例》第39条第2款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84</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用人单位是否履行工资专项集体合同</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就业促进法第67条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85</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企业单位是否按照国家规定提取职工教育经费或者挪用职工教育经费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《就业服务与就业管理规定》第67条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86</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用人单位在招用人员过程中是否提供虚假招聘信息，、发布虚假招聘广告、招用无合法身份证件的人员或者以招用人员为名牟取不正当利益或进行其他违法活动</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工会法第50条、《劳动保障监察条例》第29条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87</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劳动合同和招用工管理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用人单位是否在国家法律、行政法规和国务院卫生行政部门规定禁止乙肝病原携带者从事的工作岗位以外招用人员时，将乙肝病毒血清指标作为体检标准</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工会法第51条、《劳动保障监察条例》第29条第2项</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88</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p>
        </w:tc>
        <w:tc>
          <w:tcPr>
            <w:tcW w:w="1559" w:type="dxa"/>
            <w:tcBorders>
              <w:top w:val="single" w:color="000000"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用人单位是否及时为劳动者办理就业登记手续</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工会法第52条、《劳动保障监察条例》第29条第3和第4项</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89</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cs="宋体" w:asciiTheme="minorEastAsia" w:hAnsiTheme="minorEastAsia"/>
                <w:color w:val="000000" w:themeColor="text1"/>
                <w:kern w:val="0"/>
                <w:sz w:val="20"/>
                <w:szCs w:val="20"/>
              </w:rPr>
            </w:pPr>
            <w:r>
              <w:rPr>
                <w:rFonts w:hint="eastAsia" w:asciiTheme="minorEastAsia" w:hAnsiTheme="minorEastAsia"/>
                <w:color w:val="000000" w:themeColor="text1"/>
                <w:sz w:val="20"/>
                <w:szCs w:val="20"/>
              </w:rPr>
              <w:t>妨碍行政执法</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对用人单位不提供或不如实提供签订或履行集体合同所需真实情况和资料的检查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90</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用人单位是否有《劳动保障监察条例》第30条规定的阻挠检查的情形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《劳动保障监察条例》第30条；《云南省劳动监察条例》第29条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91</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left"/>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用人单位是否存在违反《工伤保险条例》第19条拒不协助对事故进行调查核实的情形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《工伤保险条例》第63条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劳动合同和招用工管理</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对用人单位不当变更或解除职工一方代表的劳动合同的的检查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对职工方或者上级工会提出协商要求后，企业拒绝开展工资集体协商或者拖延答复的检查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94</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妨碍行政执法</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对企业不提供与工资集体协商有关信息资料或者提供虚假信息资料的检查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95</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劳动合同和招用工管理</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对企业不向协商代表提供开展工资集体协商所必需的工作条件和工作时间的检查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劳动合同和招用工管理</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对企业不履行工资专项集体合同的检查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97</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对无正当理由拒绝进行工资集体协商等平等协商签订集体合同的检查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《云南省企业工会条例》(2010年11月26日云南省第十一届人民代表大会常务委员会第二十次会议通过）第三十七条 企业有下列情形之一的，由县级以上人民政府及其人力资源和社会保障行政部门责令改正；拒不改正的，处5000元以上2万元以下罚款；造成严重后果的，依法追究责任：（四）无正当理由拒绝进行工资集体协商等平等协商签订集体合同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98</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对涂改、倒卖、出租、出借《劳务派遣经营许可证》，或者以其他形式非法转让《劳务派遣经营许可证》的检查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99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对隐瞒真实情况或者提交虚假材料取得劳务派遣行政许可的检查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100</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对以欺骗、贿赂等不正当手段取得劳务派遣行政许可的检查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101</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劳务派遣单位与被派遣劳动者订立的劳动合同是否载明劳动合同必备条款</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《中华人民共和国劳动合同法》第58、92条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102</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劳务派遣单位是否存在没有与劳动者签订二年以上固定期限劳动合同的情形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《中华人民共和国劳动合同法》第58条第2款、第92条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103</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被派遣劳动者在无工作期间，劳务派遣单位是否存在未按照所在地人民政</w:t>
            </w:r>
            <w:r>
              <w:rPr>
                <w:rFonts w:hint="eastAsia" w:asciiTheme="minorEastAsia" w:hAnsiTheme="minorEastAsia"/>
                <w:color w:val="000000" w:themeColor="text1"/>
                <w:sz w:val="20"/>
                <w:szCs w:val="20"/>
                <w:lang w:val="en-US" w:eastAsia="zh-CN"/>
              </w:rPr>
              <w:t>府</w:t>
            </w:r>
            <w:r>
              <w:rPr>
                <w:rFonts w:hint="eastAsia" w:asciiTheme="minorEastAsia" w:hAnsiTheme="minorEastAsia"/>
                <w:color w:val="000000" w:themeColor="text1"/>
                <w:sz w:val="20"/>
                <w:szCs w:val="20"/>
              </w:rPr>
              <w:t>工资标准向其按月支付工资报酬的情形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《中华人民共和国劳动合同法》第58条第2款、第92条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104</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劳务派遣单位派遣劳动者，是否存在未与用工单位签订劳务派遣协议，或者协议内容未约定派遣岗位和人员数量、派遣期限、劳动报酬和社保费用的数额与支付方式以及违反协议责任的情形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《中华人民共和国劳动合同法》第59条、第92条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105</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劳务派遣单位是否存在未将劳务派遣协议的内容告知被派遣劳动者的情形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《中华人民共和国劳动合同法》第60条第1款、第92条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劳务派遣单位是否存在克扣用工单位按照劳务派遣协议支付给被派遣劳动者的劳动报酬的情形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《中华人民共和国劳动合同法》第60条第2款、92条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107</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劳务派遣单位是否存在克扣用工单位按照劳务派遣协议支付给被派遣劳动者的劳动报酬的情形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《中华人民共和国劳动合同法》第60条第2款、92条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108</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用工单位是否存在向被派遣劳动者收取费用的情形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《中华人民共和国劳动合同法》第60条第3款、第92条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109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劳务派遣单位是否存在向设立该单位的用人单位或者其所属单位派遣劳动者的情形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《中华人民共和国劳动合同法》第67、92条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110</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用工单位是否存在设立劳务派遣单位向本单位或所属单位派遣劳动者的情形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《中华人民共和国劳动合同法》第67、92条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111</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用工单位是否存在未根据工作岗位的实际需要与劳务派遣单位确定派遣期限，或者将连续用工期限分割订立数个短期劳务派遣协议的情形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《中华人民共和国劳动合同法》第59条第2款、92条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112</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用工单位是否存在未依法履行第62条第1款的情形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《中华人民共和国劳动合同法》第62条第1款、92条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113</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用工单位是否有将被派遣劳动者再派遣到其他用人单位的情形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《中华人民共和国劳动合同法》第62条第2款、92条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114</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单位或个人是否存在未经许可，擅自经营劳务派遣业务的情形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115</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劳务派遣单位在申请《劳务派遣经营许可证》时是否存在《劳务派遣行政许可实施办法》第33条第1、2、3项的行为</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p>
            <w:pPr>
              <w:spacing w:line="240" w:lineRule="exact"/>
              <w:jc w:val="center"/>
              <w:rPr>
                <w:rFonts w:asciiTheme="minorEastAsia" w:hAnsiTheme="minorEastAsia"/>
                <w:color w:val="000000" w:themeColor="text1"/>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《劳务派遣行政许可实施办法》第33条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用工单位是否存在在临时性、辅助性或者替代性岗位以外的岗位上使用被派遣劳动者的情形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《中华人民共和国劳动合同法》第66、92条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117</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用工单位决定使用被派遣劳动者是否履行了《劳务派遣暂行规定》第3条第3款的法定程序</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《劳务派遣暂行规定》第3条第3款、22条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118</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用工单位决定使用被派遣劳动者是否履行了《劳务派遣暂行规定》第3条第3款的法定程序</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《劳务派遣暂行规定》第3条第3款、22条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119</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对劳务派遣单位违反劳动合同法规定的检查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120</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对用工单位违反劳动合同法及实施条例有关劳务派遣规定的检查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121</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对用工单位决定使用被派遣劳动者的辅助性岗位，不经职工代表大会或者全体职工讨论，提出方案和意见，与工会或者职工代表平等协商确定，并在用工单位内公示的检查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122</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工时休假</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对违反法律、法规规定或者未经劳动者同意，安排劳动者延长工作时间的的检查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123</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对用人单位不能依法保证劳动者休息休假（包括少数民族节假日）或未报经劳动保障部门批准实行其他工作制度和休息办法的检查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124</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对用人单位实行不定时工作制和综合计算工作制情况的检查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w:t>
            </w:r>
            <w:r>
              <w:rPr>
                <w:rFonts w:hint="eastAsia" w:asciiTheme="minorEastAsia" w:hAnsiTheme="minorEastAsia"/>
                <w:color w:val="000000" w:themeColor="text1"/>
                <w:sz w:val="20"/>
                <w:szCs w:val="20"/>
                <w:lang w:val="en-US" w:eastAsia="zh-CN"/>
              </w:rPr>
              <w:t>中华人民共和国</w:t>
            </w:r>
            <w:r>
              <w:rPr>
                <w:rFonts w:hint="eastAsia" w:asciiTheme="minorEastAsia" w:hAnsiTheme="minorEastAsia"/>
                <w:color w:val="000000" w:themeColor="text1"/>
                <w:sz w:val="20"/>
                <w:szCs w:val="20"/>
              </w:rPr>
              <w:t>劳动法》第三十九条：企业因生产特点不能实行本法第三十六条、第三十八条规定的，经劳动行政部门批准，可以实行其他工作和休息办法。</w:t>
            </w:r>
          </w:p>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《关于企业实行不定时工作制和综合计算工时工作制的审批办法》（劳部发〔1994〕503号）</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125</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工时休假</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用人单位是否依法安排职工休年休假或对不休假职工支付年休假工资报酬、赔偿金</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《职工带薪年休假条例》第7条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126</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妨碍行政执法</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对建设单位或者非建设领域用人单位拒不执行限期责令改正决定或者拒不履行增存工资保证金处理决定的检查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127</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女职工特殊劳动保护</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对用人单位安排女职工从事矿山井下劳动、国家规定的第四级体力劳动强度的劳动或其他禁忌从事劳动的检查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128</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女职工特殊劳动保护</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对用人单位安排女职工在经期从事高处、低温、冷水作业或国家规定的第三级体力劳动强度劳动的检查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129</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对用人单位安排女职工在孕期从事国家规定的第三级体力劳动强度的劳动或孕期禁忌从事劳动的检查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130</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对用人单位安排女职工在孕期从事国家规定的第三级体力劳动强度的劳动或孕期禁忌从事劳动的检查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131</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对用人单位安排女职工在孕期从事国家规定的第三级体力劳动强度的劳动或孕期禁忌从事劳动的检查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女职工特殊劳动保护</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对用人单位安排女职工在哺乳未满１周岁婴儿期间从事国家规定的第三级体力劳动强度或哺乳期禁忌从事的其他劳动，以及延长其工作时间或安排夜班劳动的检查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对用人单位违反女职工劳动保护特别规定的检查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女职工劳动保护特别规定》（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134</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w:t>
            </w:r>
          </w:p>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对用人单位使用童工的检查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135</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对单位、个人或者职业中介机构为不满16周岁的未成年人介绍就业的检查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w:t>
            </w:r>
          </w:p>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对用人单位未按照禁止使用童工规定保存录用登记材料，或者伪造录用登记材料的检查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《禁止使用童工规定》（国务院令第364号）第八条：用人单位未按照本规定第四条的规定保存录用登记材料，或者伪造录用登记材料的，由劳动保障行政部门处1万元的罚款。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137</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对无营业执照、被依法吊销营业执照的单位以及未依法登记、备案的单位使用童工或者介绍童工就业的检查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138</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用人单位是否在使用有毒物品作业场所使用童工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《禁止使用童工规定》第6条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139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用人单位是否存在使用童工经劳动保障部门责令限期改正后逾期不将童工送交其父母或者其他监护人的情形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《禁止使用童工规定》第6条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140</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无营业执照、被依法吊销营业执照的单位以及未依法登记、备案的单位是否使用童工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《禁止使用童工规定》第9条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141</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未成年工特殊劳动保护</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对用人单位安排未成年工从事矿山井下、有毒有害、国家规定的第四级体力劳动强度的劳动或其他禁忌从事劳动的检查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142</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对用人单位未对未成年工定期进行健康检查的检查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143</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特殊劳动保护</w:t>
            </w:r>
          </w:p>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对用人单位违反国家规定，侵害女职工和未成年工、残疾职工合法权益的检查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144</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对未按规定从缴费个人工资中代扣代缴社会保险费的检查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145</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对未按规定向职工公布本单位社会保险费缴纳情况的检查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146</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对用人单位不依法参加失业保险、不按规定出具解除或终止劳动、人事关系证明、不向职工公布失业保险费缴纳情况的检查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147</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对用人单位依照法律法规规定应当参加工伤保险而未参加的检查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148</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对从事劳动能力鉴定的组织或个人提供虚假鉴定意见的检查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劳动能力鉴定机构、个人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一）提供虚假鉴定意见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149</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对从事劳动能力鉴定的组织或个人提供虚假诊断证明的检查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劳动能力鉴定机构、个人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二）提供虚假诊断证明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150</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对从事劳动能力鉴定的组织或个人收受当事人财物的检查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劳动能力鉴定机构、个人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三）收受当事人财物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151</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对用人单位拒不协助社会保险行政部门对事故进行调查核实的检查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对社会保险经办机构以及医疗机构、药品经营单位等社会保险服务机构以欺诈、伪造证明材料或者其他手段骗取社会保险基金支出的检查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社会保险经办机构以及医疗机构、药品经营单位等社会保险服务机构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对以欺诈、伪造证明材料或者其他手段骗取社会保险待遇的检查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《中华人民共和国社会保险法》第八十八条：以欺诈、伪造证明材料或者其他手段骗取社会保险待遇的，由社会保险行政部门责令退回骗取的社会保险金，处骗取金额二倍以上五倍以下的罚款。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154</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对骗取社会保险待遇或者骗取社会保险基金支出的检查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155</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对用人单位、工伤职工或者其近亲属骗取工伤保险待遇，医疗机构、辅助器具配置机构骗取工伤保险基金支出的检查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156</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对用人单位侵占、挪用、拖欠、虚报、冒领职工基本养老保险金的检查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157</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用人单位是否办理社会保险登记</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社会保险法第84条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158</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缴费单位是否在社会保险登记事项发生变更或者缴费单位依法终止后按规定到社保经办机构办理社会保险变更登记或者社会保险注销登记</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《社会保险费征缴暂行条例》第23条（社会保险费征缴监督检查办法第12条）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159</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缴费单位是否存在伪造变造社会保险登记证的情形</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《社会保险费征缴监督检查办法》第14条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160</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用人单位是否存在向社会保险经办机构申报应缴纳的社会保险费数额时，瞒报工资总额或者职工人数</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《劳动保障监察条例》第27条第1款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161</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缴费单位是否按规定公布本单位社会保险费缴纳情况</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《社会保险费征缴暂行条例》第17条（《社会保险费征缴监督检查办法》第14条）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162</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用人单位、工伤保险职工或者其近亲属是否存在骗取工伤保险待遇行为</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《工伤保险条例》第60条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用人单位是否存在不依法参加失业保险、不按规定出具解除或终止劳动、人事关系证明、不向职工公布失业保险费缴纳情况，经责令改正逾期不改正的情况</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《云南省失业保险条例》第38条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164</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医疗机构、辅助器具配置机构是否存在骗取工伤保险基金支出的行为</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《工伤保险条例》第60条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165</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职业年金</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对违反《企业年金办法》规定的检查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《企业年金办法》（已经2016年12月20日人社部第114次部务会审议通过，财政部审议通过，并于2017年12月18日公布。自2018年2月1日起施行中华人民共和国人力资源和社会保障部 中华人民共和国财政部令第36号）第二十九条 县级以上人民政府人力资源社会保障行政部门负责对本办法的执行情况进行监督检查。对违反本办法的，由人力资源社会保障行政部门予以警告，责令改正。</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166</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w:t>
            </w:r>
          </w:p>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对不符合享受失业保险待遇条件，骗取失业保险金和其他失业保险待遇的检查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167</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劳动合同及招用工管理</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对以胁迫、利诱、欺骗手段阻碍职工加入工会的检查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一）以胁迫、利诱、欺骗手段阻碍职工加入工会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168</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对无正当理由解除企业工会筹建发起人劳动关系或者调整其工作岗位、降低工资待遇的检查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169</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对企业法定代表人、主要负责人拒绝与上级工会就建立企业工会进行协商的检查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170</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劳动合同及招用工管理</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对企业法定代表人、主要负责人拒绝与上级工会就建立企业工会进行协商的检查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171</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对妨碍企业工会组织职工通过职工代表大会和其他形式行使民主权利的检查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172</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对阻挠工会依法行使监督权的检查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三）阻挠工会依法行使监督权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173</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妨碍行政执法</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对用人单位无理抗拒、阻挠劳动保障行政部门实施劳动保障监察的检查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174</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对用人单位不按照劳动保障行政部门的要求报送书面材料，隐瞒事实真相，出具伪证或隐匿、毁灭证据的检查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175</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对用人单位经劳动保障行政部门责令改正拒不改正，或拒不履行劳动保障行政部门的行政处理决定的检查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对用人单位不按规定参加劳动执法年审的检查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177</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妨碍行政执法</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逾期不执行劳动监察询问通知书的检查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178</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对用人单位打击报复举报人、控告人、证人和劳动监察人员的检查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179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对经营性人力资源服务机构对未经许可擅自从事职业中介活动的检查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市场暂行条例条例》（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180</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对经营性人力资源服务机构开展人力资源服务业务未备案的检查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市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181</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对经营性人力资源服务机构设立分支机构、办理变更或者注销登记未书面报告的检查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市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w:t>
            </w:r>
          </w:p>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规定，设立分支机构、办理变更或者注销登记未书面报告的，由人力资源社会保障行政部门责令改正；拒不改正的，处5000元以上2万元以下的罚款。</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182</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对发布的招聘信息不真实、不合法，未依法开展人力资源服务业务的检查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《人力资源市场暂行条例》（已经2018年5月2日国务院第7次常务会议通过，现予公布，自2018年10月1日起施行。中华人民共和国国务院令第700号）第四十三条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183</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对经营性人力资源服务机构未在服务场所明示有关事项的检查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184</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对经营性人力资源服务机构应当未按规定提交经营情况年度报告的检查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185</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对人力资源服务机构未按规定建立健全内部制度或保存服务台账的检查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人力资源服务机构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186</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劳动保障</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对用人单位遵守劳动保障法律、法规情况进行监督检查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w:t>
            </w:r>
            <w:r>
              <w:rPr>
                <w:rFonts w:hint="eastAsia" w:asciiTheme="minorEastAsia" w:hAnsiTheme="minorEastAsia"/>
                <w:color w:val="000000" w:themeColor="text1"/>
                <w:sz w:val="20"/>
                <w:szCs w:val="20"/>
                <w:lang w:val="en-US" w:eastAsia="zh-CN"/>
              </w:rPr>
              <w:t>中华人民共和国</w:t>
            </w:r>
            <w:r>
              <w:rPr>
                <w:rFonts w:hint="eastAsia" w:asciiTheme="minorEastAsia" w:hAnsiTheme="minorEastAsia"/>
                <w:color w:val="000000" w:themeColor="text1"/>
                <w:sz w:val="20"/>
                <w:szCs w:val="20"/>
              </w:rPr>
              <w:t>劳动法》第八十五条：“县级以上各级人民政府劳动行政部门依法对用人单位遵守劳动法律、法规的情况进行监督检查，对违反劳动法律、法规的行为有权制止，并责令改正。”</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187</w:t>
            </w:r>
          </w:p>
        </w:tc>
        <w:tc>
          <w:tcPr>
            <w:tcW w:w="619" w:type="dxa"/>
            <w:vMerge w:val="continue"/>
            <w:tcBorders>
              <w:left w:val="single" w:color="000000"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对用人单位遵守社会保险法律、法规情况进行监督检查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w:t>
            </w:r>
            <w:r>
              <w:rPr>
                <w:rFonts w:hint="eastAsia" w:asciiTheme="minorEastAsia" w:hAnsiTheme="minorEastAsia"/>
                <w:color w:val="000000" w:themeColor="text1"/>
                <w:sz w:val="20"/>
                <w:szCs w:val="20"/>
                <w:lang w:val="en-US" w:eastAsia="zh-CN"/>
              </w:rPr>
              <w:t>中华人民共和国</w:t>
            </w:r>
            <w:bookmarkStart w:id="0" w:name="_GoBack"/>
            <w:bookmarkEnd w:id="0"/>
            <w:r>
              <w:rPr>
                <w:rFonts w:hint="eastAsia" w:asciiTheme="minorEastAsia" w:hAnsiTheme="minorEastAsia"/>
                <w:color w:val="000000" w:themeColor="text1"/>
                <w:sz w:val="20"/>
                <w:szCs w:val="20"/>
              </w:rPr>
              <w:t>社会保险法》（2010年10月28日中华人民共和国主席令第35号公布）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188</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对养老保险、工伤保险参保和个人领取待遇情况稽核</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用人单位、个人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实地检查、书面检查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《社会保险费征缴暂行条例》第二十条：“社会保险经办机构受劳动保障行政部门的委托，可以进行与社会保险费征缴有关的检查、调查工作。”</w:t>
            </w:r>
            <w:r>
              <w:rPr>
                <w:rFonts w:hint="eastAsia" w:asciiTheme="minorEastAsia" w:hAnsiTheme="minorEastAsia"/>
                <w:color w:val="000000" w:themeColor="text1"/>
                <w:sz w:val="20"/>
                <w:szCs w:val="20"/>
              </w:rPr>
              <w:br w:type="textWrapping"/>
            </w:r>
            <w:r>
              <w:rPr>
                <w:rFonts w:hint="eastAsia" w:asciiTheme="minorEastAsia" w:hAnsiTheme="minorEastAsia"/>
                <w:color w:val="000000" w:themeColor="text1"/>
                <w:sz w:val="20"/>
                <w:szCs w:val="20"/>
              </w:rPr>
              <w:t>《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w:t>
            </w:r>
            <w:r>
              <w:rPr>
                <w:rFonts w:hint="eastAsia" w:asciiTheme="minorEastAsia" w:hAnsiTheme="minorEastAsia"/>
                <w:color w:val="000000" w:themeColor="text1"/>
                <w:sz w:val="20"/>
                <w:szCs w:val="20"/>
              </w:rPr>
              <w:br w:type="textWrapping"/>
            </w:r>
            <w:r>
              <w:rPr>
                <w:rFonts w:hint="eastAsia" w:asciiTheme="minorEastAsia" w:hAnsiTheme="minorEastAsia"/>
                <w:color w:val="000000" w:themeColor="text1"/>
                <w:sz w:val="20"/>
                <w:szCs w:val="20"/>
              </w:rPr>
              <w:t>《社会保险稽核办法》（2003年2月27日劳动和社会保障部令第16号发布）第三条第一款：“县级以上社会保险经办机构负责社会保险稽核工作”；第二条：“本办法所称稽核是指社会保险经办机构依法对社会保险费缴纳情况和社会保险待遇领取情况的核查。”</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189</w:t>
            </w:r>
          </w:p>
        </w:tc>
        <w:tc>
          <w:tcPr>
            <w:tcW w:w="619"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jc w:val="center"/>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工资支付和最低工资</w:t>
            </w: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用人单位是否有下列行为之一：未按照劳动合同的约定或者国家规定及时足额支付劳动报酬；低于当地最低工资标准支付劳动者工资；安排加班不支付加班费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《中华人民共和国劳动合同法》第85条、《劳动保障监察条例》第26条；《云南省劳动监察条例》第27条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190</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用人单位是否依照《中华人民共和国劳动合同法》的规定向劳动者每月支付两倍的工资或者赔偿金</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《中华人民共和国劳动合同法》第85条、《劳动保障监察条例》第26条；《云南省劳动监察条例》第27条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191</w:t>
            </w:r>
          </w:p>
        </w:tc>
        <w:tc>
          <w:tcPr>
            <w:tcW w:w="619" w:type="dxa"/>
            <w:vMerge w:val="restart"/>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rPr>
                <w:color w:val="000000" w:themeColor="text1"/>
              </w:rPr>
            </w:pPr>
            <w:r>
              <w:rPr>
                <w:rFonts w:hint="eastAsia" w:cs="宋体" w:asciiTheme="minorEastAsia" w:hAnsiTheme="minorEastAsia"/>
                <w:color w:val="000000" w:themeColor="text1"/>
                <w:kern w:val="0"/>
                <w:sz w:val="20"/>
                <w:szCs w:val="20"/>
              </w:rPr>
              <w:t>官渡区人力资源和社会保障局(17类192项)</w:t>
            </w:r>
          </w:p>
          <w:p>
            <w:pPr>
              <w:widowControl/>
              <w:spacing w:line="240" w:lineRule="exact"/>
              <w:rPr>
                <w:rFonts w:cs="宋体" w:asciiTheme="minorEastAsia" w:hAnsiTheme="minorEastAsia"/>
                <w:color w:val="000000" w:themeColor="text1"/>
                <w:kern w:val="0"/>
                <w:sz w:val="20"/>
                <w:szCs w:val="20"/>
              </w:rPr>
            </w:pPr>
          </w:p>
        </w:tc>
        <w:tc>
          <w:tcPr>
            <w:tcW w:w="1418"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工资支付和最低工资</w:t>
            </w:r>
          </w:p>
        </w:tc>
        <w:tc>
          <w:tcPr>
            <w:tcW w:w="1559" w:type="dxa"/>
            <w:tcBorders>
              <w:top w:val="single" w:color="auto"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非建设领域用人单位是否拖欠或者克扣农民工工资</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《中华人民共和国劳动合同法》第82、87条、《《中华人民共和国劳动合同法》实施条例》第34条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r>
        <w:tblPrEx>
          <w:tblCellMar>
            <w:top w:w="0" w:type="dxa"/>
            <w:left w:w="0" w:type="dxa"/>
            <w:bottom w:w="0" w:type="dxa"/>
            <w:right w:w="0" w:type="dxa"/>
          </w:tblCellMar>
        </w:tblPrEx>
        <w:trPr>
          <w:trHeight w:val="92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color w:val="000000" w:themeColor="text1"/>
                <w:kern w:val="0"/>
                <w:sz w:val="20"/>
                <w:szCs w:val="20"/>
              </w:rPr>
            </w:pPr>
            <w:r>
              <w:rPr>
                <w:rFonts w:hint="eastAsia" w:asciiTheme="minorEastAsia" w:hAnsiTheme="minorEastAsia" w:cstheme="minorEastAsia"/>
                <w:color w:val="000000" w:themeColor="text1"/>
                <w:kern w:val="0"/>
                <w:sz w:val="20"/>
                <w:szCs w:val="20"/>
              </w:rPr>
              <w:t>192</w:t>
            </w:r>
          </w:p>
        </w:tc>
        <w:tc>
          <w:tcPr>
            <w:tcW w:w="619"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tcPr>
          <w:p>
            <w:pPr>
              <w:widowControl/>
              <w:spacing w:line="240" w:lineRule="exact"/>
              <w:jc w:val="center"/>
              <w:rPr>
                <w:rFonts w:cs="宋体" w:asciiTheme="minorEastAsia" w:hAnsiTheme="minorEastAsia"/>
                <w:color w:val="000000" w:themeColor="text1"/>
                <w:kern w:val="0"/>
                <w:sz w:val="20"/>
                <w:szCs w:val="20"/>
              </w:rPr>
            </w:pPr>
          </w:p>
        </w:tc>
        <w:tc>
          <w:tcPr>
            <w:tcW w:w="1418"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c>
          <w:tcPr>
            <w:tcW w:w="1559"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spacing w:line="240" w:lineRule="exact"/>
              <w:jc w:val="righ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建设单位或者非建设领域用人单位是否在规定期限内交存、补足农民工工资保证金</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righ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righ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企业、社会团体、民办非企业、基金会、律师事务所、会计师事务所等组织</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righ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官渡区人力资源社会保障局</w:t>
            </w:r>
          </w:p>
        </w:tc>
        <w:tc>
          <w:tcPr>
            <w:tcW w:w="3825" w:type="dxa"/>
            <w:tcBorders>
              <w:top w:val="single" w:color="000000" w:sz="4" w:space="0"/>
              <w:left w:val="single" w:color="000000" w:sz="4" w:space="0"/>
              <w:bottom w:val="single" w:color="000000" w:sz="4" w:space="0"/>
              <w:right w:val="single" w:color="auto" w:sz="4" w:space="0"/>
            </w:tcBorders>
            <w:shd w:val="clear" w:color="000000" w:fill="FFFFFF"/>
            <w:tcMar>
              <w:top w:w="15" w:type="dxa"/>
              <w:left w:w="15" w:type="dxa"/>
              <w:right w:w="15" w:type="dxa"/>
            </w:tcMar>
            <w:vAlign w:val="center"/>
          </w:tcPr>
          <w:p>
            <w:pPr>
              <w:spacing w:line="240" w:lineRule="exact"/>
              <w:jc w:val="righ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《云南省农民工工资支付保障规定》第12条</w:t>
            </w:r>
          </w:p>
        </w:tc>
        <w:tc>
          <w:tcPr>
            <w:tcW w:w="996" w:type="dxa"/>
            <w:tcBorders>
              <w:top w:val="single" w:color="000000" w:sz="4" w:space="0"/>
              <w:left w:val="single" w:color="auto"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righ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普遍适用</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rPr>
                <w:rFonts w:asciiTheme="minorEastAsia" w:hAnsiTheme="minorEastAsia"/>
                <w:color w:val="000000" w:themeColor="text1"/>
                <w:sz w:val="20"/>
                <w:szCs w:val="20"/>
              </w:rPr>
            </w:pPr>
          </w:p>
        </w:tc>
      </w:tr>
    </w:tbl>
    <w:p>
      <w:pPr>
        <w:widowControl/>
        <w:spacing w:line="240" w:lineRule="exact"/>
        <w:textAlignment w:val="center"/>
        <w:rPr>
          <w:rFonts w:asciiTheme="minorEastAsia" w:hAnsiTheme="minorEastAsia" w:cstheme="minorEastAsia"/>
          <w:kern w:val="0"/>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665127"/>
    <w:rsid w:val="000261F6"/>
    <w:rsid w:val="00026C0B"/>
    <w:rsid w:val="00034283"/>
    <w:rsid w:val="00065380"/>
    <w:rsid w:val="000671AB"/>
    <w:rsid w:val="000924EF"/>
    <w:rsid w:val="0009251F"/>
    <w:rsid w:val="00097CBE"/>
    <w:rsid w:val="000B7162"/>
    <w:rsid w:val="001037E0"/>
    <w:rsid w:val="00125F53"/>
    <w:rsid w:val="00151AE0"/>
    <w:rsid w:val="001817AB"/>
    <w:rsid w:val="00183E49"/>
    <w:rsid w:val="00186E9B"/>
    <w:rsid w:val="00191855"/>
    <w:rsid w:val="001A62C0"/>
    <w:rsid w:val="001B7203"/>
    <w:rsid w:val="001C119E"/>
    <w:rsid w:val="001C6BC9"/>
    <w:rsid w:val="001E1352"/>
    <w:rsid w:val="001F413A"/>
    <w:rsid w:val="002023DE"/>
    <w:rsid w:val="0024100C"/>
    <w:rsid w:val="0024158C"/>
    <w:rsid w:val="0026217A"/>
    <w:rsid w:val="00264728"/>
    <w:rsid w:val="002756E7"/>
    <w:rsid w:val="002850B4"/>
    <w:rsid w:val="00293706"/>
    <w:rsid w:val="00294041"/>
    <w:rsid w:val="002A00DD"/>
    <w:rsid w:val="002A6036"/>
    <w:rsid w:val="002C1B2A"/>
    <w:rsid w:val="002D79DE"/>
    <w:rsid w:val="0030796A"/>
    <w:rsid w:val="00323FBB"/>
    <w:rsid w:val="00326BB3"/>
    <w:rsid w:val="003577C1"/>
    <w:rsid w:val="00361434"/>
    <w:rsid w:val="00363F30"/>
    <w:rsid w:val="00364A13"/>
    <w:rsid w:val="003665EE"/>
    <w:rsid w:val="0038550B"/>
    <w:rsid w:val="003954A6"/>
    <w:rsid w:val="00396741"/>
    <w:rsid w:val="003A74AD"/>
    <w:rsid w:val="003B5197"/>
    <w:rsid w:val="003D01B5"/>
    <w:rsid w:val="003D7F2D"/>
    <w:rsid w:val="003E19AB"/>
    <w:rsid w:val="003F1B10"/>
    <w:rsid w:val="0040767B"/>
    <w:rsid w:val="00420B82"/>
    <w:rsid w:val="00456268"/>
    <w:rsid w:val="00471BCD"/>
    <w:rsid w:val="004731F2"/>
    <w:rsid w:val="00475032"/>
    <w:rsid w:val="00483B99"/>
    <w:rsid w:val="00485B75"/>
    <w:rsid w:val="00485BCF"/>
    <w:rsid w:val="004969F6"/>
    <w:rsid w:val="00497857"/>
    <w:rsid w:val="004A1769"/>
    <w:rsid w:val="004A6871"/>
    <w:rsid w:val="004B15F9"/>
    <w:rsid w:val="004D2699"/>
    <w:rsid w:val="004F6559"/>
    <w:rsid w:val="005043FF"/>
    <w:rsid w:val="00510EEA"/>
    <w:rsid w:val="0051672F"/>
    <w:rsid w:val="00524912"/>
    <w:rsid w:val="00527C81"/>
    <w:rsid w:val="00557F3D"/>
    <w:rsid w:val="00561DBE"/>
    <w:rsid w:val="00571988"/>
    <w:rsid w:val="005D6FA3"/>
    <w:rsid w:val="005E302D"/>
    <w:rsid w:val="005E3511"/>
    <w:rsid w:val="005E7C57"/>
    <w:rsid w:val="005F0EB1"/>
    <w:rsid w:val="005F5511"/>
    <w:rsid w:val="005F6C16"/>
    <w:rsid w:val="00610095"/>
    <w:rsid w:val="00610D70"/>
    <w:rsid w:val="00630FD2"/>
    <w:rsid w:val="00641EAA"/>
    <w:rsid w:val="00644023"/>
    <w:rsid w:val="006455CE"/>
    <w:rsid w:val="0064628D"/>
    <w:rsid w:val="00650121"/>
    <w:rsid w:val="00665127"/>
    <w:rsid w:val="006B03E5"/>
    <w:rsid w:val="006B0A5E"/>
    <w:rsid w:val="006B7735"/>
    <w:rsid w:val="006D187E"/>
    <w:rsid w:val="006E4D66"/>
    <w:rsid w:val="006E75CE"/>
    <w:rsid w:val="006F2AA4"/>
    <w:rsid w:val="006F65C5"/>
    <w:rsid w:val="0074497C"/>
    <w:rsid w:val="00750D1E"/>
    <w:rsid w:val="00751845"/>
    <w:rsid w:val="00763A22"/>
    <w:rsid w:val="00773821"/>
    <w:rsid w:val="007805EC"/>
    <w:rsid w:val="00781C06"/>
    <w:rsid w:val="00796D43"/>
    <w:rsid w:val="007A18C7"/>
    <w:rsid w:val="007C2EAE"/>
    <w:rsid w:val="00822332"/>
    <w:rsid w:val="008355C9"/>
    <w:rsid w:val="008460C5"/>
    <w:rsid w:val="00850B9E"/>
    <w:rsid w:val="00853FB5"/>
    <w:rsid w:val="00871C65"/>
    <w:rsid w:val="00893C98"/>
    <w:rsid w:val="008A73EA"/>
    <w:rsid w:val="008D601B"/>
    <w:rsid w:val="0090351D"/>
    <w:rsid w:val="00903BDF"/>
    <w:rsid w:val="00912A5E"/>
    <w:rsid w:val="0093600C"/>
    <w:rsid w:val="00970559"/>
    <w:rsid w:val="0097176A"/>
    <w:rsid w:val="00976592"/>
    <w:rsid w:val="0097739D"/>
    <w:rsid w:val="00983113"/>
    <w:rsid w:val="009B7505"/>
    <w:rsid w:val="009C3DC3"/>
    <w:rsid w:val="009D3273"/>
    <w:rsid w:val="009D352A"/>
    <w:rsid w:val="009D7208"/>
    <w:rsid w:val="009E4C2B"/>
    <w:rsid w:val="009E6CEF"/>
    <w:rsid w:val="00A25C2A"/>
    <w:rsid w:val="00A3113C"/>
    <w:rsid w:val="00A5019F"/>
    <w:rsid w:val="00A51813"/>
    <w:rsid w:val="00A56A91"/>
    <w:rsid w:val="00AB543D"/>
    <w:rsid w:val="00AB6A6C"/>
    <w:rsid w:val="00AC0826"/>
    <w:rsid w:val="00AC6F20"/>
    <w:rsid w:val="00AD0684"/>
    <w:rsid w:val="00AE6D9F"/>
    <w:rsid w:val="00AF4461"/>
    <w:rsid w:val="00B01291"/>
    <w:rsid w:val="00B25B60"/>
    <w:rsid w:val="00B5736B"/>
    <w:rsid w:val="00B6411A"/>
    <w:rsid w:val="00B71A2A"/>
    <w:rsid w:val="00B71DF5"/>
    <w:rsid w:val="00B94252"/>
    <w:rsid w:val="00BA2F32"/>
    <w:rsid w:val="00BB14CE"/>
    <w:rsid w:val="00BB47CC"/>
    <w:rsid w:val="00BD65B7"/>
    <w:rsid w:val="00BE26BF"/>
    <w:rsid w:val="00BE7169"/>
    <w:rsid w:val="00BF1D0D"/>
    <w:rsid w:val="00BF63B2"/>
    <w:rsid w:val="00C10C39"/>
    <w:rsid w:val="00C170BD"/>
    <w:rsid w:val="00C2145A"/>
    <w:rsid w:val="00C35F72"/>
    <w:rsid w:val="00C53853"/>
    <w:rsid w:val="00C661CC"/>
    <w:rsid w:val="00C97058"/>
    <w:rsid w:val="00CA3336"/>
    <w:rsid w:val="00CB39FE"/>
    <w:rsid w:val="00CC4CE1"/>
    <w:rsid w:val="00D00F56"/>
    <w:rsid w:val="00D05097"/>
    <w:rsid w:val="00D07EF0"/>
    <w:rsid w:val="00D13E4F"/>
    <w:rsid w:val="00D2112E"/>
    <w:rsid w:val="00D31628"/>
    <w:rsid w:val="00D430ED"/>
    <w:rsid w:val="00D466D4"/>
    <w:rsid w:val="00D61E1E"/>
    <w:rsid w:val="00D62606"/>
    <w:rsid w:val="00D83F0A"/>
    <w:rsid w:val="00D958F7"/>
    <w:rsid w:val="00DB33A6"/>
    <w:rsid w:val="00DD0F4A"/>
    <w:rsid w:val="00DD1700"/>
    <w:rsid w:val="00DD3C14"/>
    <w:rsid w:val="00DE4B80"/>
    <w:rsid w:val="00E04ACB"/>
    <w:rsid w:val="00E36D13"/>
    <w:rsid w:val="00E61588"/>
    <w:rsid w:val="00E6160C"/>
    <w:rsid w:val="00E7366D"/>
    <w:rsid w:val="00E97C68"/>
    <w:rsid w:val="00EB47EA"/>
    <w:rsid w:val="00EC24CF"/>
    <w:rsid w:val="00EF3951"/>
    <w:rsid w:val="00F01868"/>
    <w:rsid w:val="00F11FD4"/>
    <w:rsid w:val="00F2159E"/>
    <w:rsid w:val="00F22A29"/>
    <w:rsid w:val="00F43563"/>
    <w:rsid w:val="00F45A54"/>
    <w:rsid w:val="00F4608E"/>
    <w:rsid w:val="00F66458"/>
    <w:rsid w:val="00FA6185"/>
    <w:rsid w:val="00FB0283"/>
    <w:rsid w:val="00FB0758"/>
    <w:rsid w:val="00FB4627"/>
    <w:rsid w:val="00FC2ADD"/>
    <w:rsid w:val="00FC527A"/>
    <w:rsid w:val="00FC6760"/>
    <w:rsid w:val="00FD1927"/>
    <w:rsid w:val="00FE3D03"/>
    <w:rsid w:val="5863128B"/>
    <w:rsid w:val="74D9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line="660" w:lineRule="exact"/>
      <w:jc w:val="center"/>
      <w:outlineLvl w:val="0"/>
    </w:pPr>
    <w:rPr>
      <w:rFonts w:eastAsia="方正小标宋_GBK" w:asciiTheme="minorHAnsi" w:hAnsiTheme="minorHAnsi"/>
      <w:kern w:val="44"/>
      <w:sz w:val="44"/>
    </w:rPr>
  </w:style>
  <w:style w:type="paragraph" w:styleId="3">
    <w:name w:val="heading 2"/>
    <w:basedOn w:val="1"/>
    <w:next w:val="1"/>
    <w:link w:val="16"/>
    <w:unhideWhenUsed/>
    <w:qFormat/>
    <w:uiPriority w:val="0"/>
    <w:pPr>
      <w:keepNext/>
      <w:keepLines/>
      <w:spacing w:line="600" w:lineRule="exact"/>
      <w:outlineLvl w:val="1"/>
    </w:pPr>
    <w:rPr>
      <w:rFonts w:ascii="Arial" w:hAnsi="Arial" w:eastAsia="楷体_GB2312"/>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unhideWhenUsed/>
    <w:qFormat/>
    <w:uiPriority w:val="0"/>
    <w:pPr>
      <w:spacing w:after="120"/>
    </w:pPr>
  </w:style>
  <w:style w:type="paragraph" w:styleId="5">
    <w:name w:val="Date"/>
    <w:basedOn w:val="1"/>
    <w:next w:val="1"/>
    <w:link w:val="21"/>
    <w:qFormat/>
    <w:uiPriority w:val="0"/>
    <w:pPr>
      <w:ind w:left="100" w:leftChars="2500"/>
    </w:pPr>
    <w:rPr>
      <w:rFonts w:asciiTheme="minorHAnsi" w:hAnsiTheme="minorHAnsi"/>
    </w:rPr>
  </w:style>
  <w:style w:type="paragraph" w:styleId="6">
    <w:name w:val="Balloon Text"/>
    <w:basedOn w:val="1"/>
    <w:link w:val="22"/>
    <w:unhideWhenUsed/>
    <w:qFormat/>
    <w:uiPriority w:val="99"/>
    <w:rPr>
      <w:rFonts w:asciiTheme="minorHAnsi" w:hAnsiTheme="minorHAnsi"/>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eastAsia="仿宋_GB2312"/>
      <w:kern w:val="0"/>
      <w:sz w:val="24"/>
      <w:szCs w:val="22"/>
    </w:rPr>
  </w:style>
  <w:style w:type="table" w:styleId="11">
    <w:name w:val="Table Grid"/>
    <w:basedOn w:val="1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99"/>
    <w:rPr>
      <w:color w:val="0000FF"/>
      <w:u w:val="single"/>
    </w:rPr>
  </w:style>
  <w:style w:type="character" w:customStyle="1" w:styleId="16">
    <w:name w:val="标题 2 Char"/>
    <w:basedOn w:val="12"/>
    <w:link w:val="3"/>
    <w:qFormat/>
    <w:uiPriority w:val="0"/>
    <w:rPr>
      <w:rFonts w:ascii="Arial" w:hAnsi="Arial" w:eastAsia="楷体_GB2312"/>
      <w:sz w:val="32"/>
      <w:szCs w:val="24"/>
    </w:rPr>
  </w:style>
  <w:style w:type="character" w:customStyle="1" w:styleId="17">
    <w:name w:val="标题 1 Char"/>
    <w:basedOn w:val="12"/>
    <w:link w:val="2"/>
    <w:qFormat/>
    <w:uiPriority w:val="0"/>
    <w:rPr>
      <w:rFonts w:eastAsia="方正小标宋_GBK"/>
      <w:kern w:val="44"/>
      <w:sz w:val="44"/>
      <w:szCs w:val="24"/>
    </w:rPr>
  </w:style>
  <w:style w:type="character" w:customStyle="1" w:styleId="18">
    <w:name w:val="页眉 Char"/>
    <w:basedOn w:val="12"/>
    <w:link w:val="8"/>
    <w:qFormat/>
    <w:uiPriority w:val="0"/>
    <w:rPr>
      <w:sz w:val="18"/>
      <w:szCs w:val="18"/>
    </w:rPr>
  </w:style>
  <w:style w:type="character" w:customStyle="1" w:styleId="19">
    <w:name w:val="页脚 Char"/>
    <w:basedOn w:val="12"/>
    <w:link w:val="7"/>
    <w:qFormat/>
    <w:uiPriority w:val="0"/>
    <w:rPr>
      <w:sz w:val="18"/>
      <w:szCs w:val="18"/>
    </w:rPr>
  </w:style>
  <w:style w:type="character" w:customStyle="1" w:styleId="20">
    <w:name w:val="正文文本 Char"/>
    <w:basedOn w:val="12"/>
    <w:link w:val="4"/>
    <w:qFormat/>
    <w:uiPriority w:val="0"/>
    <w:rPr>
      <w:rFonts w:ascii="Calibri" w:hAnsi="Calibri"/>
      <w:szCs w:val="24"/>
    </w:rPr>
  </w:style>
  <w:style w:type="character" w:customStyle="1" w:styleId="21">
    <w:name w:val="日期 Char"/>
    <w:basedOn w:val="12"/>
    <w:link w:val="5"/>
    <w:qFormat/>
    <w:uiPriority w:val="0"/>
    <w:rPr>
      <w:szCs w:val="24"/>
    </w:rPr>
  </w:style>
  <w:style w:type="character" w:customStyle="1" w:styleId="22">
    <w:name w:val="批注框文本 Char"/>
    <w:basedOn w:val="12"/>
    <w:link w:val="6"/>
    <w:qFormat/>
    <w:uiPriority w:val="99"/>
    <w:rPr>
      <w:sz w:val="18"/>
      <w:szCs w:val="18"/>
    </w:rPr>
  </w:style>
  <w:style w:type="paragraph" w:customStyle="1" w:styleId="23">
    <w:name w:val="_Style 6"/>
    <w:basedOn w:val="1"/>
    <w:qFormat/>
    <w:uiPriority w:val="0"/>
    <w:rPr>
      <w:rFonts w:asciiTheme="minorHAnsi" w:hAnsiTheme="minorHAnsi"/>
    </w:rPr>
  </w:style>
  <w:style w:type="paragraph" w:customStyle="1" w:styleId="24">
    <w:name w:val="列出段落1"/>
    <w:basedOn w:val="1"/>
    <w:qFormat/>
    <w:uiPriority w:val="1"/>
    <w:pPr>
      <w:autoSpaceDE w:val="0"/>
      <w:autoSpaceDN w:val="0"/>
      <w:ind w:left="270" w:hanging="401"/>
      <w:jc w:val="left"/>
    </w:pPr>
    <w:rPr>
      <w:rFonts w:ascii="方正仿宋_GBK" w:hAnsi="方正仿宋_GBK" w:eastAsia="方正仿宋_GBK" w:cs="方正仿宋_GBK"/>
      <w:kern w:val="0"/>
      <w:sz w:val="22"/>
      <w:szCs w:val="22"/>
      <w:lang w:val="zh-CN" w:bidi="zh-CN"/>
    </w:rPr>
  </w:style>
  <w:style w:type="paragraph" w:customStyle="1" w:styleId="25">
    <w:name w:val="标题 11"/>
    <w:basedOn w:val="1"/>
    <w:qFormat/>
    <w:uiPriority w:val="1"/>
    <w:pPr>
      <w:autoSpaceDE w:val="0"/>
      <w:autoSpaceDN w:val="0"/>
      <w:jc w:val="center"/>
      <w:outlineLvl w:val="1"/>
    </w:pPr>
    <w:rPr>
      <w:rFonts w:ascii="方正小标宋_GBK" w:hAnsi="方正小标宋_GBK" w:eastAsia="方正小标宋_GBK" w:cs="方正小标宋_GBK"/>
      <w:kern w:val="0"/>
      <w:sz w:val="42"/>
      <w:szCs w:val="4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16A3-4357-4A6C-9FED-27C44971E92B}">
  <ds:schemaRefs/>
</ds:datastoreItem>
</file>

<file path=docProps/app.xml><?xml version="1.0" encoding="utf-8"?>
<Properties xmlns="http://schemas.openxmlformats.org/officeDocument/2006/extended-properties" xmlns:vt="http://schemas.openxmlformats.org/officeDocument/2006/docPropsVTypes">
  <Template>Normal</Template>
  <Company>gdscjg</Company>
  <Pages>69</Pages>
  <Words>40562</Words>
  <Characters>42040</Characters>
  <Lines>315</Lines>
  <Paragraphs>88</Paragraphs>
  <TotalTime>21</TotalTime>
  <ScaleCrop>false</ScaleCrop>
  <LinksUpToDate>false</LinksUpToDate>
  <CharactersWithSpaces>42069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2020-05-26T07:49:00Z</dcterms:created>
  <dc:creator>NTKO</dc:creator>
  <cp:lastModifiedBy>装着阳光</cp:lastModifiedBy>
  <dcterms:modified xsi:type="dcterms:W3CDTF">2023-01-28T09:35:41Z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8AA02A6724E749C5B5408F3E8CEB5FC0</vt:lpwstr>
  </property>
</Properties>
</file>