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40" w:lineRule="exact"/>
        <w:jc w:val="center"/>
        <w:outlineLvl w:val="0"/>
        <w:rPr>
          <w:rFonts w:hint="eastAsia" w:ascii="方正小标宋_GBK" w:hAnsi="方正小标宋_GBK" w:eastAsia="方正小标宋_GBK" w:cs="方正小标宋_GBK"/>
          <w:sz w:val="40"/>
          <w:szCs w:val="40"/>
        </w:rPr>
      </w:pPr>
    </w:p>
    <w:p>
      <w:pPr>
        <w:spacing w:after="156" w:afterLines="50" w:line="540" w:lineRule="exact"/>
        <w:jc w:val="center"/>
        <w:outlineLvl w:val="0"/>
        <w:rPr>
          <w:rFonts w:hint="eastAsia" w:ascii="宋体" w:hAnsi="宋体" w:cs="宋体"/>
          <w:color w:val="FF0000"/>
          <w:sz w:val="28"/>
          <w:szCs w:val="28"/>
        </w:rPr>
      </w:pPr>
      <w:r>
        <w:rPr>
          <w:rFonts w:hint="eastAsia" w:ascii="方正小标宋_GBK" w:hAnsi="方正小标宋_GBK" w:eastAsia="方正小标宋_GBK" w:cs="方正小标宋_GBK"/>
          <w:sz w:val="40"/>
          <w:szCs w:val="40"/>
        </w:rPr>
        <w:t>行政许可事项实施规范</w:t>
      </w:r>
    </w:p>
    <w:p>
      <w:pPr>
        <w:spacing w:after="156" w:afterLines="50" w:line="540" w:lineRule="exact"/>
        <w:jc w:val="center"/>
        <w:outlineLvl w:val="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（基本要素）</w:t>
      </w:r>
    </w:p>
    <w:p>
      <w:pPr>
        <w:spacing w:after="156" w:afterLines="50" w:line="540" w:lineRule="exact"/>
        <w:jc w:val="center"/>
        <w:outlineLvl w:val="0"/>
        <w:rPr>
          <w:rFonts w:hint="eastAsia" w:ascii="方正楷体_GBK" w:hAnsi="方正楷体_GBK" w:eastAsia="方正楷体_GBK" w:cs="方正楷体_GBK"/>
          <w:sz w:val="32"/>
          <w:szCs w:val="32"/>
        </w:rPr>
      </w:pP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一、行政许可事项名称：</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工程建设涉及城市绿地、树木审批</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二、主管部门：</w:t>
      </w:r>
    </w:p>
    <w:p>
      <w:pPr>
        <w:spacing w:line="540" w:lineRule="exact"/>
        <w:ind w:firstLine="420"/>
        <w:outlineLvl w:val="1"/>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昆明市官渡区城市管理局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三、实施机关：</w:t>
      </w:r>
    </w:p>
    <w:p>
      <w:pPr>
        <w:spacing w:line="540" w:lineRule="exact"/>
        <w:ind w:firstLine="420"/>
        <w:outlineLvl w:val="1"/>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昆明市官渡区行政审批局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四、设定和实施依据：</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《城市绿化条例》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五、子项：</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临时占用城市绿化用地审批（县级权限）</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砍伐城市树木、迁移古树名木审批（县级权限）</w:t>
      </w:r>
    </w:p>
    <w:p>
      <w:pPr>
        <w:spacing w:line="540" w:lineRule="exact"/>
        <w:ind w:firstLine="420"/>
        <w:outlineLvl w:val="1"/>
        <w:rPr>
          <w:rFonts w:hint="eastAsia" w:ascii="方正仿宋_GBK" w:hAnsi="方正仿宋_GBK" w:eastAsia="方正仿宋_GBK" w:cs="方正仿宋_GBK"/>
          <w:sz w:val="28"/>
          <w:szCs w:val="28"/>
        </w:rPr>
      </w:pPr>
    </w:p>
    <w:p>
      <w:pPr>
        <w:spacing w:line="540" w:lineRule="exact"/>
        <w:ind w:firstLine="420"/>
        <w:outlineLvl w:val="1"/>
        <w:rPr>
          <w:rFonts w:hint="eastAsia" w:ascii="方正仿宋_GBK" w:hAnsi="方正仿宋_GBK" w:eastAsia="方正仿宋_GBK" w:cs="方正仿宋_GBK"/>
          <w:sz w:val="28"/>
          <w:szCs w:val="28"/>
        </w:rPr>
      </w:pPr>
    </w:p>
    <w:p>
      <w:pPr>
        <w:spacing w:line="540" w:lineRule="exact"/>
        <w:ind w:firstLine="420"/>
        <w:outlineLvl w:val="1"/>
        <w:rPr>
          <w:rFonts w:hint="eastAsia" w:ascii="方正仿宋_GBK" w:hAnsi="方正仿宋_GBK" w:eastAsia="方正仿宋_GBK" w:cs="方正仿宋_GBK"/>
          <w:sz w:val="28"/>
          <w:szCs w:val="28"/>
        </w:rPr>
      </w:pPr>
    </w:p>
    <w:p>
      <w:pPr>
        <w:spacing w:line="540" w:lineRule="exact"/>
        <w:ind w:firstLine="420"/>
        <w:outlineLvl w:val="1"/>
        <w:rPr>
          <w:rFonts w:hint="eastAsia" w:ascii="方正仿宋_GBK" w:hAnsi="方正仿宋_GBK" w:eastAsia="方正仿宋_GBK" w:cs="方正仿宋_GBK"/>
          <w:sz w:val="28"/>
          <w:szCs w:val="28"/>
        </w:rPr>
      </w:pPr>
    </w:p>
    <w:p>
      <w:pPr>
        <w:spacing w:line="540" w:lineRule="exact"/>
        <w:ind w:firstLine="420"/>
        <w:outlineLvl w:val="1"/>
        <w:rPr>
          <w:rFonts w:hint="eastAsia" w:ascii="方正仿宋_GBK" w:hAnsi="方正仿宋_GBK" w:eastAsia="方正仿宋_GBK" w:cs="方正仿宋_GBK"/>
          <w:sz w:val="28"/>
          <w:szCs w:val="28"/>
        </w:rPr>
      </w:pPr>
    </w:p>
    <w:p>
      <w:pPr>
        <w:spacing w:line="540" w:lineRule="exact"/>
        <w:ind w:firstLine="420"/>
        <w:outlineLvl w:val="1"/>
        <w:rPr>
          <w:rFonts w:hint="eastAsia" w:ascii="方正仿宋_GBK" w:hAnsi="方正仿宋_GBK" w:eastAsia="方正仿宋_GBK" w:cs="方正仿宋_GBK"/>
          <w:sz w:val="28"/>
          <w:szCs w:val="28"/>
        </w:rPr>
      </w:pPr>
    </w:p>
    <w:p>
      <w:pPr>
        <w:spacing w:line="540" w:lineRule="exact"/>
        <w:ind w:firstLine="420"/>
        <w:outlineLvl w:val="1"/>
        <w:rPr>
          <w:rFonts w:hint="eastAsia" w:ascii="方正仿宋_GBK" w:hAnsi="方正仿宋_GBK" w:eastAsia="方正仿宋_GBK" w:cs="方正仿宋_GBK"/>
          <w:sz w:val="28"/>
          <w:szCs w:val="28"/>
        </w:rPr>
      </w:pPr>
    </w:p>
    <w:p>
      <w:pPr>
        <w:spacing w:line="540" w:lineRule="exact"/>
        <w:ind w:firstLine="420"/>
        <w:outlineLvl w:val="1"/>
        <w:rPr>
          <w:rFonts w:hint="eastAsia" w:ascii="方正仿宋_GBK" w:hAnsi="方正仿宋_GBK" w:eastAsia="方正仿宋_GBK" w:cs="方正仿宋_GBK"/>
          <w:sz w:val="28"/>
          <w:szCs w:val="28"/>
        </w:rPr>
      </w:pPr>
    </w:p>
    <w:p>
      <w:pPr>
        <w:spacing w:line="540" w:lineRule="exact"/>
        <w:ind w:firstLine="420"/>
        <w:outlineLvl w:val="1"/>
        <w:rPr>
          <w:rFonts w:hint="eastAsia" w:ascii="方正仿宋_GBK" w:hAnsi="方正仿宋_GBK" w:eastAsia="方正仿宋_GBK" w:cs="方正仿宋_GBK"/>
          <w:sz w:val="28"/>
          <w:szCs w:val="28"/>
        </w:rPr>
      </w:pPr>
    </w:p>
    <w:p>
      <w:pPr>
        <w:spacing w:line="540" w:lineRule="exact"/>
        <w:ind w:firstLine="420"/>
        <w:outlineLvl w:val="1"/>
        <w:rPr>
          <w:rFonts w:hint="eastAsia" w:ascii="方正仿宋_GBK" w:hAnsi="方正仿宋_GBK" w:eastAsia="方正仿宋_GBK" w:cs="方正仿宋_GBK"/>
          <w:sz w:val="28"/>
          <w:szCs w:val="28"/>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临时占用城市绿化用地审批（县级权限）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【000117132005】</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工程建设涉及城市绿地、树木审批【00011713200Y】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临时占用城市绿化用地审批（县级权限）【000117132005】</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1.临时占用城市绿化用地审批（县级权限）新申请(00011713200501)</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2.临时占用城市绿化用地审批（县级权限）延续(00011713200502)</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（1）《城市绿化条例》第十九条　</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（1）《城市绿化条例》　第十九条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（1）《城市绿化条例》第二十七条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（2）《城市绿化条例》第三十条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（3）《重大行政决策程序暂行条例》第十九条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（4）《住房城乡建设部关于促进城市园林绿化事业健康发展的指导意见》建城〔2012〕166号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（5）《中华人民共和国行政许可法》第六十条</w:t>
      </w:r>
    </w:p>
    <w:p>
      <w:pPr>
        <w:spacing w:line="600" w:lineRule="exact"/>
        <w:ind w:firstLine="562" w:firstLineChars="200"/>
        <w:rPr>
          <w:rFonts w:hint="default" w:ascii="Times New Roman" w:hAnsi="Times New Roman" w:eastAsia="方正仿宋_GBK"/>
          <w:sz w:val="28"/>
          <w:szCs w:val="28"/>
          <w:lang w:val="en-US"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val="en-US" w:eastAsia="zh-CN"/>
        </w:rPr>
        <w:t>昆明市官渡区行政审批局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临时占用城市绿化用地审批</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全部要素全国统一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申报内容符合城市规划建设、园林绿化等政策法规规范要求。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征得绿地产权方或管理单位同意。</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有完善的施工组织方案、绿地恢复方案及出具恢复期限承诺。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申报资料内容有效。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（1）《住房城乡建设部关于促进城市园林绿化事业健康发展的指导意见》建城〔2012〕166号　（五）强化日常管护1.切实执行绿线管理制度。要在城乡规划中全面引入绿线管理制度，对城市绿线内的用地进行严格管理，对侵占绿地、擅自改变绿地性质等违法行为加大检查和执法力度。确因特殊需要临时占用绿地的，要经园林绿化主管部门批准，按照有关规定办理临时用地手续，缴纳相关费用，并在被占绿地四周明显位置公示占用单位、事由、期限和批准单位、时间及恢复措施等相关信息。开发利用绿地地下空间的，在报规划等有关部门审批时，应征求园林绿化主管部门的意见，并符合国家和地方有关规范，确保树木正常生长和绿地正常使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企业法人,事业单位法人,社会组织法人,行政机关,其他组织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1.优化审批流程。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2.实行电子化申报和审批。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3.纳入政务服务平台电子证照管理。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4.将承诺审批时限由20个工作日压减至5个工作日。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1.强化许可服务水平。定期开展业务培训，提高工作人员专业素养和业务能力。特别是对于下放或委托的许可事项，要进一步强化业务培训指导，提高许可服务能力。</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加强事中事后监管。要按照“谁审批、谁监管，谁主管、谁监管”的原则，许可实施部门要在许可实施过程中、许可实施完成后进行现场核实，避免出现实施内容与审批事项不符的问题。下放或委托部门对于下放、委托的许可事项实施情况，要实施动态评估和监管。对于审批量较大、出现舆情等情况的地区要进行重点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3.完善常态化监管机制。完善日常巡查机制，及时发现处置擅自违规占绿问题。</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4.发挥社会监督作用。拓宽公众参与监督的渠道和方式，鼓励通过互联网、举报电话等方式参与监管。</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申请人身份证明（申请人是自然人的，应当提供本人有效身份证明，申请人是法人或其他组织的，需提供企业法人营业执照或组织机构代码证）或授权委托书。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临时占用城市绿地（迁移城市树木）申请材料（含树木产权人或管理单位的意见、相关产权人的协商协议、明确项目临时占用绿地的申请期限）。</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现状绿化图（附绿地面积、树木清单）、经批复同意的总平面图。</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发改部门、主管部门的立项批准文件或备案文件。（因建设项目临时占用城市绿地、迁移城市树木应提供）。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规划部门的规划许可文件。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临时占用城市绿地恢复方案。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明确项目临时占用绿地的申请期限。</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（1）《住房城乡建设部关于促进城市园林绿化事业健康发展的指导意见》建城〔2012〕166号　（五）强化日常管护1.切实执行绿线管理制度。要在城乡规划中全面引入绿线管理制度，对城市绿线内的用地进行严格管理，对侵占绿地、擅自改变绿地性质等违法行为加大检查和执法力度。确因特殊需要临时占用绿地的，要经园林绿化主管部门批准，按照有关规定办理临时用地手续，缴纳相关费用，并在被占绿地四周明显位置公示占用单位、事由、期限和批准单位、时间及恢复措施等相关信息。开发利用绿地地下空间的，在报规划等有关部门审批时，应征求园林绿化主管部门的意见，并符合国家和地方有关规范，确保树木正常生长和绿地正常使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现场勘验（部分情况开展专家评审、听证、公示或委托服务机构开展技术性服务）。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决定核发许可证/不予核发许可证。</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（1）《中华人民共和国行政许可法》第二十九条、第三十条、第三十一条、第三十二条、第三十三条、第三十四条、第三十五条、第三十六条、第三十七条、第三十九条、第四十条、第四十一条第四章　行政许可的实施程序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第一节申请与受理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第二十九条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第三十条　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第三十一条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行政机关及其工作人员不得以转让技术作为取得行政许可的条件;不得在实施行政许可的过程中，直接或者间接地要求转让技术。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第三十二条　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第三十三条　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第二节审查与决定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第三十四条　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第三十五条　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第三十六条　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第三十七条　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第三十八条　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第三十九条　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第四十条　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第四十一条　法律、行政法规设定的行政许可，其适用范围没有地域限制的，申请人取得的行政许可在全国范围内有效。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val="en-US" w:eastAsia="zh-CN"/>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val="en-US" w:eastAsia="zh-CN"/>
        </w:rPr>
        <w:t>否</w:t>
      </w:r>
    </w:p>
    <w:p>
      <w:pPr>
        <w:spacing w:line="60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val="en-US" w:eastAsia="zh-CN"/>
        </w:rPr>
        <w:t>是</w:t>
      </w:r>
    </w:p>
    <w:p>
      <w:pPr>
        <w:spacing w:line="60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val="en-US" w:eastAsia="zh-CN"/>
        </w:rPr>
        <w:t>是</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lang w:val="en-US" w:eastAsia="zh-CN"/>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2）《中华人民共和国行政许可法》第四十五条行政机关作出行政许可决定，依法需要听证、招标、拍卖、检验、检测、检疫、鉴定和专家评审的，所需时间不计算在本节规定的期限内。行政机关应当将所需时间书面告知申请人。</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依法进行专家评审、听证另需时间不计算在该时限</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color w:val="FF0000"/>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行政许可决定书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暂由地方规定有无行政许可证件的有效期限</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中华人民共和国行政许可法》第五十条被许可人需要延续依法取得的行政许可的有效期的，应当在该行政许可有效期届满三十日前向作出行政许可决定的行政机关提出申请。但是，法律、法规、规章另有规定的，依照其规定。行政机关应当根据被许可人的申请，在该行政许可有效期届满前作出是否准予延续的决定；逾期未作决定的，视为准予延续。</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因工程需要或施工方案调整。</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本级审批权限范围</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（1）《中华人民共和国行政许可法》第四十一条法律、行政法规设定的行政许可，其适用范围没有地域限制的，申请人取得的行政许可在全国范围内有效。</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540" w:lineRule="exact"/>
        <w:outlineLvl w:val="1"/>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昆明市官渡区城市管理局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砍伐城市树木、迁移古树名木审批（县级权限）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【000117132006】</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工程建设涉及城市绿地、树木审批【00011713200Y】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砍伐城市树木、迁移古树名木审批（县级权限）【000117132006】</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1.砍伐城市树木、迁移古树名木审批（县级权限）新申请(00011713200601)</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2.砍伐城市树木、迁移古树名木审批（县级权限）延续(00011713200602)</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（1）《城市绿化条例》第二十条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（2）《城市绿化条例》第二十四条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（1）《城市绿化条例》</w:t>
      </w:r>
      <w:bookmarkStart w:id="0" w:name="_GoBack"/>
      <w:bookmarkEnd w:id="0"/>
      <w:r>
        <w:rPr>
          <w:rFonts w:ascii="方正仿宋_GBK" w:hAnsi="方正仿宋_GBK" w:eastAsia="方正仿宋_GBK" w:cs="方正仿宋_GBK"/>
          <w:sz w:val="28"/>
          <w:szCs w:val="28"/>
        </w:rPr>
        <w:t>第二十条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（2）《城市绿化条例》第二十四条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（1）《重大行政决策程序暂行条例》第十九条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（2）《住房城乡建设部关于促进城市园林绿化事业健康发展的指导意见》建城〔2012〕166号　</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（3）《中华人民共和国行政许可法》  第六十条　</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（4）《中华人民共和国行政许可法》  第十条</w:t>
      </w:r>
    </w:p>
    <w:p>
      <w:pPr>
        <w:spacing w:line="600" w:lineRule="exact"/>
        <w:ind w:firstLine="562" w:firstLineChars="200"/>
        <w:rPr>
          <w:rFonts w:hint="default" w:ascii="Times New Roman" w:hAnsi="Times New Roman" w:eastAsia="仿宋GB2312"/>
          <w:sz w:val="28"/>
          <w:szCs w:val="28"/>
          <w:lang w:val="en-US"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val="en-US" w:eastAsia="zh-CN"/>
        </w:rPr>
        <w:t>昆明市官渡区行政审批局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砍伐城市树木审批</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全部要素全国统一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砍伐城市树木：须符合城市建设需求/公共安全得以保障/病虫害防治需求/对居民生活有重大影响/有效改善其他树木生长条件/树木确已自然死亡；古树名木迁移：须符合城市建设需求/改善生长环境的初衷/公共安全得以保障，还需出具迁移必要性的专家论证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征得树木产权人或管理单位同意。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有施工组织方案、绿化补植方案或补救措施（古树名木迁移方案还需有专家审核意见，有迁移后养护措施）。</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（1）《住房城乡建设部关于促进城市园林绿化事业健康发展的指导意见》建城〔2012〕166号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2.严格保护园林树木。在城市建设中要加强原有园林绿化成果的保护，严禁擅自砍伐、移植园林树木。因同一个工程项目需砍伐大树（胸径20厘米以上落叶乔木和胸径15厘米以上常绿乔木）超过2株，或移植大树、实施大修剪超过10株，或需迁移古树名木的，必须在工程规划设计阶段进行专项论证，采取听证会、公示等形式，就砍伐、移植树木种类和数量、修剪程度等征求公众意见，接受社会监督。道路改造要制定对原有行道树妥善保留的实施方案，反对盲目更换树种、随意砍伐和移植行道树。要加大对古树名木及树龄大于50年的树木的保护力度，反对高价购买、移植非生产绿地内的树木，严禁从自然山林或乡镇农村直接采挖大树、古树进行异地移植。</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1.优化审批流程。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2.实行电子化申报和审批。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3.纳入政务服务平台电子证照管理。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4.将承诺审批时限由20个工作日压减至5个工作日。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1.强化许可服务水平。定期开展业务培训，提高工作人员专业素养和业务能力。特别是对于下放或委托的许可事项，要进一步强化业务培训指导，提高许可服务能力。</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加强事中事后监管。要按照“谁审批、谁监管，谁主管、谁监管”的原则，许可实施部门要在许可实施过程中、许可实施完成后进行现场核实，避免出现实施内容与审批事项不符的问题。下放或委托部门对于下放、委托的许可事项实施情况，要实施动态评估和监管。对于审批量较大、出现舆情等情况的地区要进行重点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3.完善常态化监管机制。完善日常巡查机制，及时发现处置擅自违规占绿问题。</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4.发挥社会监督作用。拓宽公众参与监督的渠道和方式，鼓励通过互联网、举报电话等方式参与监管。</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申请人身份证明（申请人是自然人的，应当提供本人有效身份证明，申请人是法人或其他组织的，需提供企业法人营业执照或组织机构代码证）或授权委托书。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迁移古树名木应提供申请报告 (说明迁移古树名木的理由、地点、数量、时间、实施方案，生长环境不适宜或影响公众生命、财产安全、专家论证意见)。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树木产权或管理权材料，树木产权人或管理权人同意意见的材料。</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古树名木迁移后养护措施（迁移古树名木应提供）。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树木确实影响公共安全、居民生活的照片，确实发生检疫性病虫害或确已死亡的照片，确实影响其他树木生长的照片（影响公共安全、居民生活，发生检疫性病虫害等情形砍伐城市树木应提供）。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树木补植方案或补救措施（砍伐城市树木应提供）。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规划部门的规划许可文件。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现状绿化图纸或经部门批复同意的总平面图（砍伐城市树木应提供）。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因应急抢险砍伐城市树木的应在工程完成后备案。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（1）《住房城乡建设部关于促进城市园林绿化事业健康发展的指导意见》建城〔2012〕166号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2.严格保护园林树木。在城市建设中要加强原有园林绿化成果的保护，严禁擅自砍伐、移植园林树木。因同一个工程项目需砍伐大树（胸径20厘米以上落叶乔木和胸径15厘米以上常绿乔木）超过2株，或移植大树、实施大修剪超过10株，或需迁移古树名木的，必须在工程规划设计阶段进行专项论证，采取听证会、公示等形式，就砍伐、移植树木种类和数量、修剪程度等征求公众意见，接受社会监督。道路改造要制定对原有行道树妥善保留的实施方案，反对盲目更换树种、随意砍伐和移植行道树。要加大对古树名木及树龄大于50年的树木的保护力度，反对高价购买、移植非生产绿地内的树木，严禁从自然山林或乡镇农村直接采挖大树、古树进行异地移植。</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部分情况需要听证或委托服务机构开展技术性服务，涉及古树名木迁移需专家评审、公示。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决定核发许可证/不予核发许可证（涉及古树名木迁移需经同级或上级人民政府批准）。</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（1）《中华人民共和国行政许可法》第二十九条、第三十条、第三十一条、第三十二条、第三十三条、第三十四条、第三十五条、第三十六条、第三十七条、第三十九条、第四十条、第四十一条第四章　行政许可的实施程序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第一节申请与受理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第二十九条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第三十条　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第三十一条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行政机关及其工作人员不得以转让技术作为取得行政许可的条件;不得在实施行政许可的过程中，直接或者间接地要求转让技术。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第三十二条　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第三十三条　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第二节审查与决定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第三十四条　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第三十五条　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第三十六条　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第三十七条　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第三十八条　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第三十九条　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第四十条　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第四十一条　法律、行政法规设定的行政许可，其适用范围没有地域限制的，申请人取得的行政许可在全国范围内有效。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val="en-US" w:eastAsia="zh-CN"/>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val="en-US" w:eastAsia="zh-CN"/>
        </w:rPr>
        <w:t>否</w:t>
      </w:r>
    </w:p>
    <w:p>
      <w:pPr>
        <w:spacing w:line="60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val="en-US" w:eastAsia="zh-CN"/>
        </w:rPr>
        <w:t>是</w:t>
      </w:r>
    </w:p>
    <w:p>
      <w:pPr>
        <w:spacing w:line="60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val="en-US" w:eastAsia="zh-CN"/>
        </w:rPr>
        <w:t>是</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lang w:val="en-US" w:eastAsia="zh-CN"/>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2）《中华人民共和国行政许可法》第四十五条行政机关作出行政许可决定，依法需要听证、招标、拍卖、检验、检测、检疫、鉴定和专家评审的，所需时间不计算在本节规定的期限内。行政机关应当将所需时间书面告知申请人。</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依法进行专家评审、听证另需时间不计算在该时限</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color w:val="FF0000"/>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行政许可决定书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暂由地方规定有无行政许可证件的有效期限</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中华人民共和国行政许可法》第五十条被许可人需要延续依法取得的行政许可的有效期的，应当在该行政许可有效期届满三十日前向作出行政许可决定的行政机关提出申请。但是，法律、法规、规章另有规定的，依照其规定。行政机关应当根据被许可人的申请，在该行政许可有效期届满前作出是否准予延续的决定；逾期未作决定的，视为准予延续。</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因工程需要或施工方案调整。</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本级审批权限范围</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（1）《中华人民共和国行政许可法》第四十一条法律、行政法规设定的行政许可，其适用范围没有地域限制的，申请人取得的行政许可在全国范围内有效。</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540" w:lineRule="exact"/>
        <w:outlineLvl w:val="1"/>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昆明市官渡区城市管理局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540" w:lineRule="exact"/>
        <w:ind w:firstLine="420"/>
        <w:outlineLvl w:val="1"/>
        <w:rPr>
          <w:rFonts w:hint="eastAsia" w:ascii="方正仿宋_GBK" w:hAnsi="方正仿宋_GBK" w:eastAsia="方正仿宋_GBK" w:cs="方正仿宋_GBK"/>
          <w:sz w:val="28"/>
          <w:szCs w:val="28"/>
        </w:rPr>
      </w:pPr>
    </w:p>
    <w:p>
      <w:pPr>
        <w:spacing w:line="540" w:lineRule="exact"/>
        <w:ind w:firstLine="420"/>
        <w:outlineLvl w:val="1"/>
        <w:rPr>
          <w:rFonts w:hint="eastAsia" w:ascii="方正仿宋_GBK" w:hAnsi="方正仿宋_GBK" w:eastAsia="方正仿宋_GBK" w:cs="方正仿宋_GBK"/>
          <w:sz w:val="28"/>
          <w:szCs w:val="28"/>
        </w:rPr>
      </w:pPr>
    </w:p>
    <w:p>
      <w:pPr>
        <w:spacing w:line="540" w:lineRule="exact"/>
        <w:ind w:firstLine="420"/>
        <w:outlineLvl w:val="1"/>
        <w:rPr>
          <w:rFonts w:hint="eastAsia" w:ascii="方正仿宋_GBK" w:hAnsi="方正仿宋_GBK" w:eastAsia="方正仿宋_GBK" w:cs="方正仿宋_GBK"/>
          <w:sz w:val="28"/>
          <w:szCs w:val="28"/>
        </w:rPr>
      </w:pPr>
    </w:p>
    <w:p>
      <w:pPr>
        <w:spacing w:line="540" w:lineRule="exact"/>
        <w:ind w:firstLine="420"/>
        <w:outlineLvl w:val="1"/>
        <w:rPr>
          <w:rFonts w:hint="eastAsia" w:ascii="方正仿宋_GBK" w:hAnsi="方正仿宋_GBK" w:eastAsia="方正仿宋_GBK" w:cs="方正仿宋_GBK"/>
          <w:sz w:val="28"/>
          <w:szCs w:val="28"/>
        </w:rPr>
      </w:pPr>
    </w:p>
    <w:p>
      <w:pPr>
        <w:spacing w:line="540" w:lineRule="exact"/>
        <w:ind w:firstLine="420"/>
        <w:outlineLvl w:val="1"/>
        <w:rPr>
          <w:rFonts w:hint="eastAsia" w:ascii="方正仿宋_GBK" w:hAnsi="方正仿宋_GBK" w:eastAsia="方正仿宋_GBK" w:cs="方正仿宋_GBK"/>
          <w:sz w:val="28"/>
          <w:szCs w:val="28"/>
        </w:rPr>
      </w:pPr>
    </w:p>
    <w:p>
      <w:pPr>
        <w:spacing w:line="540" w:lineRule="exact"/>
        <w:ind w:firstLine="420"/>
        <w:outlineLvl w:val="1"/>
        <w:rPr>
          <w:rFonts w:hint="eastAsia" w:ascii="方正仿宋_GBK" w:hAnsi="方正仿宋_GBK" w:eastAsia="方正仿宋_GBK" w:cs="方正仿宋_GBK"/>
          <w:sz w:val="28"/>
          <w:szCs w:val="28"/>
        </w:rPr>
      </w:pPr>
    </w:p>
    <w:p>
      <w:pPr>
        <w:spacing w:line="540" w:lineRule="exact"/>
        <w:ind w:firstLine="420"/>
        <w:outlineLvl w:val="1"/>
        <w:rPr>
          <w:rFonts w:hint="eastAsia" w:ascii="方正仿宋_GBK" w:hAnsi="方正仿宋_GBK" w:eastAsia="方正仿宋_GBK" w:cs="方正仿宋_GBK"/>
          <w:sz w:val="28"/>
          <w:szCs w:val="28"/>
        </w:rPr>
      </w:pPr>
    </w:p>
    <w:p>
      <w:pPr>
        <w:spacing w:line="540" w:lineRule="exact"/>
        <w:ind w:firstLine="420"/>
        <w:outlineLvl w:val="1"/>
        <w:rPr>
          <w:rFonts w:hint="default" w:ascii="方正仿宋_GBK" w:hAnsi="方正仿宋_GBK" w:eastAsia="方正仿宋_GBK" w:cs="方正仿宋_GBK"/>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10188A"/>
    <w:rsid w:val="0FE102EE"/>
    <w:rsid w:val="136D4B89"/>
    <w:rsid w:val="2EE02044"/>
    <w:rsid w:val="44097A3D"/>
    <w:rsid w:val="4AC615A3"/>
    <w:rsid w:val="683E4AA2"/>
    <w:rsid w:val="6B101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昆明市官渡区党政机关单位</Company>
  <Pages>1</Pages>
  <Words>0</Words>
  <Characters>0</Characters>
  <Lines>0</Lines>
  <Paragraphs>0</Paragraphs>
  <TotalTime>6</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2023-11-17T02:13:00Z</dcterms:created>
  <dc:creator>Dell</dc:creator>
  <cp:lastModifiedBy>Dell</cp:lastModifiedBy>
  <cp:lastPrinted>2023-11-17T02:21:00Z</cp:lastPrinted>
  <dcterms:modified xsi:type="dcterms:W3CDTF">2023-11-20T06:37:56Z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