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临时占用城市绿化用地审批（县级权限）新申请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【00011713200501】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工程建设涉及城市绿地、树木审批【00011713200Y】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临时占用城市绿化用地审批（县级权限）【000117132005】</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临时占用城市绿化用地审批（县级权限）新申请(00011713200501)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（1）《城市绿化条例》第十九条　</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（1）《城市绿化条例》第十九条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（1）《城市绿化条例》第二十七条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（2）《城市绿化条例》第三十条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（3）《重大行政决策程序暂行条例》第十九条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（4）《住房城乡建设部关于促进城市园林绿化事业健康发展的指导意见》建城〔2012〕166号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（5）《中华人民共和国行政许可法》第六十条</w:t>
      </w:r>
    </w:p>
    <w:p>
      <w:pPr>
        <w:spacing w:line="600" w:lineRule="exact"/>
        <w:ind w:firstLine="562" w:firstLineChars="200"/>
        <w:rPr>
          <w:rFonts w:hint="eastAsia" w:ascii="Times New Roman" w:hAnsi="Times New Roman" w:eastAsia="仿宋GB2312"/>
          <w:b/>
          <w:bCs/>
          <w:color w:val="auto"/>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color w:val="auto"/>
          <w:sz w:val="28"/>
          <w:szCs w:val="28"/>
          <w:lang w:val="en-US" w:eastAsia="zh-CN"/>
        </w:rPr>
        <w:t>昆明市官渡区行政审批局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临时占用城市绿化用地审批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申报内容符合城市规划建设、园林绿化等政策法规规范要求。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征得绿地产权方或管理单位同意。</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有完善的施工组织方案、绿地恢复方案及出具恢复期限承诺。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申报资料内容有效。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（1）《住房城乡建设部关于促进城市园林绿化事业健康发展的指导意见》建城〔2012〕166号　（五）强化日常管护1.切实执行绿线管理制度。要在城乡规划中全面引入绿线管理制度，对城市绿线内的用地进行严格管理，对侵占绿地、擅自改变绿地性质等违法行为加大检查和执法力度。确因特殊需要临时占用绿地的，要经园林绿化主管部门批准，按照有关规定办理临时用地手续，缴纳相关费用，并在被占绿地四周明显位置公示占用单位、事由、期限和批准单位、时间及恢复措施等相关信息。开发利用绿地地下空间的，在报规划等有关部门审批时，应征求园林绿化主管部门的意见，并符合国家和地方有关规范，确保树木正常生长和绿地正常使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企业法人,事业单位法人,社会组织法人,行政机关,其他组织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1.优化审批流程。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3.纳入政务服务平台电子证照管理。</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1.强化许可服务水平。定期开展业务培训，提高工作人员专业素养和业务能力。特别是对于下放或委托的许可事项，要进一步强化业务培训指导，提高许可服务能力。</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事中事后监管。要按照“谁审批、谁监管，谁主管、谁监管”的原则，许可实施部门要在许可实施过程中、许可实施完成后进行现场核实，避免出现实施内容与审批事项不符的问题。下放或委托部门对于下放、委托的许可事项实施情况，要实施动态评估和监管。对于审批量较大、出现舆情等情况的地区要进行重点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3.完善常态化监管机制。完善日常巡查机制，及时发现处置擅自违规占绿问题。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4.发挥社会监督作用。拓宽公众参与监督的渠道和方式，鼓励通过互联网、举报电话等方式参与监管。</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申请人身份证明（申请人是自然人的，应当提供本人有效身份证明，申请人是法人或其他组织的，需提供企业法人营业执照或组织机构代码证）或授权委托书。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临时占用城市绿地（迁移城市树木）申请材料（含树木产权人或管理单位的意见、相关产权人的协商协议、明确项目临时占用绿地的申请期限）。</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现状绿化图（附绿地面积、树木清单）、经批复同意的总平面图。</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发改部门、主管部门的立项批准文件或备案文件。（因建设项目临时占用城市绿地、迁移城市树木应提供。）</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规划部门的规划许可文件。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临时占用城市绿地恢复方案。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明确项目临时占用绿地的申请期限。</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（1）《住房城乡建设部关于促进城市园林绿化事业健康发展的指导意见》建城〔2012〕166号　（五）强化日常管护1.切实执行绿线管理制度。要在城乡规划中全面引入绿线管理制度，对城市绿线内的用地进行严格管理，对侵占绿地、擅自改变绿地性质等违法行为加大检查和执法力度。确因特殊需要临时占用绿地的，要经园林绿化主管部门批准，按照有关规定办理临时用地手续，缴纳相关费用，并在被占绿地四周明显位置公示占用单位、事由、期限和批准单位、时间及恢复措施等相关信息。开发利用绿地地下空间的，在报规划等有关部门审批时，应征求园林绿化主管部门的意见，并符合国家和地方有关规范，确保树木正常生长和绿地正常使用。</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审批机构受理/不予受理。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审批机构审查。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现场勘验（部分情况开展专家评审、听证、公示或委托服务机构开展技术性服务）。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决定核发许可证/不予核发许可证。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《中华人民共和国行政许可法》第二十九条、第三十条、第三十一条、第三十二条、第三十三条、第三十四条、第三十五条、第三十六条、第三十七条、第三十九条、第四十条、第四十一条第四章　行政许可的实施程序</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第一节申请与受理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第四十一条　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hint="eastAsia" w:ascii="方正仿宋_GBK" w:hAnsi="方正仿宋_GBK" w:eastAsia="方正仿宋_GBK" w:cs="方正仿宋_GBK"/>
          <w:sz w:val="28"/>
          <w:szCs w:val="28"/>
          <w:lang w:val="en-US" w:eastAsia="zh-CN"/>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否</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是</w:t>
      </w:r>
    </w:p>
    <w:p>
      <w:pPr>
        <w:spacing w:line="600" w:lineRule="exact"/>
        <w:ind w:firstLine="562" w:firstLineChars="200"/>
        <w:rPr>
          <w:rFonts w:hint="eastAsia" w:ascii="方正仿宋_GBK" w:hAnsi="方正仿宋_GBK" w:eastAsia="方正仿宋_GBK" w:cs="方正仿宋_GBK"/>
          <w:sz w:val="28"/>
          <w:szCs w:val="28"/>
          <w:lang w:val="en-US" w:eastAsia="zh-CN"/>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val="en-US" w:eastAsia="zh-CN"/>
        </w:rPr>
        <w:t>是</w:t>
      </w:r>
    </w:p>
    <w:p>
      <w:pPr>
        <w:spacing w:line="600" w:lineRule="exact"/>
        <w:ind w:firstLine="562" w:firstLineChars="200"/>
        <w:rPr>
          <w:rFonts w:hint="eastAsia" w:ascii="Times New Roman" w:hAnsi="Times New Roman" w:eastAsia="方正仿宋_GBK"/>
          <w:b/>
          <w:bCs/>
          <w:sz w:val="28"/>
          <w:szCs w:val="28"/>
          <w:lang w:val="en-US" w:eastAsia="zh-CN"/>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lang w:val="en-US" w:eastAsia="zh-CN"/>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2）《中华人民共和国行政许可法》第四十五条行政机关作出行政许可决定，依法需要听证、招标、拍卖、检验、检测、检疫、鉴定和专家评审的，所需时间不计算在本节规定的期限内。行政机关应当将所需时间书面告知申请人。</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bookmarkStart w:id="0" w:name="_GoBack"/>
      <w:bookmarkEnd w:id="0"/>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依法进行专家评审、听证另需时间不计算在该时限</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行政许可决定书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中华人民共和国行政许可法》第五十条被许可人需要延续依法取得的行政许可的有效期的，应当在该行政许可有效期届满三十日前向作出行政许可决定的行政机关提出申请。但是，法律、法规、规章另有规定的，依照其规定。行政机关应当根据被许可人的申请，在该行政许可有效期届满前作出是否准予延续的决定；逾期未作决定的，视为准予延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因工程需要或施工方案调整。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本级审批权限范围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（1）《中华人民共和国行政许可法》第四十一条法律、行政法规设定的行政许可，其适用范围没有地域限制的，申请人取得的行政许可在全国范围内有效。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540" w:lineRule="exact"/>
        <w:outlineLvl w:val="1"/>
        <w:rPr>
          <w:rFonts w:hint="eastAsia" w:ascii="Times New Roman" w:hAnsi="Times New Roman" w:eastAsia="黑体"/>
          <w:color w:val="auto"/>
          <w:sz w:val="28"/>
          <w:szCs w:val="28"/>
        </w:rPr>
      </w:pPr>
      <w:r>
        <w:rPr>
          <w:rFonts w:hint="eastAsia" w:ascii="方正仿宋_GBK" w:hAnsi="方正仿宋_GBK" w:eastAsia="方正仿宋_GBK" w:cs="方正仿宋_GBK"/>
          <w:color w:val="auto"/>
          <w:sz w:val="28"/>
          <w:szCs w:val="28"/>
          <w:lang w:val="en-US" w:eastAsia="zh-CN"/>
        </w:rPr>
        <w:t>昆明市官渡区城市管理局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B6EB9"/>
    <w:rsid w:val="302B6EB9"/>
    <w:rsid w:val="3461716B"/>
    <w:rsid w:val="7D7E0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2023-11-17T01:55:00Z</dcterms:created>
  <dc:creator>Dell</dc:creator>
  <cp:lastModifiedBy>Dell</cp:lastModifiedBy>
  <dcterms:modified xsi:type="dcterms:W3CDTF">2023-11-17T03:42:08Z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