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center"/>
        <w:textAlignment w:val="auto"/>
        <w:rPr>
          <w:rStyle w:val="8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对《官渡区人才公寓建设使用管理办法（试行）》的政策解读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黑体" w:cs="Times New Roman"/>
          <w:sz w:val="32"/>
          <w:szCs w:val="32"/>
          <w:lang w:eastAsia="zh-CN"/>
        </w:rPr>
        <w:t>一、出台背景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为贯彻落实中央人才工作会议精神以及省委、市委关于加强新时代人才工作战略部署，激发人才创新创造活力，塑造人才引领发展新动能，加快建设面向南亚、东南亚和环印度洋地区人才枢纽、区域人才发展引领区，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eastAsia="zh-CN"/>
        </w:rPr>
        <w:t>实施人才安居工程，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高质量推进官渡人才强区建设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黑体" w:cs="Times New Roman"/>
          <w:sz w:val="32"/>
          <w:szCs w:val="32"/>
          <w:lang w:eastAsia="zh-CN"/>
        </w:rPr>
        <w:t>二、 文件依据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《国务院办公厅关于加快发展保障性租赁住房的意见》（国办发〔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22号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）《云南省人民政府办公厅关于加快发展保障性租赁住房的实施意见》（云政办发〔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黑体" w:cs="Times New Roman"/>
          <w:sz w:val="32"/>
          <w:szCs w:val="32"/>
          <w:lang w:eastAsia="zh-CN"/>
        </w:rPr>
        <w:t>三、 工作目标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采取实物保障与货币化补贴相结合的方式满足人才安居需求，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突出住房的民生属性，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加快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建立区级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人才公寓建设，形成租购并举、分层保障的人才安居体系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，推进以人为核心的新型城镇化，营造人才安居乐业的引才氛围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。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管理办法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》共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分为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个部分。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主要对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官渡区人才公寓建设使用工作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进行了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第一部分总则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明确做好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官渡区人才公寓建设使用工作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指导思想和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目标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第二部分房源筹集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明确人才公寓通过配套建设、集中新建等方式建设，也可以通过购买、租赁市场房源，接管、盘活政府存量房源，以及接受捐赠房源等方式筹集，主要包括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政府统建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保租房筹集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市场筹集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拆迁安置房筹集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园区房屋改建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商品房配建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等方式。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eastAsia" w:ascii="楷体_GB2312" w:hAnsi="楷体_GB2312" w:eastAsia="仿宋_GB2312" w:cs="楷体_GB2312"/>
          <w:b/>
          <w:bCs/>
          <w:color w:val="auto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第三部分分配管理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明确人才公寓适用对象和各相关部门职责，规范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制定分配方案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提交申请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、资格审核、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统筹配租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签约入住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缴交租金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、租金补贴7个人才公寓申请程序，明确刚性引进和柔性引进两种高层次人才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（团队）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引进方式。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第四部分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补贴标准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明确各类官渡区高层次人才（团队）入选者享受人才公寓租金补贴金额和年限。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第五部分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租赁管理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明确房屋定价、费用缴纳、承租期限、</w:t>
      </w:r>
      <w:r>
        <w:rPr>
          <w:rFonts w:ascii="Times New Roman" w:hAnsi="Times New Roman" w:eastAsia="仿宋_GB2312" w:cs="Times New Roman"/>
          <w:sz w:val="32"/>
          <w:szCs w:val="32"/>
        </w:rPr>
        <w:t>承租人的权利和义务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安全主体责任、物业管理等租赁管理规定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第六部分退出管理。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明确区级人才公寓</w:t>
      </w:r>
      <w:r>
        <w:rPr>
          <w:rFonts w:hint="eastAsia" w:ascii="Times New Roman" w:hAnsi="Times New Roman" w:eastAsia="仿宋_GB2312" w:cs="Times New Roman"/>
          <w:kern w:val="54"/>
          <w:sz w:val="32"/>
          <w:szCs w:val="32"/>
          <w:lang w:eastAsia="zh-CN"/>
        </w:rPr>
        <w:t>正常</w:t>
      </w:r>
      <w:r>
        <w:rPr>
          <w:rFonts w:ascii="Times New Roman" w:hAnsi="Times New Roman" w:eastAsia="仿宋_GB2312" w:cs="Times New Roman"/>
          <w:kern w:val="54"/>
          <w:sz w:val="32"/>
          <w:szCs w:val="32"/>
        </w:rPr>
        <w:t>解除租赁合同</w:t>
      </w:r>
      <w:r>
        <w:rPr>
          <w:rFonts w:hint="eastAsia" w:ascii="Times New Roman" w:hAnsi="Times New Roman" w:eastAsia="仿宋_GB2312" w:cs="Times New Roman"/>
          <w:kern w:val="54"/>
          <w:sz w:val="32"/>
          <w:szCs w:val="32"/>
          <w:lang w:eastAsia="zh-CN"/>
        </w:rPr>
        <w:t>人员和</w:t>
      </w:r>
      <w:r>
        <w:rPr>
          <w:rFonts w:ascii="Times New Roman" w:hAnsi="Times New Roman" w:eastAsia="仿宋_GB2312" w:cs="Times New Roman"/>
          <w:kern w:val="54"/>
          <w:sz w:val="32"/>
          <w:szCs w:val="32"/>
        </w:rPr>
        <w:t>腾退</w:t>
      </w:r>
      <w:r>
        <w:rPr>
          <w:rFonts w:hint="default" w:ascii="Times New Roman" w:hAnsi="Times New Roman" w:eastAsia="仿宋_GB2312" w:cs="Times New Roman"/>
          <w:kern w:val="54"/>
          <w:sz w:val="32"/>
          <w:szCs w:val="32"/>
        </w:rPr>
        <w:t>人才</w:t>
      </w:r>
      <w:r>
        <w:rPr>
          <w:rFonts w:ascii="Times New Roman" w:hAnsi="Times New Roman" w:eastAsia="仿宋_GB2312" w:cs="Times New Roman"/>
          <w:kern w:val="54"/>
          <w:sz w:val="32"/>
          <w:szCs w:val="32"/>
        </w:rPr>
        <w:t>公寓</w:t>
      </w:r>
      <w:r>
        <w:rPr>
          <w:rFonts w:hint="eastAsia" w:ascii="Times New Roman" w:hAnsi="Times New Roman" w:eastAsia="仿宋_GB2312" w:cs="Times New Roman"/>
          <w:kern w:val="54"/>
          <w:sz w:val="32"/>
          <w:szCs w:val="32"/>
          <w:lang w:eastAsia="zh-CN"/>
        </w:rPr>
        <w:t>人员相关退出管理程序相关退出管理程序。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val="en-US" w:eastAsia="zh-CN"/>
        </w:rPr>
        <w:t>第七部分监督管理。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建立人才公寓租赁资格实行动态核查机制</w:t>
      </w:r>
      <w:r>
        <w:rPr>
          <w:rFonts w:ascii="Times New Roman" w:hAnsi="Times New Roman" w:eastAsia="仿宋_GB2312" w:cs="Times New Roman"/>
          <w:sz w:val="32"/>
          <w:szCs w:val="32"/>
        </w:rPr>
        <w:t>，对人才公寓运营管理进行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动态</w:t>
      </w:r>
      <w:r>
        <w:rPr>
          <w:rFonts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黑体" w:cs="Times New Roman"/>
          <w:sz w:val="32"/>
          <w:szCs w:val="32"/>
          <w:lang w:eastAsia="zh-CN"/>
        </w:rPr>
        <w:t>五、工作保障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（一）纳入目标考核。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将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eastAsia="zh-CN"/>
        </w:rPr>
        <w:t>人才公寓建设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列为落实党建工作和人才工作责任制情况述职评议考核的重要内容。把人才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eastAsia="zh-CN"/>
        </w:rPr>
        <w:t>公寓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主要指标纳入全区经济社会发展综合目标体系。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（二）强化运行保障。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、各街道要把人才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eastAsia="zh-CN"/>
        </w:rPr>
        <w:t>公寓建设工作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与中心工作相结合，根据工作实际需求，逐步加大资金投入力度，保障重点人才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eastAsia="zh-CN"/>
        </w:rPr>
        <w:t>安居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工程顺利实施。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7348"/>
    <w:rsid w:val="03E82358"/>
    <w:rsid w:val="04641B67"/>
    <w:rsid w:val="04E1289E"/>
    <w:rsid w:val="06200FEB"/>
    <w:rsid w:val="06626AB2"/>
    <w:rsid w:val="0870019F"/>
    <w:rsid w:val="094138AD"/>
    <w:rsid w:val="0C122D7D"/>
    <w:rsid w:val="0D1A02A6"/>
    <w:rsid w:val="16E14BBB"/>
    <w:rsid w:val="17422F3A"/>
    <w:rsid w:val="175452E4"/>
    <w:rsid w:val="19BF55DA"/>
    <w:rsid w:val="1A16118D"/>
    <w:rsid w:val="24226A16"/>
    <w:rsid w:val="25B96723"/>
    <w:rsid w:val="2774197C"/>
    <w:rsid w:val="27877963"/>
    <w:rsid w:val="27E2129E"/>
    <w:rsid w:val="2ABB161F"/>
    <w:rsid w:val="303F55B9"/>
    <w:rsid w:val="311E5707"/>
    <w:rsid w:val="3A425461"/>
    <w:rsid w:val="3A7F6133"/>
    <w:rsid w:val="3A8C3E19"/>
    <w:rsid w:val="3B376B77"/>
    <w:rsid w:val="3F4322BD"/>
    <w:rsid w:val="421E2040"/>
    <w:rsid w:val="42540701"/>
    <w:rsid w:val="449C6F13"/>
    <w:rsid w:val="48E12122"/>
    <w:rsid w:val="4AB153F0"/>
    <w:rsid w:val="4CD52834"/>
    <w:rsid w:val="50BB3FCB"/>
    <w:rsid w:val="50EC7990"/>
    <w:rsid w:val="53527D64"/>
    <w:rsid w:val="54A0175C"/>
    <w:rsid w:val="584D47C6"/>
    <w:rsid w:val="5BD324E0"/>
    <w:rsid w:val="5BDB6120"/>
    <w:rsid w:val="5D920E4C"/>
    <w:rsid w:val="5EF44DF3"/>
    <w:rsid w:val="630237E0"/>
    <w:rsid w:val="63B773C6"/>
    <w:rsid w:val="686317B1"/>
    <w:rsid w:val="689F5E7A"/>
    <w:rsid w:val="69333CF0"/>
    <w:rsid w:val="6BCB6423"/>
    <w:rsid w:val="6E670FEA"/>
    <w:rsid w:val="6FD536CC"/>
    <w:rsid w:val="714D72CA"/>
    <w:rsid w:val="78E6728C"/>
    <w:rsid w:val="79171905"/>
    <w:rsid w:val="7F0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Calibri" w:hAnsi="Calibri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2023-03-30T09:32:00Z</dcterms:created>
  <dc:creator>user</dc:creator>
  <cp:lastModifiedBy>說`ィ+ 嚒</cp:lastModifiedBy>
  <dcterms:modified xsi:type="dcterms:W3CDTF">2023-12-06T10:45:23Z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