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对《中国（云南）自由贸易试验区昆明片区（官渡区）支持高层次人才（团队）引进的实施办法（试行）》的政策解读</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Style w:val="8"/>
          <w:rFonts w:hint="default" w:ascii="Times New Roman" w:hAnsi="Times New Roman" w:eastAsia="仿宋_GB2312" w:cs="Times New Roman"/>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8"/>
          <w:rFonts w:hint="default" w:ascii="Times New Roman" w:hAnsi="Times New Roman" w:eastAsia="黑体" w:cs="Times New Roman"/>
          <w:sz w:val="32"/>
          <w:szCs w:val="32"/>
          <w:lang w:eastAsia="zh-CN"/>
        </w:rPr>
      </w:pPr>
      <w:r>
        <w:rPr>
          <w:rStyle w:val="8"/>
          <w:rFonts w:hint="default" w:ascii="Times New Roman" w:hAnsi="Times New Roman" w:eastAsia="黑体" w:cs="Times New Roman"/>
          <w:sz w:val="32"/>
          <w:szCs w:val="32"/>
          <w:lang w:eastAsia="zh-CN"/>
        </w:rPr>
        <w:t>一、出台背景</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仿宋_GB2312" w:hAnsi="仿宋_GB2312" w:eastAsia="仿宋_GB2312" w:cs="仿宋_GB2312"/>
          <w:color w:val="000000"/>
          <w:sz w:val="31"/>
          <w:szCs w:val="31"/>
          <w:lang w:eastAsia="zh-CN"/>
        </w:rPr>
      </w:pPr>
      <w:r>
        <w:rPr>
          <w:rFonts w:hint="default" w:ascii="仿宋_GB2312" w:hAnsi="仿宋_GB2312" w:eastAsia="仿宋_GB2312" w:cs="仿宋_GB2312"/>
          <w:color w:val="000000"/>
          <w:sz w:val="31"/>
          <w:szCs w:val="31"/>
          <w:lang w:eastAsia="zh-CN"/>
        </w:rPr>
        <w:t>为贯彻落实中央人才工作会议精神以及省委、市委关于加强新时代人才工作战略部署，激发人才创新创造活力，塑造人才引领发展新动能，加快建设面向南亚东南亚和环印度洋地区人才枢纽、区域人才发展引领区，高质量推进官渡人才强区建设，制定本行动计划。</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8"/>
          <w:rFonts w:hint="default" w:ascii="Times New Roman" w:hAnsi="Times New Roman" w:eastAsia="黑体" w:cs="Times New Roman"/>
          <w:sz w:val="32"/>
          <w:szCs w:val="32"/>
          <w:lang w:eastAsia="zh-CN"/>
        </w:rPr>
      </w:pPr>
      <w:r>
        <w:rPr>
          <w:rStyle w:val="8"/>
          <w:rFonts w:hint="default" w:ascii="Times New Roman" w:hAnsi="Times New Roman" w:eastAsia="黑体" w:cs="Times New Roman"/>
          <w:sz w:val="32"/>
          <w:szCs w:val="32"/>
          <w:lang w:eastAsia="zh-CN"/>
        </w:rPr>
        <w:t>二、 文件依据</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仿宋_GB2312" w:hAnsi="仿宋_GB2312" w:eastAsia="仿宋_GB2312" w:cs="仿宋_GB2312"/>
          <w:color w:val="000000"/>
          <w:sz w:val="31"/>
          <w:szCs w:val="31"/>
          <w:lang w:val="en-US" w:eastAsia="zh-CN"/>
        </w:rPr>
      </w:pPr>
      <w:r>
        <w:rPr>
          <w:rFonts w:hint="default" w:ascii="仿宋_GB2312" w:hAnsi="仿宋_GB2312" w:eastAsia="仿宋_GB2312" w:cs="仿宋_GB2312"/>
          <w:color w:val="000000"/>
          <w:sz w:val="31"/>
          <w:szCs w:val="31"/>
          <w:lang w:eastAsia="zh-CN"/>
        </w:rPr>
        <w:t>《云南省中长期人才发展规划（</w:t>
      </w:r>
      <w:r>
        <w:rPr>
          <w:rFonts w:hint="default" w:ascii="仿宋_GB2312" w:hAnsi="仿宋_GB2312" w:eastAsia="仿宋_GB2312" w:cs="仿宋_GB2312"/>
          <w:color w:val="000000"/>
          <w:sz w:val="31"/>
          <w:szCs w:val="31"/>
          <w:lang w:val="en-US" w:eastAsia="zh-CN"/>
        </w:rPr>
        <w:t>2021-2030</w:t>
      </w:r>
      <w:r>
        <w:rPr>
          <w:rFonts w:hint="default" w:ascii="仿宋_GB2312" w:hAnsi="仿宋_GB2312" w:eastAsia="仿宋_GB2312" w:cs="仿宋_GB2312"/>
          <w:color w:val="000000"/>
          <w:sz w:val="31"/>
          <w:szCs w:val="31"/>
          <w:lang w:eastAsia="zh-CN"/>
        </w:rPr>
        <w:t>）》《昆明市人才发展中长期规划（</w:t>
      </w:r>
      <w:r>
        <w:rPr>
          <w:rFonts w:hint="default" w:ascii="仿宋_GB2312" w:hAnsi="仿宋_GB2312" w:eastAsia="仿宋_GB2312" w:cs="仿宋_GB2312"/>
          <w:color w:val="000000"/>
          <w:sz w:val="31"/>
          <w:szCs w:val="31"/>
          <w:lang w:val="en-US" w:eastAsia="zh-CN"/>
        </w:rPr>
        <w:t>2021-2025</w:t>
      </w:r>
      <w:r>
        <w:rPr>
          <w:rFonts w:hint="default" w:ascii="仿宋_GB2312" w:hAnsi="仿宋_GB2312" w:eastAsia="仿宋_GB2312" w:cs="仿宋_GB2312"/>
          <w:color w:val="000000"/>
          <w:sz w:val="31"/>
          <w:szCs w:val="31"/>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8"/>
          <w:rFonts w:hint="default" w:ascii="Times New Roman" w:hAnsi="Times New Roman" w:eastAsia="黑体" w:cs="Times New Roman"/>
          <w:sz w:val="32"/>
          <w:szCs w:val="32"/>
          <w:lang w:eastAsia="zh-CN"/>
        </w:rPr>
      </w:pPr>
      <w:r>
        <w:rPr>
          <w:rStyle w:val="8"/>
          <w:rFonts w:hint="default" w:ascii="Times New Roman" w:hAnsi="Times New Roman" w:eastAsia="黑体" w:cs="Times New Roman"/>
          <w:sz w:val="32"/>
          <w:szCs w:val="32"/>
          <w:lang w:eastAsia="zh-CN"/>
        </w:rPr>
        <w:t>三、 工作目标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坚持党管人才、统分结合、示范引领、重点支持的原则，加强党对人才工作的领导，发挥组织部门牵头抓总和职能部门具体推动作用，优化整合人才引育项目，改革创新人才发现、培养、使用、评价、激励机制，把各方面优秀人才集聚到全区改革发展事业中来。</w:t>
      </w:r>
      <w:r>
        <w:rPr>
          <w:rFonts w:hint="eastAsia" w:ascii="仿宋_GB2312" w:hAnsi="仿宋_GB2312" w:eastAsia="仿宋_GB2312" w:cs="仿宋_GB2312"/>
          <w:color w:val="000000"/>
          <w:kern w:val="0"/>
          <w:sz w:val="31"/>
          <w:szCs w:val="31"/>
          <w:lang w:val="en-US" w:eastAsia="zh-CN" w:bidi="ar"/>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黑体" w:cs="Times New Roman"/>
          <w:sz w:val="32"/>
          <w:szCs w:val="32"/>
        </w:rPr>
      </w:pPr>
      <w:bookmarkStart w:id="0" w:name="_GoBack"/>
      <w:bookmarkEnd w:id="0"/>
      <w:r>
        <w:rPr>
          <w:rStyle w:val="8"/>
          <w:rFonts w:hint="default" w:ascii="Times New Roman" w:hAnsi="Times New Roman" w:eastAsia="黑体" w:cs="Times New Roman"/>
          <w:sz w:val="32"/>
          <w:szCs w:val="32"/>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w:t>
      </w:r>
      <w:r>
        <w:rPr>
          <w:rFonts w:hint="eastAsia" w:ascii="Times New Roman" w:hAnsi="Times New Roman" w:eastAsia="仿宋_GB2312" w:cs="Times New Roman"/>
          <w:sz w:val="32"/>
          <w:szCs w:val="32"/>
          <w:lang w:val="en-US" w:eastAsia="zh-CN"/>
        </w:rPr>
        <w:t>实施办法</w:t>
      </w:r>
      <w:r>
        <w:rPr>
          <w:rFonts w:hint="default" w:ascii="Times New Roman" w:hAnsi="Times New Roman" w:eastAsia="楷体_GB2312" w:cs="Times New Roman"/>
          <w:sz w:val="32"/>
          <w:lang w:val="en-US" w:eastAsia="zh-CN"/>
        </w:rPr>
        <w:t>》共</w:t>
      </w:r>
      <w:r>
        <w:rPr>
          <w:rFonts w:hint="default" w:ascii="Times New Roman" w:hAnsi="Times New Roman" w:eastAsia="楷体_GB2312" w:cs="Times New Roman"/>
          <w:sz w:val="32"/>
          <w:lang w:eastAsia="zh-CN"/>
        </w:rPr>
        <w:t>分为</w:t>
      </w:r>
      <w:r>
        <w:rPr>
          <w:rFonts w:hint="eastAsia" w:ascii="Times New Roman" w:hAnsi="Times New Roman" w:eastAsia="楷体_GB2312" w:cs="Times New Roman"/>
          <w:sz w:val="32"/>
          <w:lang w:val="en-US" w:eastAsia="zh-CN"/>
        </w:rPr>
        <w:t>6</w:t>
      </w:r>
      <w:r>
        <w:rPr>
          <w:rFonts w:hint="default" w:ascii="Times New Roman" w:hAnsi="Times New Roman" w:eastAsia="楷体_GB2312" w:cs="Times New Roman"/>
          <w:sz w:val="32"/>
          <w:lang w:val="en-US" w:eastAsia="zh-CN"/>
        </w:rPr>
        <w:t>个部分。</w:t>
      </w:r>
      <w:r>
        <w:rPr>
          <w:rFonts w:hint="default" w:ascii="Times New Roman" w:hAnsi="Times New Roman" w:eastAsia="仿宋_GB2312" w:cs="Times New Roman"/>
          <w:color w:val="auto"/>
          <w:sz w:val="32"/>
          <w:szCs w:val="32"/>
          <w:u w:val="none" w:color="auto"/>
          <w:lang w:val="en-US" w:eastAsia="zh-CN"/>
        </w:rPr>
        <w:t>主要对</w:t>
      </w:r>
      <w:r>
        <w:rPr>
          <w:rFonts w:hint="default" w:ascii="Times New Roman" w:hAnsi="Times New Roman" w:eastAsia="仿宋_GB2312" w:cs="Times New Roman"/>
          <w:snapToGrid w:val="0"/>
          <w:kern w:val="0"/>
          <w:sz w:val="32"/>
          <w:szCs w:val="32"/>
        </w:rPr>
        <w:t>支持</w:t>
      </w:r>
      <w:r>
        <w:rPr>
          <w:rFonts w:hint="eastAsia" w:ascii="Times New Roman" w:hAnsi="Times New Roman" w:eastAsia="仿宋_GB2312" w:cs="Times New Roman"/>
          <w:snapToGrid w:val="0"/>
          <w:kern w:val="0"/>
          <w:sz w:val="32"/>
          <w:szCs w:val="32"/>
          <w:lang w:eastAsia="zh-CN"/>
        </w:rPr>
        <w:t>官渡区</w:t>
      </w:r>
      <w:r>
        <w:rPr>
          <w:rFonts w:hint="default" w:ascii="Times New Roman" w:hAnsi="Times New Roman" w:eastAsia="仿宋_GB2312" w:cs="Times New Roman"/>
          <w:snapToGrid w:val="0"/>
          <w:kern w:val="0"/>
          <w:sz w:val="32"/>
          <w:szCs w:val="32"/>
        </w:rPr>
        <w:t>高层次人才（团队）引进工作</w:t>
      </w:r>
      <w:r>
        <w:rPr>
          <w:rFonts w:hint="default" w:ascii="Times New Roman" w:hAnsi="Times New Roman" w:eastAsia="仿宋_GB2312" w:cs="Times New Roman"/>
          <w:color w:val="auto"/>
          <w:sz w:val="32"/>
          <w:szCs w:val="32"/>
          <w:u w:val="none" w:color="auto"/>
          <w:lang w:val="en-US" w:eastAsia="zh-CN"/>
        </w:rPr>
        <w:t>进行了</w:t>
      </w:r>
      <w:r>
        <w:rPr>
          <w:rFonts w:hint="eastAsia" w:ascii="Times New Roman" w:hAnsi="Times New Roman" w:eastAsia="仿宋_GB2312" w:cs="Times New Roman"/>
          <w:color w:val="auto"/>
          <w:sz w:val="32"/>
          <w:szCs w:val="32"/>
          <w:u w:val="none" w:color="auto"/>
          <w:lang w:val="en-US" w:eastAsia="zh-CN"/>
        </w:rPr>
        <w:t>安排</w:t>
      </w:r>
      <w:r>
        <w:rPr>
          <w:rFonts w:hint="default" w:ascii="Times New Roman" w:hAnsi="Times New Roman" w:eastAsia="仿宋_GB2312" w:cs="Times New Roman"/>
          <w:color w:val="auto"/>
          <w:sz w:val="32"/>
          <w:szCs w:val="32"/>
          <w:u w:val="none" w:color="auto"/>
          <w:lang w:val="en-US" w:eastAsia="zh-CN"/>
        </w:rPr>
        <w:t>部署。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napToGrid w:val="0"/>
          <w:spacing w:val="0"/>
          <w:kern w:val="0"/>
          <w:sz w:val="32"/>
          <w:szCs w:val="32"/>
          <w:lang w:val="en-US" w:eastAsia="zh-CN"/>
        </w:rPr>
      </w:pPr>
      <w:r>
        <w:rPr>
          <w:rFonts w:hint="eastAsia" w:ascii="楷体_GB2312" w:hAnsi="楷体_GB2312" w:eastAsia="楷体_GB2312" w:cs="楷体_GB2312"/>
          <w:b/>
          <w:bCs/>
          <w:color w:val="auto"/>
          <w:sz w:val="32"/>
          <w:lang w:val="en-US" w:eastAsia="zh-CN"/>
        </w:rPr>
        <w:t>第一部分总则</w:t>
      </w:r>
      <w:r>
        <w:rPr>
          <w:rFonts w:hint="default" w:ascii="楷体_GB2312" w:hAnsi="楷体_GB2312" w:eastAsia="楷体_GB2312" w:cs="楷体_GB2312"/>
          <w:b/>
          <w:bCs/>
          <w:color w:val="auto"/>
          <w:sz w:val="32"/>
          <w:lang w:val="en-US" w:eastAsia="zh-CN"/>
        </w:rPr>
        <w:t>，</w:t>
      </w:r>
      <w:r>
        <w:rPr>
          <w:rFonts w:hint="eastAsia" w:ascii="Times New Roman" w:hAnsi="Times New Roman" w:eastAsia="仿宋_GB2312" w:cs="Times New Roman"/>
          <w:spacing w:val="0"/>
          <w:sz w:val="32"/>
          <w:szCs w:val="32"/>
          <w:lang w:val="en-US" w:eastAsia="zh-CN"/>
        </w:rPr>
        <w:t>明确做好</w:t>
      </w:r>
      <w:r>
        <w:rPr>
          <w:rFonts w:hint="default" w:ascii="Times New Roman" w:hAnsi="Times New Roman" w:eastAsia="仿宋_GB2312" w:cs="Times New Roman"/>
          <w:snapToGrid w:val="0"/>
          <w:kern w:val="0"/>
          <w:sz w:val="32"/>
          <w:szCs w:val="32"/>
        </w:rPr>
        <w:t>支持</w:t>
      </w:r>
      <w:r>
        <w:rPr>
          <w:rFonts w:hint="eastAsia" w:ascii="Times New Roman" w:hAnsi="Times New Roman" w:eastAsia="仿宋_GB2312" w:cs="Times New Roman"/>
          <w:snapToGrid w:val="0"/>
          <w:kern w:val="0"/>
          <w:sz w:val="32"/>
          <w:szCs w:val="32"/>
          <w:lang w:eastAsia="zh-CN"/>
        </w:rPr>
        <w:t>官渡区</w:t>
      </w:r>
      <w:r>
        <w:rPr>
          <w:rFonts w:hint="default" w:ascii="Times New Roman" w:hAnsi="Times New Roman" w:eastAsia="仿宋_GB2312" w:cs="Times New Roman"/>
          <w:snapToGrid w:val="0"/>
          <w:kern w:val="0"/>
          <w:sz w:val="32"/>
          <w:szCs w:val="32"/>
        </w:rPr>
        <w:t>高层次人才（团队）引进工作</w:t>
      </w:r>
      <w:r>
        <w:rPr>
          <w:rFonts w:hint="eastAsia" w:ascii="Times New Roman" w:hAnsi="Times New Roman" w:eastAsia="仿宋_GB2312" w:cs="Times New Roman"/>
          <w:snapToGrid w:val="0"/>
          <w:kern w:val="0"/>
          <w:sz w:val="32"/>
          <w:szCs w:val="32"/>
          <w:lang w:eastAsia="zh-CN"/>
        </w:rPr>
        <w:t>的</w:t>
      </w:r>
      <w:r>
        <w:rPr>
          <w:rFonts w:hint="default" w:ascii="Times New Roman" w:hAnsi="Times New Roman" w:eastAsia="仿宋_GB2312" w:cs="Times New Roman"/>
          <w:color w:val="auto"/>
          <w:sz w:val="32"/>
          <w:szCs w:val="32"/>
          <w:lang w:bidi="ar-SA"/>
        </w:rPr>
        <w:t>指导思想和</w:t>
      </w:r>
      <w:r>
        <w:rPr>
          <w:rFonts w:hint="eastAsia" w:ascii="Times New Roman" w:hAnsi="Times New Roman" w:eastAsia="仿宋_GB2312" w:cs="Times New Roman"/>
          <w:color w:val="auto"/>
          <w:sz w:val="32"/>
          <w:szCs w:val="32"/>
          <w:lang w:eastAsia="zh-CN" w:bidi="ar-SA"/>
        </w:rPr>
        <w:t>工作</w:t>
      </w:r>
      <w:r>
        <w:rPr>
          <w:rFonts w:hint="default" w:ascii="Times New Roman" w:hAnsi="Times New Roman" w:eastAsia="仿宋_GB2312" w:cs="Times New Roman"/>
          <w:color w:val="auto"/>
          <w:sz w:val="32"/>
          <w:szCs w:val="32"/>
          <w:lang w:bidi="ar-SA"/>
        </w:rPr>
        <w:t>目标</w:t>
      </w:r>
      <w:r>
        <w:rPr>
          <w:rFonts w:hint="default" w:ascii="Times New Roman" w:hAnsi="Times New Roman" w:eastAsia="仿宋_GB2312" w:cs="Times New Roman"/>
          <w:snapToGrid w:val="0"/>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napToGrid w:val="0"/>
          <w:spacing w:val="0"/>
          <w:kern w:val="0"/>
          <w:sz w:val="32"/>
          <w:szCs w:val="32"/>
          <w:lang w:val="en-US" w:eastAsia="zh-CN"/>
        </w:rPr>
      </w:pPr>
      <w:r>
        <w:rPr>
          <w:rFonts w:hint="eastAsia" w:ascii="楷体_GB2312" w:hAnsi="楷体_GB2312" w:eastAsia="楷体_GB2312" w:cs="楷体_GB2312"/>
          <w:b/>
          <w:bCs/>
          <w:color w:val="auto"/>
          <w:sz w:val="32"/>
          <w:lang w:val="en-US" w:eastAsia="zh-CN"/>
        </w:rPr>
        <w:t>第二部分引进对象和分类</w:t>
      </w:r>
      <w:r>
        <w:rPr>
          <w:rFonts w:hint="default" w:ascii="楷体_GB2312" w:hAnsi="楷体_GB2312" w:eastAsia="楷体_GB2312" w:cs="楷体_GB2312"/>
          <w:b/>
          <w:bCs/>
          <w:color w:val="auto"/>
          <w:sz w:val="32"/>
          <w:lang w:val="en-US" w:eastAsia="zh-CN"/>
        </w:rPr>
        <w:t>，</w:t>
      </w:r>
      <w:r>
        <w:rPr>
          <w:rFonts w:hint="eastAsia" w:ascii="Times New Roman" w:hAnsi="Times New Roman" w:eastAsia="仿宋_GB2312" w:cs="Times New Roman"/>
          <w:spacing w:val="0"/>
          <w:sz w:val="32"/>
          <w:szCs w:val="32"/>
          <w:lang w:val="en-US" w:eastAsia="zh-CN"/>
        </w:rPr>
        <w:t>明确引进对象为符合官渡区产业发展的事业单位和企业的高层次人才和</w:t>
      </w:r>
      <w:r>
        <w:rPr>
          <w:rFonts w:hint="default" w:ascii="Times New Roman" w:hAnsi="Times New Roman" w:eastAsia="仿宋_GB2312" w:cs="Times New Roman"/>
          <w:color w:val="auto"/>
          <w:sz w:val="32"/>
          <w:szCs w:val="32"/>
          <w:lang w:val="en-US" w:eastAsia="zh-CN"/>
        </w:rPr>
        <w:t>高层次创新创业团队</w:t>
      </w:r>
      <w:r>
        <w:rPr>
          <w:rFonts w:hint="eastAsia" w:ascii="Times New Roman" w:hAnsi="Times New Roman" w:eastAsia="仿宋_GB2312" w:cs="Times New Roman"/>
          <w:color w:val="auto"/>
          <w:sz w:val="32"/>
          <w:szCs w:val="32"/>
          <w:lang w:val="en-US" w:eastAsia="zh-CN"/>
        </w:rPr>
        <w:t>，并制定</w:t>
      </w:r>
      <w:r>
        <w:rPr>
          <w:rFonts w:hint="default" w:ascii="Times New Roman" w:hAnsi="Times New Roman" w:eastAsia="仿宋_GB2312" w:cs="Times New Roman"/>
          <w:color w:val="auto"/>
          <w:sz w:val="32"/>
          <w:szCs w:val="32"/>
          <w:lang w:val="en-US"/>
        </w:rPr>
        <w:t>《官渡高层次人才分类认定目录》</w:t>
      </w:r>
      <w:r>
        <w:rPr>
          <w:rFonts w:hint="eastAsia" w:ascii="Times New Roman" w:hAnsi="Times New Roman" w:eastAsia="仿宋_GB2312" w:cs="Times New Roman"/>
          <w:color w:val="auto"/>
          <w:sz w:val="32"/>
          <w:szCs w:val="32"/>
          <w:lang w:val="en-US" w:eastAsia="zh-CN"/>
        </w:rPr>
        <w:t>。</w:t>
      </w:r>
    </w:p>
    <w:p>
      <w:pPr>
        <w:pStyle w:val="9"/>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楷体_GB2312" w:hAnsi="楷体_GB2312" w:eastAsia="仿宋_GB2312" w:cs="楷体_GB2312"/>
          <w:b/>
          <w:bCs/>
          <w:color w:val="auto"/>
          <w:sz w:val="32"/>
          <w:lang w:val="en-US" w:eastAsia="zh-CN"/>
        </w:rPr>
      </w:pPr>
      <w:r>
        <w:rPr>
          <w:rFonts w:hint="eastAsia" w:ascii="楷体_GB2312" w:hAnsi="楷体_GB2312" w:eastAsia="楷体_GB2312" w:cs="楷体_GB2312"/>
          <w:b/>
          <w:bCs/>
          <w:color w:val="auto"/>
          <w:sz w:val="32"/>
          <w:lang w:val="en-US" w:eastAsia="zh-CN"/>
        </w:rPr>
        <w:t>第三部分引进方式及程序</w:t>
      </w:r>
      <w:r>
        <w:rPr>
          <w:rFonts w:hint="default" w:ascii="楷体_GB2312" w:hAnsi="楷体_GB2312" w:eastAsia="楷体_GB2312" w:cs="楷体_GB2312"/>
          <w:b/>
          <w:bCs/>
          <w:color w:val="auto"/>
          <w:sz w:val="32"/>
          <w:lang w:val="en-US" w:eastAsia="zh-CN"/>
        </w:rPr>
        <w:t>，</w:t>
      </w:r>
      <w:r>
        <w:rPr>
          <w:rFonts w:hint="eastAsia" w:ascii="Times New Roman" w:hAnsi="Times New Roman" w:eastAsia="仿宋_GB2312" w:cs="Times New Roman"/>
          <w:spacing w:val="0"/>
          <w:kern w:val="2"/>
          <w:sz w:val="32"/>
          <w:szCs w:val="32"/>
          <w:lang w:val="en-US" w:eastAsia="zh-CN" w:bidi="ar-SA"/>
        </w:rPr>
        <w:t>规范计划管理、发布通知、人才申报、初评认定、复审认定、资格审查、公示发布七个高层次人才</w:t>
      </w:r>
      <w:r>
        <w:rPr>
          <w:rFonts w:hint="default" w:ascii="Times New Roman" w:hAnsi="Times New Roman" w:eastAsia="仿宋_GB2312" w:cs="Times New Roman"/>
          <w:spacing w:val="0"/>
          <w:kern w:val="2"/>
          <w:sz w:val="32"/>
          <w:szCs w:val="32"/>
          <w:lang w:val="en-US" w:eastAsia="zh-CN" w:bidi="ar-SA"/>
        </w:rPr>
        <w:t>（团队）</w:t>
      </w:r>
      <w:r>
        <w:rPr>
          <w:rFonts w:hint="eastAsia" w:ascii="Times New Roman" w:hAnsi="Times New Roman" w:eastAsia="仿宋_GB2312" w:cs="Times New Roman"/>
          <w:spacing w:val="0"/>
          <w:kern w:val="2"/>
          <w:sz w:val="32"/>
          <w:szCs w:val="32"/>
          <w:lang w:val="en-US" w:eastAsia="zh-CN" w:bidi="ar-SA"/>
        </w:rPr>
        <w:t>引进的程序，明确刚性引进和柔性引进两种高层次人才</w:t>
      </w:r>
      <w:r>
        <w:rPr>
          <w:rFonts w:hint="default" w:ascii="Times New Roman" w:hAnsi="Times New Roman" w:eastAsia="仿宋_GB2312" w:cs="Times New Roman"/>
          <w:spacing w:val="0"/>
          <w:kern w:val="2"/>
          <w:sz w:val="32"/>
          <w:szCs w:val="32"/>
          <w:lang w:val="en-US" w:eastAsia="zh-CN" w:bidi="ar-SA"/>
        </w:rPr>
        <w:t>（团队）</w:t>
      </w:r>
      <w:r>
        <w:rPr>
          <w:rFonts w:hint="eastAsia" w:ascii="Times New Roman" w:hAnsi="Times New Roman" w:eastAsia="仿宋_GB2312" w:cs="Times New Roman"/>
          <w:spacing w:val="0"/>
          <w:kern w:val="2"/>
          <w:sz w:val="32"/>
          <w:szCs w:val="32"/>
          <w:lang w:val="en-US" w:eastAsia="zh-CN" w:bidi="ar-SA"/>
        </w:rPr>
        <w:t>引进方式。</w:t>
      </w:r>
    </w:p>
    <w:p>
      <w:pPr>
        <w:pStyle w:val="9"/>
        <w:keepNext w:val="0"/>
        <w:keepLines w:val="0"/>
        <w:pageBreakBefore w:val="0"/>
        <w:widowControl w:val="0"/>
        <w:kinsoku/>
        <w:wordWrap/>
        <w:overflowPunct/>
        <w:topLinePunct w:val="0"/>
        <w:autoSpaceDN/>
        <w:bidi w:val="0"/>
        <w:spacing w:line="560" w:lineRule="exact"/>
        <w:ind w:firstLine="643" w:firstLineChars="200"/>
        <w:textAlignment w:val="auto"/>
        <w:rPr>
          <w:rFonts w:hint="default" w:ascii="楷体_GB2312" w:hAnsi="楷体_GB2312" w:eastAsia="楷体_GB2312" w:cs="楷体_GB2312"/>
          <w:b/>
          <w:bCs/>
          <w:color w:val="auto"/>
          <w:sz w:val="32"/>
          <w:lang w:val="en-US" w:eastAsia="zh-CN"/>
        </w:rPr>
      </w:pPr>
      <w:r>
        <w:rPr>
          <w:rFonts w:hint="eastAsia" w:ascii="楷体_GB2312" w:hAnsi="楷体_GB2312" w:eastAsia="楷体_GB2312" w:cs="楷体_GB2312"/>
          <w:b/>
          <w:bCs/>
          <w:color w:val="auto"/>
          <w:sz w:val="32"/>
          <w:lang w:val="en-US" w:eastAsia="zh-CN"/>
        </w:rPr>
        <w:t>第四部分</w:t>
      </w:r>
      <w:r>
        <w:rPr>
          <w:rFonts w:hint="default" w:ascii="楷体_GB2312" w:hAnsi="楷体_GB2312" w:eastAsia="楷体_GB2312" w:cs="楷体_GB2312"/>
          <w:b/>
          <w:bCs/>
          <w:color w:val="auto"/>
          <w:sz w:val="32"/>
          <w:lang w:val="en-US" w:eastAsia="zh-CN"/>
        </w:rPr>
        <w:t>政策待遇及支持措施</w:t>
      </w:r>
      <w:r>
        <w:rPr>
          <w:rFonts w:hint="eastAsia" w:ascii="楷体_GB2312" w:hAnsi="楷体_GB2312" w:eastAsia="楷体_GB2312" w:cs="楷体_GB2312"/>
          <w:b/>
          <w:bCs/>
          <w:color w:val="auto"/>
          <w:sz w:val="32"/>
          <w:lang w:val="en-US" w:eastAsia="zh-CN"/>
        </w:rPr>
        <w:t>。</w:t>
      </w:r>
      <w:r>
        <w:rPr>
          <w:rFonts w:hint="eastAsia" w:ascii="Times New Roman" w:hAnsi="Times New Roman" w:eastAsia="仿宋_GB2312" w:cs="Times New Roman"/>
          <w:spacing w:val="0"/>
          <w:kern w:val="2"/>
          <w:sz w:val="32"/>
          <w:szCs w:val="32"/>
          <w:lang w:val="en-US" w:eastAsia="zh-CN" w:bidi="ar-SA"/>
        </w:rPr>
        <w:t>明确购房津贴、人才公寓、项目支持、创业支持、培育奖励、引才奖励、户籍办理、医疗保障、社会保障、子女入学与配偶就业安置、企业注册登记和职称评定12项区级政策待遇及支持措施。</w:t>
      </w:r>
    </w:p>
    <w:p>
      <w:pPr>
        <w:pStyle w:val="9"/>
        <w:keepNext w:val="0"/>
        <w:keepLines w:val="0"/>
        <w:pageBreakBefore w:val="0"/>
        <w:widowControl w:val="0"/>
        <w:numPr>
          <w:ilvl w:val="0"/>
          <w:numId w:val="0"/>
        </w:numPr>
        <w:kinsoku/>
        <w:wordWrap/>
        <w:overflowPunct/>
        <w:topLinePunct w:val="0"/>
        <w:autoSpaceDN/>
        <w:bidi w:val="0"/>
        <w:spacing w:line="560" w:lineRule="exact"/>
        <w:ind w:firstLine="643"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楷体_GB2312" w:hAnsi="楷体_GB2312" w:eastAsia="楷体_GB2312" w:cs="楷体_GB2312"/>
          <w:b/>
          <w:bCs/>
          <w:color w:val="auto"/>
          <w:sz w:val="32"/>
          <w:lang w:val="en-US" w:eastAsia="zh-CN"/>
        </w:rPr>
        <w:t>第五部分</w:t>
      </w:r>
      <w:r>
        <w:rPr>
          <w:rFonts w:hint="default" w:ascii="楷体_GB2312" w:hAnsi="楷体_GB2312" w:eastAsia="楷体_GB2312" w:cs="楷体_GB2312"/>
          <w:b/>
          <w:bCs/>
          <w:color w:val="auto"/>
          <w:sz w:val="32"/>
          <w:lang w:val="en-US" w:eastAsia="zh-CN"/>
        </w:rPr>
        <w:t>考核管理与保障</w:t>
      </w:r>
      <w:r>
        <w:rPr>
          <w:rFonts w:hint="eastAsia" w:ascii="楷体_GB2312" w:hAnsi="楷体_GB2312" w:eastAsia="楷体_GB2312" w:cs="楷体_GB2312"/>
          <w:b/>
          <w:bCs/>
          <w:color w:val="auto"/>
          <w:sz w:val="32"/>
          <w:lang w:val="en-US" w:eastAsia="zh-CN"/>
        </w:rPr>
        <w:t>。</w:t>
      </w:r>
      <w:r>
        <w:rPr>
          <w:rFonts w:hint="eastAsia" w:ascii="Times New Roman" w:hAnsi="Times New Roman" w:eastAsia="仿宋_GB2312" w:cs="Times New Roman"/>
          <w:spacing w:val="0"/>
          <w:kern w:val="2"/>
          <w:sz w:val="32"/>
          <w:szCs w:val="32"/>
          <w:lang w:val="en-US" w:eastAsia="zh-CN" w:bidi="ar-SA"/>
        </w:rPr>
        <w:t>从三个方面明确了考核管理和保障具体事项。</w:t>
      </w:r>
    </w:p>
    <w:p>
      <w:pPr>
        <w:pStyle w:val="9"/>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default" w:ascii="楷体_GB2312" w:hAnsi="楷体_GB2312" w:eastAsia="楷体_GB2312" w:cs="楷体_GB2312"/>
          <w:b/>
          <w:bCs/>
          <w:color w:val="auto"/>
          <w:sz w:val="32"/>
          <w:lang w:val="en-US" w:eastAsia="zh-CN"/>
        </w:rPr>
      </w:pPr>
      <w:r>
        <w:rPr>
          <w:rFonts w:hint="eastAsia" w:ascii="Times New Roman" w:hAnsi="Times New Roman" w:eastAsia="仿宋_GB2312" w:cs="Times New Roman"/>
          <w:spacing w:val="0"/>
          <w:kern w:val="2"/>
          <w:sz w:val="32"/>
          <w:szCs w:val="32"/>
          <w:lang w:val="en-US" w:eastAsia="zh-CN" w:bidi="ar-SA"/>
        </w:rPr>
        <w:t>第一，由区人社局牵头建立人才服务机制，为入选者发放“官渡英才”服务卡，具体服务管理办法另行制定。</w:t>
      </w:r>
    </w:p>
    <w:p>
      <w:pPr>
        <w:pStyle w:val="9"/>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第二，建立目标管理和动态管理制度，确定考核范围、制定考核评价细则、制定年度目标、考核步骤、考核兑现、考核结果运用等具体考核程序。</w:t>
      </w:r>
    </w:p>
    <w:p>
      <w:pPr>
        <w:pStyle w:val="9"/>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第三，明确经费保障来源。</w:t>
      </w:r>
    </w:p>
    <w:p>
      <w:pPr>
        <w:pStyle w:val="9"/>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楷体_GB2312" w:hAnsi="楷体_GB2312" w:eastAsia="楷体_GB2312" w:cs="楷体_GB2312"/>
          <w:b/>
          <w:bCs/>
          <w:color w:val="auto"/>
          <w:sz w:val="32"/>
          <w:lang w:val="en-US" w:eastAsia="zh-CN"/>
        </w:rPr>
      </w:pPr>
      <w:r>
        <w:rPr>
          <w:rFonts w:hint="eastAsia" w:ascii="楷体_GB2312" w:hAnsi="楷体_GB2312" w:eastAsia="楷体_GB2312" w:cs="楷体_GB2312"/>
          <w:b/>
          <w:bCs/>
          <w:color w:val="auto"/>
          <w:sz w:val="32"/>
          <w:lang w:val="en-US" w:eastAsia="zh-CN"/>
        </w:rPr>
        <w:t>第六部分附件。</w:t>
      </w:r>
      <w:r>
        <w:rPr>
          <w:rFonts w:hint="eastAsia" w:ascii="Times New Roman" w:hAnsi="Times New Roman" w:eastAsia="仿宋_GB2312" w:cs="Times New Roman"/>
          <w:spacing w:val="0"/>
          <w:kern w:val="2"/>
          <w:sz w:val="32"/>
          <w:szCs w:val="32"/>
          <w:lang w:val="en-US" w:eastAsia="zh-CN" w:bidi="ar-SA"/>
        </w:rPr>
        <w:t>《官渡高层次人才分类认定目录》，结合官渡区“5518”产业链布局和人才需求，制定了国际顶尖人才、国内领军人才、省级杰出人才、市级拔尖人才、青年优秀人才、高层次创新创业团队六个类别，并逐条进行了细化。</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8"/>
          <w:rFonts w:hint="default" w:ascii="Times New Roman" w:hAnsi="Times New Roman" w:eastAsia="黑体" w:cs="Times New Roman"/>
          <w:sz w:val="32"/>
          <w:szCs w:val="32"/>
          <w:lang w:eastAsia="zh-CN"/>
        </w:rPr>
      </w:pPr>
      <w:r>
        <w:rPr>
          <w:rStyle w:val="8"/>
          <w:rFonts w:hint="default" w:ascii="Times New Roman" w:hAnsi="Times New Roman" w:eastAsia="黑体" w:cs="Times New Roman"/>
          <w:sz w:val="32"/>
          <w:szCs w:val="32"/>
          <w:lang w:eastAsia="zh-CN"/>
        </w:rPr>
        <w:t>五、工作保障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1"/>
          <w:szCs w:val="31"/>
          <w:lang w:eastAsia="zh-CN"/>
        </w:rPr>
      </w:pPr>
      <w:r>
        <w:rPr>
          <w:rFonts w:hint="default" w:ascii="Times New Roman" w:hAnsi="Times New Roman" w:eastAsia="楷体_GB2312" w:cs="Times New Roman"/>
          <w:sz w:val="32"/>
          <w:szCs w:val="32"/>
          <w:lang w:eastAsia="zh-CN"/>
        </w:rPr>
        <w:t>（一）纳入目标考核。</w:t>
      </w:r>
      <w:r>
        <w:rPr>
          <w:rFonts w:hint="default" w:ascii="仿宋_GB2312" w:hAnsi="仿宋_GB2312" w:eastAsia="仿宋_GB2312" w:cs="仿宋_GB2312"/>
          <w:color w:val="000000"/>
          <w:sz w:val="31"/>
          <w:szCs w:val="31"/>
          <w:lang w:eastAsia="zh-CN"/>
        </w:rPr>
        <w:t>将人才工作列为落实党建工作和人才工作责任制情况述职评议考核的重要内容。把人才发展主要指标纳入全区经济社会发展综合目标体系。</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rPr>
      </w:pPr>
      <w:r>
        <w:rPr>
          <w:rFonts w:hint="default" w:ascii="Times New Roman" w:hAnsi="Times New Roman" w:eastAsia="楷体_GB2312" w:cs="Times New Roman"/>
          <w:sz w:val="32"/>
          <w:szCs w:val="32"/>
          <w:lang w:eastAsia="zh-CN"/>
        </w:rPr>
        <w:t>（二）强化运行保障。</w:t>
      </w:r>
      <w:r>
        <w:rPr>
          <w:rFonts w:hint="eastAsia" w:ascii="仿宋_GB2312" w:hAnsi="仿宋_GB2312" w:eastAsia="仿宋_GB2312" w:cs="仿宋_GB2312"/>
          <w:color w:val="000000"/>
          <w:sz w:val="31"/>
          <w:szCs w:val="31"/>
          <w:lang w:eastAsia="zh-CN"/>
        </w:rPr>
        <w:t>各区委人才工作领导小组成员单位</w:t>
      </w:r>
      <w:r>
        <w:rPr>
          <w:rFonts w:hint="eastAsia" w:ascii="仿宋_GB2312" w:hAnsi="仿宋_GB2312" w:eastAsia="仿宋_GB2312" w:cs="仿宋_GB2312"/>
          <w:color w:val="000000"/>
          <w:sz w:val="31"/>
          <w:szCs w:val="31"/>
        </w:rPr>
        <w:t>、各街道要把人才发展与中心工作相结合，根据工作实际需求，逐步加大资金投入力度，保障重点人才工程和重大平台建设顺利实施。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z w:val="31"/>
          <w:szCs w:val="31"/>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7348"/>
    <w:rsid w:val="03E82358"/>
    <w:rsid w:val="04641B67"/>
    <w:rsid w:val="06200FEB"/>
    <w:rsid w:val="06626AB2"/>
    <w:rsid w:val="0870019F"/>
    <w:rsid w:val="0C122D7D"/>
    <w:rsid w:val="19BF55DA"/>
    <w:rsid w:val="24226A16"/>
    <w:rsid w:val="27877963"/>
    <w:rsid w:val="2ABB161F"/>
    <w:rsid w:val="3F4322BD"/>
    <w:rsid w:val="421E2040"/>
    <w:rsid w:val="42540701"/>
    <w:rsid w:val="449C6F13"/>
    <w:rsid w:val="48E12122"/>
    <w:rsid w:val="4AB153F0"/>
    <w:rsid w:val="4CD52834"/>
    <w:rsid w:val="50EC7990"/>
    <w:rsid w:val="53527D64"/>
    <w:rsid w:val="54A0175C"/>
    <w:rsid w:val="584D47C6"/>
    <w:rsid w:val="5D920E4C"/>
    <w:rsid w:val="5EF44DF3"/>
    <w:rsid w:val="630237E0"/>
    <w:rsid w:val="63B773C6"/>
    <w:rsid w:val="686317B1"/>
    <w:rsid w:val="689F5E7A"/>
    <w:rsid w:val="69333CF0"/>
    <w:rsid w:val="6BCB6423"/>
    <w:rsid w:val="6E670FEA"/>
    <w:rsid w:val="714D72CA"/>
    <w:rsid w:val="79171905"/>
    <w:rsid w:val="7F08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line="560" w:lineRule="exact"/>
      <w:ind w:firstLine="640" w:firstLineChars="200"/>
      <w:outlineLvl w:val="1"/>
    </w:pPr>
    <w:rPr>
      <w:rFonts w:ascii="Calibri" w:hAnsi="Calibri" w:eastAsia="黑体"/>
      <w:sz w:val="32"/>
      <w:szCs w:val="2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customStyle="1" w:styleId="9">
    <w:name w:val="无间隔1"/>
    <w:unhideWhenUsed/>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2023-03-30T09:32:00Z</dcterms:created>
  <dc:creator>user</dc:creator>
  <cp:lastModifiedBy>說`ィ+ 嚒</cp:lastModifiedBy>
  <dcterms:modified xsi:type="dcterms:W3CDTF">2023-12-06T10:11:33Z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