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168" w:type="dxa"/>
        <w:tblInd w:w="-459" w:type="dxa"/>
        <w:tblLayout w:type="fixed"/>
        <w:tblCellMar>
          <w:top w:w="0" w:type="dxa"/>
          <w:left w:w="108" w:type="dxa"/>
          <w:bottom w:w="0" w:type="dxa"/>
          <w:right w:w="108" w:type="dxa"/>
        </w:tblCellMar>
      </w:tblPr>
      <w:tblGrid>
        <w:gridCol w:w="567"/>
        <w:gridCol w:w="777"/>
        <w:gridCol w:w="1450"/>
        <w:gridCol w:w="1884"/>
        <w:gridCol w:w="756"/>
        <w:gridCol w:w="1155"/>
        <w:gridCol w:w="1170"/>
        <w:gridCol w:w="1155"/>
        <w:gridCol w:w="3986"/>
        <w:gridCol w:w="708"/>
        <w:gridCol w:w="1560"/>
      </w:tblGrid>
      <w:tr>
        <w:tblPrEx>
          <w:tblCellMar>
            <w:top w:w="0" w:type="dxa"/>
            <w:left w:w="108" w:type="dxa"/>
            <w:bottom w:w="0" w:type="dxa"/>
            <w:right w:w="108" w:type="dxa"/>
          </w:tblCellMar>
        </w:tblPrEx>
        <w:trPr>
          <w:trHeight w:val="420" w:hRule="atLeast"/>
          <w:tblHeader/>
        </w:trPr>
        <w:tc>
          <w:tcPr>
            <w:tcW w:w="15168" w:type="dxa"/>
            <w:gridSpan w:val="11"/>
            <w:tcBorders>
              <w:bottom w:val="single" w:color="auto" w:sz="4" w:space="0"/>
            </w:tcBorders>
            <w:shd w:val="clear" w:color="auto" w:fill="auto"/>
            <w:vAlign w:val="center"/>
          </w:tcPr>
          <w:p>
            <w:pPr>
              <w:widowControl/>
              <w:spacing w:line="460" w:lineRule="exact"/>
              <w:jc w:val="center"/>
              <w:rPr>
                <w:rFonts w:hint="eastAsia" w:ascii="方正小标宋_GBK" w:hAnsi="宋体" w:eastAsia="方正小标宋_GBK" w:cs="宋体"/>
                <w:color w:val="000000" w:themeColor="text1"/>
                <w:kern w:val="0"/>
                <w:sz w:val="40"/>
                <w:szCs w:val="40"/>
                <w14:textFill>
                  <w14:solidFill>
                    <w14:schemeClr w14:val="tx1"/>
                  </w14:solidFill>
                </w14:textFill>
              </w:rPr>
            </w:pPr>
            <w:r>
              <w:rPr>
                <w:rFonts w:hint="eastAsia" w:ascii="方正小标宋_GBK" w:hAnsi="宋体" w:eastAsia="方正小标宋_GBK" w:cs="宋体"/>
                <w:color w:val="000000" w:themeColor="text1"/>
                <w:kern w:val="0"/>
                <w:sz w:val="40"/>
                <w:szCs w:val="40"/>
                <w14:textFill>
                  <w14:solidFill>
                    <w14:schemeClr w14:val="tx1"/>
                  </w14:solidFill>
                </w14:textFill>
              </w:rPr>
              <w:t>中国（云南）自由贸易试验区昆明片区官渡区域市场监管领域</w:t>
            </w:r>
          </w:p>
          <w:p>
            <w:pPr>
              <w:widowControl/>
              <w:spacing w:line="4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小标宋_GBK" w:hAnsi="宋体" w:eastAsia="方正小标宋_GBK" w:cs="宋体"/>
                <w:color w:val="000000" w:themeColor="text1"/>
                <w:kern w:val="0"/>
                <w:sz w:val="40"/>
                <w:szCs w:val="40"/>
                <w14:textFill>
                  <w14:solidFill>
                    <w14:schemeClr w14:val="tx1"/>
                  </w14:solidFill>
                </w14:textFill>
              </w:rPr>
              <w:t>随机抽查事项清单（第二版）</w:t>
            </w:r>
            <w:bookmarkStart w:id="0" w:name="_GoBack"/>
            <w:bookmarkEnd w:id="0"/>
          </w:p>
        </w:tc>
      </w:tr>
      <w:tr>
        <w:tblPrEx>
          <w:tblCellMar>
            <w:top w:w="0" w:type="dxa"/>
            <w:left w:w="108" w:type="dxa"/>
            <w:bottom w:w="0" w:type="dxa"/>
            <w:right w:w="108" w:type="dxa"/>
          </w:tblCellMar>
        </w:tblPrEx>
        <w:trPr>
          <w:trHeight w:val="395" w:hRule="atLeast"/>
          <w:tblHead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序号</w:t>
            </w: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部门</w:t>
            </w: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 xml:space="preserve">抽查项目 </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事项类别</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检查对象</w:t>
            </w:r>
          </w:p>
        </w:tc>
        <w:tc>
          <w:tcPr>
            <w:tcW w:w="11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检查方式</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检查主体</w:t>
            </w:r>
          </w:p>
        </w:tc>
        <w:tc>
          <w:tcPr>
            <w:tcW w:w="398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检查依据</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适用区域</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备注</w:t>
            </w:r>
          </w:p>
        </w:tc>
      </w:tr>
      <w:tr>
        <w:tblPrEx>
          <w:tblCellMar>
            <w:top w:w="0" w:type="dxa"/>
            <w:left w:w="108" w:type="dxa"/>
            <w:bottom w:w="0" w:type="dxa"/>
            <w:right w:w="108" w:type="dxa"/>
          </w:tblCellMar>
        </w:tblPrEx>
        <w:trPr>
          <w:trHeight w:val="366" w:hRule="atLeast"/>
          <w:tblHead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抽查类别</w:t>
            </w:r>
          </w:p>
        </w:tc>
        <w:tc>
          <w:tcPr>
            <w:tcW w:w="1884"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抽查事项</w:t>
            </w: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11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398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261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官渡区发展和改革局  （2类2项）  </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固定资产投资项目节能审查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对固定资产投资项目节能审查意见落实情况的监督检查。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项目建设单位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官渡区发展和改革局</w:t>
            </w:r>
          </w:p>
        </w:tc>
        <w:tc>
          <w:tcPr>
            <w:tcW w:w="398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节约能源法》（中华人民共和国主席令第七十七号）第十五条、第六十八条第一款；《固定资产投资项目节能审查办法》（国家发展和改革委员会令第44号）第十二条、第十三条；《企业投资项目事中事后监管办法》（国家发展改革委令2018年第14号）第三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80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工程咨询单位抽查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工程咨询单位备案信息一致性及其他情况。</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工程咨询单位</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 、网络核查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官渡区发展和改革局</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cs="Arial" w:asciiTheme="minorEastAsia" w:hAnsiTheme="minorEastAsia"/>
                <w:color w:val="000000" w:themeColor="text1"/>
                <w:kern w:val="0"/>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《工程咨询行业管理办法》（国家发展改革委令第9号）第二十七条 国家和省级发展改革委应当依照有关法律法规、本办法及有关规定，制定工程咨询单位监督检查计划，按照一定比例开展抽查，并及时公布抽查结果。监督检查内容主要包括：（一）遵守国家法律法规及有关规定的情况；（二）信息备案情况；（三）咨询质量管理制度建立情况；（四）咨询成果质量情况；（五）咨询成果文件档案建立情况；（六）其他应当检查的内容。</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官渡区科信局（1类1项）  </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无线电台（站）设置、使用情况的检查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无线电台（站）设置、使用情况的检查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无线电台（站）使用人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官渡区科信局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《中华人民共和国无线电管理条例》第五十六条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官渡区教育体育局  (2类2项）  </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公示信息检查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区属民办学校、幼儿园检查、评估</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全区民办学校、幼儿园、培训机构、职业中专学校</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现场检查或书面检查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官渡区教育体育局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《中华人民共和国民办教育促进法》第六章 管理与监督第四十一条；《云南省民办教育条例》</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对学校安全工作的检查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学校安全工作的检查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官渡区区属公民办学校、幼儿园</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官渡区教育体育局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《中华人民共和国教育法》第四十五条；《中小学幼儿园安全管理办法》第六条；《云南省学校安全条例》第五条；《昆明市学校安全条例》</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84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官渡区民宗局（1类2项）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清真食品生产经营领域监督检查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《清真食品准营证》规范使用情况、年检情况、注销及变更情况检查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办理了《昆明市清真食品准营证》的市场主体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官渡区民族宗教局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《昆明市清真食品管理条例》第三条、第四条第一款、第九条、第十三条、第十四条、第十五条、第十六条、第十七条。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91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企业、个体经营户、单位自办清真餐厅等经营主体及其生产经营清真食品的合规性检查。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办理了《昆明市清真食品准营证》的市场主体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官渡区民族宗教局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《昆明市清真食品管理条例》第三条、第四条第一款、第九条、第十三条、第十四条、第十五条、第十六条、第十七条。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昆明市公安局官渡分局（13类14项）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涉第一类、第二类、第三类易制毒化学品生产、经营、运输、使用情况检查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易制毒化学品生产、经营、使用、运输的交易情况、出入库登记、台账记录和建立安全管理制度等情况。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第一类、第二类、第三类易制毒化学品生产、经营、使用单位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昆明市公安局官渡分局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《易制毒化学品管理条例》（国务院令第445号）、《易制毒化学品购销和运输管理办法》（中华人民共和国公安部令第87号）</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87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昆明市公安局官渡分局（13类14项）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工业大麻加工种植行业</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对被许可从事工业大麻科学研究种植、繁种种植活动进行监督检查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取得工业大麻科学研究种植和繁种种植许可的单位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昆明市公安局官渡分局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《中华人民共和国行政许可法》（中华人民共和国主席令第7号</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《云南省工业大麻种植加工许可规定》（云南省人民政府令第156号）</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22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互联网上网服务营业场所网络安全检查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互联网上网服务营业场所网络安全检查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现场检查、网络检查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昆明市公安局官渡分局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《互联网上网服务营业场所管理条例》（中华人民共和国公安部、中华人民共和国国家工商行政管理总局令第５９号）第十四条、第十五条、第十六条 、第十八条 、第二十三条、第二十九条、第三十一条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对从事国际联网业务的单位和个人进行监督检查</w:t>
            </w:r>
          </w:p>
        </w:tc>
        <w:tc>
          <w:tcPr>
            <w:tcW w:w="18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联网单位办理备案手续情况；制定、落实网络安全管理制度和操作规程情况；为公安机关依法维护国家安全、防范调查恐怖活动、侦查犯罪提供技术支持和协助情况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自然人,企业法人,事业单位法人,社会团体法人,基金会法人,民办非企业法人,其他组织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现场检查、网络检查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昆明市公安局官渡分局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《中华人民共和国网络安全法》、《计算机信息网络国际联网安全保护管理办法》、《互联网安全保护技术措施规定》、《公安机关互联网安全监督检查规定》</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昆明市公安局官渡分局（13类14项）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信息安全等级保护检查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信息安全等级保护检查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信息系统</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昆明市公安局官渡分局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计算机信息系统安全保护条例》（国务院令第147号，2011年1月8日修订）、《云南省网络与信息系统安全监察管理规定》（云南省人民政府令（第130号）、《公安机关信息安全等级保护检查工作规范》（公信安〔2018〕736号）</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金融机构安全检查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金融机构营业场所和金库安全防范设施建设的检查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金融机构营业场所、金库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昆明市公安局官渡分局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《中华人民共和国公安部令第86号》 </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昆明市公安局官渡分局（13类14项）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对娱乐服务场所的监督检查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开业、变更后是否按规定到公安机关备案；2.法定代表人或者主要负责人履行治安、安全责任情况；3.设施、设备是否符合治安、安全防范有关规定及标准；4.治安、安全防范制度、措施建立和落实情况；5.治安管理信息系统建设和应用情况；6.提供住宿服务项目的场所住宿验证登记情况；7.是否存在违法犯罪情况；8.其他需要检查的事项</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娱乐服务场所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昆明市公安局官渡分局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条例》（中华人民共和国国务院令第458号）、《企业事业单位内部治安保卫条例》（国务院令第421号）、《娱乐场所治安管理办法》（公安部令第103号）、《昆明市特种行业和公共场所治安管理条例》</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昆明市公安局官渡分局（13类14项）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对特种行业的监督检查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开业、变更后是否按规定到公安机关许可、备案;2.法定代表人或者主要负责人履行治安、安全责任情况;3.设施、设备是否符合治安、安全防范有关规定及标准;4.治安、安全防范制度、措施建立和落实情况;5.治安管理信息系统建设和应用情况;6.旅馆业执行住宿登记规定情况；7.是否存在违法犯罪情况;8.其他需要检查的事项</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特种行业经营者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昆明市公安局官渡分局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国务院对确需保留的行政审批项目设定行政许可的决定》（2004年6月29日国务院令第412号,2009年1月29日予以修改）、《旅馆业治安管理办法》（国务院令第588号）、《中华人民共和国治安管理处罚法》、《昆明市特种行业和公共场所治安管理条例》、《云南省旅馆业治安管理实施细则》（2004年7月1日起施行）、《企业事业单位内部治安保卫条例》（国务院令第421号）</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昆明市公安局官渡分局（13类14项）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公务用枪安全管理情况抽查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公务用枪安全管理情况抽查 1.枪支弹药配备情况；2.枪支弹药保管设施情况；3.涉枪人员情况；4.枪支弹药管理制度建立和落实情况；5. 配枪人员教育培训情</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公务用枪单位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昆明市公安局官渡分局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《中华人民共和国枪支管理法》第一章第四条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民用枪支（弹药）配售、配置单位检查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民用枪支配售企业经营管理情况，民用枪支配置使用单位使用枪支情况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民用枪支（弹药）配售、配置企业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昆明市公安局官渡分局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《中华人民共和国枪支管理法》第一章第四条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昆明市公安局官渡分局（13类14项）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对爆破从业单位的监督检查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爆破作业单位储存库的物防要求、技防要求、人防要求、犬防要求、应急处置、安全管理制度及物品流向、爆破作业现场监控等。</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爆破作业单位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昆明市公安局官渡分局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《民用爆炸物品安全管理条例》、《民用爆炸物品储存库治安防范要求》。</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民用爆炸物储存情况，爆破作业单位有关制度执行情况，爆破作业单位作业情况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爆破作业单位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昆明市公安局官渡分局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《民用爆炸物品安全管理条例》、《民用爆炸物品储存库治安防范要求》。</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保安服务公司规范经营检查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1.保安服务公司基本情况;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2.设立分公司和跨省、自治区、直辖市开展保安服务经营活动情况;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3.保安服务合同和监控影像资料、报警记录留存制度落实情况;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4.保安服务中涉及的安全技术防范产品 、设备安装、变更、使用情况;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5.保安服务管理制度、岗位责任制度、保安员管理制度和紧急情况应急预案建立落实情况;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6.从事武装守护押运服务的保安服务公司公务用枪安全管理制度和保管设施建设情况;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7.保安员及其服装、保安服务标志与装备管理情况;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8.保安员在岗培训和权益保障工作落实情况;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9.被投诉举报事项纠正情况;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10.其他需要检查的事项;</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保安服务公司、保安服务公司分公司</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昆明市公安局官渡分局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《保安服务管理条例》第三十六条；《公安机关实施保安服务管理条例办法》第三十五条、第三十七条规定</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昆明市公安局官渡分局（13类14项）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自行招用保安员单位规范经营检查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1.备案情况;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2.监控影像资料;</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3.报警记录留存制度落实情况;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4.保安服务中涉及的安全技术防范产品、设备安装、变更、使用情况;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5.保安服务管理制度、岗位责任制度、保安员管理制度和紧急情况应急预案建立落实情况;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6.自行招用的保安员及其服装、保安服务标志与装备管理情况;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7.保安员在岗培训和权益保障工作落实情况;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8.被投诉举报事项纠正情况;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9.其他需要检查的事项;</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自行招用保安员单位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昆明市公安局官渡分局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《保安服务管理条例》第三十六条；《公安机关实施保安服务管理条例办法》第三十五条、第三十九条规定</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官渡区民政局（2类3项）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社会组织财务审计抽查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相关会计制度执行情况、财务设置情况、财务核算、业务开展活动、财务报表审计。</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社团、民非、基金会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现场抽查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官渡区民政局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民政部关于印发《社会组织抽查暂行办法》的通知（民发【2017】45号）</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官渡区民政局（2类3项）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殡葬事项检查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对墓穴占地面积的监管</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公墓经营单位、建造墓穴的单位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   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官渡区民政局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《殡葬管理条例》第十九条；《云南省殡葬管理条例》第十七条；《云南省公墓管理规定》第十三条；《昆明市殡葬管理条例》第二十三条；《昆明市农村公益性公墓管理办法》第十三条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农村公益性公墓的监管</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农村公益性公墓单位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   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官渡区民政局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殡葬管理条例》第八条、第九条；《公墓管理暂行办法》第三条、第四条、第五条、第九条、第十条、第十三条、第十六条；《云南省殡葬管理条例》第十九条；《云南省公墓管理规定》第三条、第四条、第六条、第八条、第九条、第十条、第十六条；《昆明市殡葬管理条例》第九条、第二十条、第二十五条；《昆明市农村公益性公墓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官渡区司法局（4类项5项）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对基层法律服务工作者的日常执业活动和遵守职业道德、执业纪律的情况检查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1.报告工作情况；2.说明情况；3.提交有关材料。</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区属管理依法设立的基层法律服务所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官渡区司法局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《基层法律服务工作者管理办法》（司法部令第138号）第四十四条。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官渡区司法局（4类项5项）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对律师事务所及其律师的监督检查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对律师事务所及其律师执业活动的日常监督检查。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区属管理依法设立的律师事务所及其执业律师</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以实地检查为主，结合书面检查、网络监测等方式</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官渡区司法局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《中华人民共和国律师法》第四条；《律师执业管理办法》第五十条；《律师事务所管理办法》第六十四条。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对律师事务所及其律师执业活动的专项监督检查。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区属管理依法设立的律师事务所及其执业律师</w:t>
            </w:r>
          </w:p>
        </w:tc>
        <w:tc>
          <w:tcPr>
            <w:tcW w:w="11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官渡区司法局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《中华人民共和国律师法》第四条；《律师执业管理办法》第五十一条、第五十二条；《律师事务所管理办法》第六十五条、第六十五条。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对基层法律服务所的日常执业活动和内部管理工作的检查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1.报告工作情况；2.说明情况；3.提交有关材料。</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区属管理依法设立的基层法律服务所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官渡区司法局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《基层法律服务所管理办法》（司法部令第137号）第三十四条。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官渡区司法局（4类项5项）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对公证机构及其公证员的监督检查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对公证机构及其公证员的日常监督检查。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按设立层级所主管的公证机构及其公证员</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以实地检查为主，结合书面检查、网络监测等方式</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官渡区司法局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《中华人民共和国公证法》第五条；《公证机构执业管理办法》第二十四、三十四条；《公证员执业管理办法》第二十一、二十六条。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官渡区财政局（2类2项）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会计信息质量检查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会计准则会计制度</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会计核算办法</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财务准则</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财务制度</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财务管理办法</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国家机关</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事业单位</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社会团体</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公司</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企业和其他组织等会计主体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官渡区财政局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《中华人民共和国会计法》；</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《财政部门实施会计监督办法》；</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《财政检查工作办法》；</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《财政监督检查案件移送办法》；</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《财政部门监督办法》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官渡区财政局（2类2项）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政府采购代理机构检查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进口核准、方式变更、信息公告、中标成交、保证金、合同管理、质疑答复等内容。</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代理官渡区政府采购项目的代理机构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官渡区财政局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《中华人民共和国政府采购法》第五十九条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对用人单位招用人员提供虚假招聘信息，发布虚假招聘广告的检查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一）提供虚假招聘信息，发布虚假招聘广告”。</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对用人单位以招用人员为名牟取不正当利益或进行其他违法活动的检查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六）以招用人员为名牟取不正当利益或进行其他违法活动。”</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对用人单位招用人员在国家法律、行政法规和国务院卫生行政部门规定禁止乙肝病原携带者从事的工作岗位之外，将乙肝病毒血清学指标作为体检标准的检查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2014年12月23日人力资源和社会保障部令第23号）第十九条第二款：“用人单位招用人员，除国家法律、行政法规和国务院卫生行政部门规定禁止乙肝病原携带者从事的工作外，不得强行将乙肝病毒血清学指标作为体检标准。”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对用人单位不按规定报告空缺岗位，或者招用人员后，不到劳动保障等行政管理部门进行录用登记的检查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二）不按规定报告空缺岗位，或者招用人员后，不到劳动保障等行政管理部门进行录用登记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对用人单位不能向招用人员提供工作岗位的检查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监察条例》（1998年11月27日云南省第九届人民代表大会常务委员会第六次会议通过）第二十四条：“用人单位有下列行为之一的，责令限期改正，对用人单位处以200元以上1000元以下的罚款；对法定代表人和直接责任人处以100元以上500元以下的罚款：（三）不能向招用人员提供工作岗位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对以招用人员或者职业培训为名欺诈劳动者的检查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《云南省劳动就业条例》(2010年5月28日云南省第十一届人民代表大会常务委员会公告第24号公布 自公布之日起施行的《云南省人民代表大会常务委员会关于修改部分地方性法规的决定》修正）)第二十六条：“以招用人员或者职业培训为名欺诈劳动者的，由劳动保障部门责令改正，没收违法所得，对单位或者直接责任人处5000元以上5万元以下的罚款（其中，以职业培训欺诈劳动者情节严重的，吊销办学许可证）造成损害的，承担民事赔偿责任。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对用人单位未及时为劳动者办理就业登记手续的检查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2014年12月23日人力资源和社会保障部令第23号）第六十二条：“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第七十五条：“用人单位违反本规定第六十二条规定，未及时为劳动者办理就业登记手续的，由劳动保障行政部门责令改正，并可处以一千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对用人单位以担保或其他名义向劳动者收取财物的检查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劳动合同法》（2007年6月29日第十届全国人民代表大会常务委员会第二十八次会议通过，2007年6月29日中华人民共和国主席令第65号公布，2012年12月28日根据全《国人民代表大会常务委员会关于修改&lt;中华人民共和国劳动合同法&gt;的决定》修订）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对劳动者依法解除或终止劳动合同，用人单位扣押劳动者档案或其他物品的检查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《中华人民共和国劳动合同法》（2007年6月29日第十届全国人民代表大会常务委员会第二十八次会议通过  2007年6月29日中华人民共和国主席令第65号公布  2012年12月28日根据全《国人民代表大会常务委员会关于修改&lt;中华人民共和国劳动合同法&gt;的决定》修订）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劳动者依法解除或者终止劳动合同，用人单位扣押劳动者档案或者其他物品的，依照前款规定处罚。”</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对用人单位违反劳动合同法有关建立职工名册规定的检查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劳动合同法实施条例》（国务院令第535号）第三十三条：“用人单位违反劳动合同法有关建立职工名册规定的，由劳动行政部门责令限期改正；逾期不改正的，由劳动行政部门处2000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对用人单位招用人员未按规定订立劳动合同或者订立法定条款不完备劳动合同的检查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《云南省劳动监察条例》（1998年11月27日云南省第九届人民代表大会常务委员会第六次会议通过） 第二十二条：用人单位招用人员未按规定订立劳动合同或者订立法定条款不完备劳动合同的，责令限期改正，逾期不改的，对用人单位按每招用一人处以50元的罚款，并对法定代表人处以200元的罚款。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对用人单位未依法订立劳动合同的检查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职工劳动权益保障条例》（2005年3月25日云南省第十届人民代表大会常务委员会第15次会议通过）第三十九条：“用人单位违反本条例第九条第一款、第二款规定不与职工订立、无故拖延订立书面劳动人事合同，或者订立的劳动人事合同法定条款不完备的，由劳动保障行政部门或者人事行政部门责令用人单位在30日内改正；逾期不改的，处以2000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对不按规定签订集体合同的检查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《云南省劳动监察条例》（1998年11月27日云南省第九届人民代表大会常务委员会第六次会议通过）第二十二条：不按规定签订集体合同的，处以用人单位1000元的罚款。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对用人单位不执行集体合同约定的劳动标准或其他事项的检查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二）不执行集体合同约定的劳动标准或者其他事项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对用人单位不当变更或解除职工一方代表的劳动合同的的检查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四）不当变更或者解除职工一方代表的劳动合同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对职工方或者上级工会提出协商要求后，企业拒绝开展工资集体协商或者拖延答复的检查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《云南省企业工资集体协商条例》（2012年3月31日云南省第十一届人民代表大会常务委员会第三十次会议通过） 第三十九条企业违反本条例规定，有下列情形之一的，由人力资源和社会保障行政部门责令改正，并处5000元以上2万元以下罚款；引发群体性事件，造成严重后果的，由有关部门依法追究相关责任人责任：（一）职工方或者上级工会提出协商要求后，拒绝开展工资集体协商或者拖延答复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对企业不向协商代表提供开展工资集体协商所必需的工作条件和工作时间的检查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三）不向协商代表提供开展工资集体协商所必需的工作条件和工作时间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对企业不履行工资专项集体合同的检查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四）不履行工资专项集体合同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对无正当理由拒绝进行工资集体协商等平等协商签订集体合同的检查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《云南省企业工会条例》(2010年11月26日云南省第十一届人民代表大会常务委员会第二十次会议通过）第三十七条 企业有下列情形之一的，由县级以上人民政府及其人力资源和社会保障行政部门责令改正；拒不改正的，处5000元以上2万元以下罚款；造成严重后果的，依法追究责任：（四）无正当理由拒绝进行工资集体协商等平等协商签订集体合同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对无正当理由解除企业工会筹建发起人劳动关系或者调整其工作岗位、降低工资待遇的检查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二）无正当理由解除企业工会筹建发起人劳动关系或者调整其工作岗位、降低工资待遇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对企业法定代表人、主要负责人拒绝与上级工会就建立企业工会进行协商的检查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个人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三）企业法定代表人、主要负责人拒绝与上级工会就建立企业工会进行协商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对妨碍企业工会组织职工通过职工代表大会和其他形式行使民主权利的检查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企业工会条例》（2010年11月26日经云南省第十一届人民代表大会常务委员会第二十次会议审议通过）第三十七条：企业有下列情形之一的，由县级以上人民政府及其人力资源和社会保障行政部门责令改正；拒不改正的，处5000元以上2万元以下罚款；造成严重后果的，依法追究责任：（二）妨碍企业工会组织职工通过职工代表大会和其他形式行使民主权利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对阻挠工会依法行使监督权的检查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企业工会条例》（2010年11月26日经云南省第十一届人民代表大会常务委员会第二十次会议审议通过）第三十七条：企业有下列情形之一的，由县级以上人民政府及其人力资源和社会保障行政部门责令改正；拒不改正的，处5000元以上2万元以下罚款；造成严重后果的，依法追究责任：（三）阻挠工会依法行使监督权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对用人单位以下行为的检查：（1）提供的劳动合同文本是否载明《中华人民共和国劳动合同法》规定的劳动合同必备条款；</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（2）是否将劳动合同文本交付劳动者；</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（3）是否违反《中华人民共和国劳动合同法》规定约定试用期；</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（4）是否违反《中华人民共和国劳动合同法》规定，扣押劳动者居民身份证等证件。</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《中华人民共和国劳动合同法》第81条、第83条、第84条第1款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劳动合同及招用工管理</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用人单位是否按照《中华人民共和国劳动法》的规定的条件解除劳动合同或者故意拖延不订立劳动合同</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《中华人民共和国劳动法》第98条；《劳动保障监察条例》第24条;《云南省劳动监察条例》第22条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规章制度</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对用人单位直接涉及劳动者切身利益的规章制度违反法律、法规规定的检查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劳动合同法》（2007年6月29日第十届全国人民代表大会常务委员会第二十八次会议通过，2007年6月29日中华人民共和国主席令第65号公布，2012年12月28日根据全《国人民代表大会常务委员会关于修改&lt;中华人民共和国劳动合同法&gt;的决定》修订）第八十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用人单位制定的内部管理劳动规章制度是否违反法律、法规</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《中华人民共和国劳动法》第89条；《中华人民共和国劳动合同法》第80条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妨碍行政执法</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对用人单位不提供或不如实提供签订或履行集体合同所需真实情况和资料的检查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集体合同条例》（2001年9月20日云南省第九届人民代表大会常务委员会第二十四次会议通过）第二十六条：“企业违反本条例规定，有下列情形之一的，由劳动保障行政部门责令限期改正，逾期不改的，处二千元以上一万元以下罚款；对直接负责的主管人员和其他直接责任人员处一千元以上五千元以下的罚款：（三）不提供或者不如实提供签订或者履行集体合同所需真实情况和资料的。”</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妨碍行政执法</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对企业不提供与工资集体协商有关信息资料或者提供虚假信息资料的检查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企业工资集体协商条例》（2012年3月31日云南省第十一届人民代表大会常务委员会第三十次会议通过）第三十九条企业违反本条例规定，有下列情形之一的，由人力资源和社会保障行政部门责令改正，并处5000元以上2万元以下罚款；引发群体性事件，造成严重后果的，由有关部门依法追究相关责任人责任：（二）不提供与工资集体协商有关信息资料或者提供虚假信息资料的。</w:t>
            </w:r>
          </w:p>
        </w:tc>
        <w:tc>
          <w:tcPr>
            <w:tcW w:w="708"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妨碍行政执法</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对建设单位或者非建设领域用人单位拒不执行限期责令改正决定或者拒不履行增存工资保证金处理决定的检查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农民工工资支付保障规定》（云南省人民政府令第166号）第二十二条：建设单位或者非建设领域用人单位违反本规定，未在规定期限内向农民工工资保证金账户存入、补足农民工工资保证金的，由人力资源社会保障部门责令限期改正；逾期未改正的，责令其增存1%工程款或者1个月工资总额的农民工工资保证金；拒不改正或者拒不履行增存工资保证金处理决定的，依照《劳动保障监察条例》第三十条规定予以处罚。</w:t>
            </w:r>
          </w:p>
        </w:tc>
        <w:tc>
          <w:tcPr>
            <w:tcW w:w="708"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对用人单位无理抗拒、阻挠劳动保障行政部门实施劳动保障监察的检查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保障监察条例》（国务院令第423号）第三十条：“有下列行为之一的，由劳动保障行政部门责令改正；对有第（一）项、第（二）项或者第（三）项规定的行为的，处2000元以上2万元以下的罚款：（一）无理抗拒、阻挠劳动保障行政部门依照本条例的规定实施劳动保障监察的。”</w:t>
            </w:r>
          </w:p>
        </w:tc>
        <w:tc>
          <w:tcPr>
            <w:tcW w:w="708"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妨碍行政执法</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对用人单位不按照劳动保障行政部门的要求报送书面材料，隐瞒事实真相，出具伪证或隐匿、毁灭证据的检查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保障监察条例》（国务院令第423号）第三十条：“有下列行为之一的，由劳动保障行政部门责令改正；对有第（一）项、第（二）项或者第（三）项规定的行为的，处2000元以上2万元以下的罚款：（二）不按照劳动保障行政部门的要求报送书面材料，隐瞒事实真相，出具伪证或者隐匿、毁灭证据的。” </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对用人单位经劳动保障行政部门责令改正拒不改正，或拒不履行劳动保障行政部门的行政处理决定的检查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劳动保障监察条例》（国务院令第423号）第三十条：“有下列行为之一的，由劳动保障行政部门责令改正；对有第（一）项、第（二）项或者第（三）项规定的行为的，处2000元以上2万元以下的罚款：（三）经劳动保障行政部门责令改正拒不改正，或者拒不履行劳动保障行政部门的行政处理决定的。” </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妨碍行政执法</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对用人单位不按规定参加劳动执法年审的检查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监察条例》（1998年11月27日云南省第九届人民代表大会常务委员会第六次会议通过）第二十九条：“用人单位有下列（一）（二）项行为之一的，责令改正，并可处以500元以上5000元以下的罚款；情节严重构成犯罪的，依法追究责任人的刑事责任：（二）不按规定参加劳动执法年审的。” </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逾期不执行劳动监察询问通知书的检查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《云南省劳动监察条例》（1998年11月27日云南省第九届人民代表大会常务委员会第六次会议通过）第二十九条 用人单位有下列（一）（二）项行为之一的，责令改正，并可处以500元以上5000元以下的罚款；情节严重构成犯罪的，依法追究责任人的刑事责任：（一）逾期不执行劳动保障行政部门下达的劳动监察询问通知书和责令整改指令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妨碍行政执法</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对用人单位打击报复举报人、控告人、证人和劳动监察人员的检查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监察条例》（1998年11月27日云南省第九届人民代表大会常务委员会第六次会议通过）第二十九条：“用人单位有下列（三）至（五）项行为之一的，并可处1000元以上10000元以下的罚款；情节严重构成犯罪的，依法追究责任人的刑事责任：（五）打击报复举报人、控告人、证人和劳动监察人员的。”</w:t>
            </w:r>
          </w:p>
        </w:tc>
        <w:tc>
          <w:tcPr>
            <w:tcW w:w="708"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工时休假</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对违反法律、法规规定或者未经劳动者同意，安排劳动者延长工作时间的的检查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监察条例》（1998年11月27日云南省第九届人民代表大会常务委员会第六次会议通过）第二十六条：除法律、法规规定的特殊情况外，用人单位违反工作时间和休息休假制度规定的，责令改正并按有关规定给予劳动者经济补偿。拒不改正的，处以罚款：（一）违反法律、法规规定或者未经劳动者同意，安排劳动者延长工作时间的，按每人超出工作时间一小时处以10元以上50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工时休假</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对用人单位不能依法保证劳动者休息休假（包括少数民族节假日）或未报经劳动保障部门批准实行其他工作制度和休息办法的检查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监察条例》（1998年11月27日云南省第九届人民代表大会常务委员会第六次会议通过）第二十六条：除法律、法规规定的特殊情况外，用人单位违反工作时间和休息休假制度规定的，责令改正并按有关规定给予劳动者经济补偿。拒不改正的，处以罚款：（二）不能依法保证劳动者休息休假（包括少数民族节假日）或者未报经劳动保障部门批准实行其他工作制度和休息办法的，处以1000元以上3000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对用人单位实行不定时工作制和综合计算工作制情况的检查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eastAsia="zh-CN"/>
                <w14:textFill>
                  <w14:solidFill>
                    <w14:schemeClr w14:val="tx1"/>
                  </w14:solidFill>
                </w14:textFill>
              </w:rPr>
              <w:t>《中华人民共和国劳动法》</w:t>
            </w:r>
            <w:r>
              <w:rPr>
                <w:rFonts w:hint="eastAsia"/>
                <w:color w:val="000000" w:themeColor="text1"/>
                <w:sz w:val="20"/>
                <w:szCs w:val="20"/>
                <w14:textFill>
                  <w14:solidFill>
                    <w14:schemeClr w14:val="tx1"/>
                  </w14:solidFill>
                </w14:textFill>
              </w:rPr>
              <w:t>第三十九条；《关于企业实行不定时工作制和综合计算工时工作制的审批办法》（劳部发〔1994〕503号）</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工时休假</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用人单位是否依法安排职工休年休假或对不休假职工支付年休假工资报酬、赔偿金</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《职工带薪年休假条例》第7条</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女职工特殊劳动保护</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对用人单位安排女职工从事矿山井下劳动、国家规定的第四级体力劳动强度的劳动或其他禁忌从事劳动的检查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保障监察条例》（国务院令第423号）第二十三条：“用人单位有下列行为之一的，由劳动保障行政部门责令改正，按照受侵害的劳动者每人1000元以上5000元以下的标准计算，处以罚款：（一）安排女职工从事矿山井下劳动、国家规定的第四级体力劳动强度的劳动或者其他禁忌从事的劳动的；”</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对用人单位安排女职工在经期从事高处、低温、冷水作业或国家规定的第三级体力劳动强度劳动的检查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保障监察条例》（国务院令第423号）第二十三条：“用人单位有下列行为之一的，由劳动保障行政部门责令改正，按照受侵害的劳动者每人1000元以上5000元以下的标准计算，处以罚款：（二）安排女职工在经期从事高处、低温、冷水作业或者国家规定的第三级体力劳动强度的劳动的”。</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女职工特殊劳动保护</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对用人单位安排女职工在孕期从事国家规定的第三级体力劳动强度的劳动或孕期禁忌从事劳动的检查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保障监察条例》（国务院令第423号）第二十三条：“用人单位有下列行为之一的，由劳动保障行政部门责令改正，按照受侵害的劳动者每人1000元以上5000元以下的标准计算，处以罚款：（三）安排女职工在怀孕期间从事国家规定的第三级体力劳动强度的劳动或者孕期禁忌从事的劳动的”。</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对用人单位安排女职工在哺乳未满１周岁婴儿期间从事国家规定的第三级体力劳动强度或哺乳期禁忌从事的其他劳动，以及延长其工作时间或安排夜班劳动的检查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劳动保障监察条例》（国务院令第423号）第二十三条：“用人单位有下列行为之一的，由劳动保障行政部门责令改正，按照受侵害的劳动者每人1000元以上5000元以下的标准计算，处以罚款：（六）安排女职工在哺乳未满１周岁的婴儿期间从事国家规定的第三级体力劳动强度的劳动或者哺乳期禁忌从事的其他劳动，以及延长其工作时间或者安排其夜班劳动的。” </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女职工特殊劳动保护</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对用人单位违反女职工劳动保护特别规定的检查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女职工劳动保护特别规定》（国务院令第619号）第十三条：用人单位违反本规定第六条第二款、第七条、第九条第一款规定的，由县级以上人民政府人力资源社会保障行政部门责令限期改正，按照受侵害女职工每人1000元以上5000元以下的标准计算，处以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对用人单位安排怀孕7个月以上的女职工夜班劳动或延长其工作时间的检查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保障监察条例》（国务院令第423号）第二十三条：“用人单位有下列行为之一的，由劳动保障行政部门责令改正，按照受侵害的劳动者每人1000元以上5000元以下的标准计算，处以罚款：（四）安排怀孕7个月以上的女职工夜班劳动或者延长其工作时间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对用人单位给女职工生育享受产假少于90天的检查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保障监察条例》（国务院令第423号）第二十三条：“用人单位有下列行为之一的，由劳动保障行政部门责令改正，按照受侵害的劳动者每人1000元以上5000元以下的标准计算，处以罚款：（五）女职工生育享受产假少于90天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禁止使用童工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对用人单位使用童工的检查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禁止使用童工规定》（国务院令第364号）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 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禁止使用童工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对单位、个人或者职业中介机构为不满16周岁的未成年人介绍就业的检查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禁止使用童工规定》（国务院令第364号）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对用人单位未按照禁止使用童工规定保存录用登记材料，或者伪造录用登记材料的检查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《禁止使用童工规定》（国务院令第364号）第八条：用人单位未按照本规定第四条的规定保存录用登记材料，或者伪造录用登记材料的，由劳动保障行政部门处1万元的罚款。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对无营业执照、被依法吊销营业执照的单位以及未依法登记、备案的单位使用童工或者介绍童工就业的检查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禁止使用童工规定》（国务院令第364号）第九条：无营业执照、被依法吊销营业执照的单位以及未依法登记、备案的单位使用童工或者介绍童工就业的，依照本规定第六条、第七条、第八条规定的标准加一倍罚款，该非法单位由有关的行政主管部门予以取缔。</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禁止使用童工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对用人单位以下行为的检查：（1）是否在使用有毒物品作业场所使用童工；</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（2）是否存在使用童工经劳动保障部门责令限期改正后逾期不将童工送交其父母或者其他监护人的情形；</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（3）无营业执照、被依法吊销营业执照的单位以及未依法登记、备案的单位是否使用童工；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《禁止使用童工规定》第6条、第9条</w:t>
            </w:r>
          </w:p>
        </w:tc>
        <w:tc>
          <w:tcPr>
            <w:tcW w:w="708"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未成年工特殊劳动保护</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对用人单位安排未成年工从事矿山井下、有毒有害、国家规定的第四级体力劳动强度的劳动或其他禁忌从事劳动的检查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保障监察条例》（国务院令第423号）第二十三条：“用人单位有下列行为之一的，由劳动保障行政部门责令改正，按照受侵害的劳动者每人1000元以上5000元以下的标准计算，处以罚款：（七）安排未成年工从事矿山井下、有毒有害、国家规定的第四级体力劳动强度的劳动或者其他禁忌从事的劳动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对用人单位未对未成年工定期进行健康检查的检查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保障监察条例》（国务院令第423号）第二十三条：“用人单位有下列行为之一的，由劳动保障行政部门责令改正，按照受侵害的劳动者每人1000元以上5000元以下的标准计算，处以罚款：（八）未对未成年工定期进行健康检查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特殊劳动保护</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对用人单位违反国家规定，侵害女职工和未成年工、残疾职工合法权益的检查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《云南省劳动监察条例》（1998年11月27日云南省第九届人民代表大会常务委员会第六次会议通过）第二十八条 用人单位违反国家规定，侵害女职工和未成年工、残疾职工合法权益的，责令限期改正，并按每侵害一名职工处以1000元以上3000元以下罚款。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对未按规定从缴费个人工资中代扣代缴社会保险费的检查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费征缴监督检查办法》（1999年3月19日劳动和社会保障部令第3号）第十四条：对缴费单位有下列行为之一的，应当给予警告，并可以处以5000元以下的罚款：(二)未按规定从缴费个人工资中代扣代缴社会保险费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对未按规定向职工公布本单位社会保险费缴纳情况的检查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《社会保险费征缴监督检查办法》（1999年3月19日劳动和社会保障部令第3号）》第十四条 对缴费单位有下列行为之一的，应当给予警告，并可以处以5000元以下的罚款：(三)未按规定向职工公布本单位社会保险费缴纳情况的。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对用人单位不依法参加失业保险、不按规定出具解除或终止劳动、人事关系证明、不向职工公布失业保险费缴纳情况的检查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失业保险条例》（2006年3月31日云南省第十届人民代表大会常务委员会第二十一次会议通过）第三十八条：“用人单位不依法参加失业保险、不按规定出具解除或者终止劳动、人事关系证明、不向职工公布失业保险费缴纳情况的，由劳动保障行政部门责令限期改正；逾期不改正的，对直接负责的主管人员和其他直接责任人员处以1000元以上5000元以下的罚款，对单位处以2000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对用人单位依照法律法规规定应当参加工伤保险而未参加的检查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伤保险条例》（国务院令第375号）第六十二条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对用人单位拒不协助社会保险行政部门对事故进行调查核实的检查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《工伤保险条例》（国务院令第375号）第六十三条：用人单位违反本条例第十九条的规定，拒不协助社会保险行政部门对事故进行调查核实的，由社会保险行政部门责令改正，处2000元以上2万元以下的罚款。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对社会保险经办机构以及医疗机构、药品经营单位等社会保险服务机构以欺诈、伪造证明材料或者其他手段骗取社会保险基金支出的检查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社会保险经办机构以及医疗机构、药品经营单位等社会保险服务机构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对以欺诈、伪造证明材料或者其他手段骗取社会保险待遇的检查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用人单位、个人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《中华人民共和国社会保险法》第八十八条：以欺诈、伪造证明材料或者其他手段骗取社会保险待遇的，由社会保险行政部门责令退回骗取的社会保险金，处骗取金额二倍以上五倍以下的罚款。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对骗取社会保险待遇或者骗取社会保险基金支出的检查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用人单位、个人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保障监察条例》（国务院令第423号）第二十七条：“用人单位向社会保险经办机构申报应缴纳的社会保险费数额时，瞒报工资总额或者职工人数的，由劳动保障行政部门责令改正，并处瞒报工资数额1倍以上3倍以下的罚款。骗取社会保险待遇或者骗取社会保险基金支出的，由劳动保障行政部门责令退还，并处骗取金额1倍以上3倍以下的罚款；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对用人单位、工伤职工或者其近亲属骗取工伤保险待遇，医疗机构、辅助器具配置机构骗取工伤保险基金支出的检查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用人单位、个人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伤保险条例》（国务院令第375号）第六十条：用人单位、工伤职工或者其近亲属骗取工伤保险待遇，医疗机构、辅助器具配置机构骗取工伤保险基金支出的，由社会保险行政部门责令退还，处骗取金额2倍以上5倍以下的罚款；情节严重，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对用人单位侵占、挪用、拖欠、虚报、冒领职工基本养老保险金的检查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企业职工基本养老保险条例》（1998年11月27日云南省第九届人民代表大会常务委员会第六次会议通过）第二十六条：“用人单位侵占、挪用、拖欠、虚报、冒领职工基本养老保险金的，由劳动和社会保障行政部门负责追缴。情节严重的，可以按其侵占、挪用、拖欠、虚报、冒领的资金数额处以一倍以上三倍以下的罚款。对直接责任人可处以1000元以上5000元以下罚款，并由其所在单位或上级主管部门给予行政处分；构成犯罪的，依法追究刑事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对不符合享受失业保险待遇条件，骗取失业保险金和其他失业保险待遇的检查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失业保险条例》（国务院令第258号）第二十八条：不符合享受失业保险待遇条件，骗取失业保险金和其他失业保险待遇的，由社会保险经办机构责令退还；情节严重的，由劳动保障行政部门处骗取金额1倍以上3倍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对用人单位遵守社会保险法律、法规情况进行监督检查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法》（2010年10月28日中华人民共和国主席令第35号公布）第七十七条：县级以上人民政府社会保险行政部门应当加强对用人单位和个人遵守社会保险法律、法规情况的监督检查。社会保险行政部门实施监督检查时，被检查的用人单位和个人应当如实提供与社会保险有关的资料，不得拒绝检查或者谎报、瞒报。</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对养老保险、工伤保险参保和个人领取待遇情况稽核</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用人单位、个人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费征缴暂行条例》第二十条：“社会保险经办机构受劳动保障行政部门的委托，可以进行与社会保险费征缴有关的检查、调查工作。”；《云南省社会保险费征缴条例》（2006年9月28日云南省第十届人民代表大会常务委员会第二十四次会议通过）第七条第二款：“劳动保障行政部门所属的社会保险经办机构负责......社会保险登记、缴费申报受理、征收基数核定和稽核工作；负责社会保险基金核算、个人账户管理和社会保险金发放工作；负责及时将社会保险费征收计划和清欠计划提交地方税务机关；协助地方税务机关开展社会保险费征缴的执法检查和清欠工作。”；《社会保险稽核办法》（2003年2月27日劳动和社会保障部令第16号发布）第三条第一款：“县级以上社会保险经办机构负责社会保险稽核工作”；第二条：“本办法所称稽核是指社会保险经办机构依法对社会保险费缴纳情况和社会保险待遇领取情况的核查。”</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用人单位是否办理社会保险登记。</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社会保险法第84条。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缴费单位是否在社会保险登记事项发生变更或者缴费单位依法终止后按规定到社保经办机构办理社会保险变更登记或者社会保险注销登记。</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《社会保险费征缴暂行条例》第23条（社会保险费征缴监督检查办法第12条）。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缴费单位是否存在伪造变造社会保险登记证的情形。</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《社会保险费征缴监督检查办法》第14条。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用人单位是否存在向社会保险经办机构申报应缴纳的社会保险费数额时，瞒报工资总额或者职工人数。</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《劳动保障监察条例》第27条第1款。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缴费单位是否按规定公布本单位社会保险费缴纳情况。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《社会保险费征缴暂行条例》第17条（《社会保险费征缴监督检查办法》第14条）。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劳动保障</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对用人单位遵守劳动保障法律、法规情况进行监督检查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eastAsia="zh-CN"/>
                <w14:textFill>
                  <w14:solidFill>
                    <w14:schemeClr w14:val="tx1"/>
                  </w14:solidFill>
                </w14:textFill>
              </w:rPr>
              <w:t>《中华人民共和国劳动法》</w:t>
            </w:r>
            <w:r>
              <w:rPr>
                <w:rFonts w:hint="eastAsia"/>
                <w:color w:val="000000" w:themeColor="text1"/>
                <w:sz w:val="20"/>
                <w:szCs w:val="20"/>
                <w14:textFill>
                  <w14:solidFill>
                    <w14:schemeClr w14:val="tx1"/>
                  </w14:solidFill>
                </w14:textFill>
              </w:rPr>
              <w:t>第八十五条：“县级以上各级人民政府劳动行政部门依法对用人单位遵守劳动法律、法规的情况进行监督检查，对违反劳动法律、法规的行为有权制止，并责令改正。”</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工资支付和最低工资</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用人单位是否有下列行为之一：未按照劳动合同的约定或者国家规定及时足额支付劳动报酬；低于当地最低工资标准支付劳动者工资；安排加班不支付加班费</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《中华人民共和国劳动合同法》第85条、《劳动保障监察条例》第26条；《云南省劳动监察条例》第27条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工资支付和最低工资</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用人单位是否依照《中华人民共和国劳动合同法》的规定向劳动者每月支付两倍的工资或者赔偿金</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《中华人民共和国劳动合同法》第85条、《劳动保障监察条例》第26条；《云南省劳动监察条例》第27条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非建设领域用人单位是否拖欠或者克扣农民工工资</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《中华人民共和国劳动合同法》第82、87条、《《中华人民共和国劳动合同法》实施条例》第34条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建设单位或者非建设领域用人单位是否在规定期限内交存、补足农民工工资保证金</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企业、社会团体、民办非企业、基金会、律师事务所、会计师事务所等组织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《云南省农民工工资支付保障规定》第12条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民办职业培训机构</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是否存在超标超前培训，严禁非学科类培训机构从事学科类培训，严禁提供境外教育课程；</w:t>
            </w:r>
          </w:p>
        </w:tc>
        <w:tc>
          <w:tcPr>
            <w:tcW w:w="756"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民办职业培训机构</w:t>
            </w:r>
          </w:p>
        </w:tc>
        <w:tc>
          <w:tcPr>
            <w:tcW w:w="117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w:t>
            </w:r>
          </w:p>
        </w:tc>
        <w:tc>
          <w:tcPr>
            <w:tcW w:w="3986" w:type="dxa"/>
            <w:vMerge w:val="restart"/>
            <w:tcBorders>
              <w:top w:val="single" w:color="auto" w:sz="4" w:space="0"/>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《中华人民共和国民办教育促进法》</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《云南省民办职业培训学校管理办法》</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依法依规坚决查处超范围培训、培训质量良莠不齐、内容低俗违法、盗版侵权等突出问题；</w:t>
            </w:r>
          </w:p>
        </w:tc>
        <w:tc>
          <w:tcPr>
            <w:tcW w:w="756"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55"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70"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55"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3986"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是否严格执行未成年保护有关规定，学科类校外培训机构是否占用国家法定节假日、休息日及寒暑假组织学科类培训；</w:t>
            </w:r>
          </w:p>
        </w:tc>
        <w:tc>
          <w:tcPr>
            <w:tcW w:w="756"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55"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7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55"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3986"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民办职业培训机构</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培训机构是否存在高薪挖强学校教师；从事培训的人员是否具备相应教师资格，并将教师资格信息在培训机构场所及网站显著位置公布；</w:t>
            </w:r>
          </w:p>
        </w:tc>
        <w:tc>
          <w:tcPr>
            <w:tcW w:w="756"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民办职业培训机构</w:t>
            </w:r>
          </w:p>
        </w:tc>
        <w:tc>
          <w:tcPr>
            <w:tcW w:w="117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w:t>
            </w:r>
          </w:p>
        </w:tc>
        <w:tc>
          <w:tcPr>
            <w:tcW w:w="3986" w:type="dxa"/>
            <w:vMerge w:val="restart"/>
            <w:tcBorders>
              <w:top w:val="single" w:color="auto" w:sz="4" w:space="0"/>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《中华人民共和国民办教育促进法》</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《云南省民办职业培训学校管理办法》</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培训机构是否泄漏参训人员个人信息；</w:t>
            </w:r>
          </w:p>
        </w:tc>
        <w:tc>
          <w:tcPr>
            <w:tcW w:w="756"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55"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7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55"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3986"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民办职业培训机构</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培训机构是否根据市场需求、培训成本等因素确定培训机构收费项目和标准，并向社会公示、接受监督；</w:t>
            </w:r>
          </w:p>
        </w:tc>
        <w:tc>
          <w:tcPr>
            <w:tcW w:w="756"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民办职业培训机构</w:t>
            </w:r>
          </w:p>
        </w:tc>
        <w:tc>
          <w:tcPr>
            <w:tcW w:w="117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w:t>
            </w:r>
          </w:p>
        </w:tc>
        <w:tc>
          <w:tcPr>
            <w:tcW w:w="3986" w:type="dxa"/>
            <w:vMerge w:val="restart"/>
            <w:tcBorders>
              <w:top w:val="single" w:color="auto" w:sz="4" w:space="0"/>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《中华人民共和国民办教育促进法》</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《云南省民办职业培训学校管理办法》</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是否存在不按规定明码标价、预收超过三个月培训费或书本费、利用不公平格式条款侵害消费者权益；</w:t>
            </w:r>
          </w:p>
        </w:tc>
        <w:tc>
          <w:tcPr>
            <w:tcW w:w="756"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55"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70"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55"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3986"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是否存在利用虚假宣传或虚假广告侵害消费者权益的行为；</w:t>
            </w:r>
          </w:p>
        </w:tc>
        <w:tc>
          <w:tcPr>
            <w:tcW w:w="756"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55"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7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55"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3986"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民办职业培训机构</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是否存在不具备消防、安全以及卫生防疫条件擅自办学或其他重大安全隐患；</w:t>
            </w:r>
          </w:p>
        </w:tc>
        <w:tc>
          <w:tcPr>
            <w:tcW w:w="756"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民办职业培训机构</w:t>
            </w:r>
          </w:p>
        </w:tc>
        <w:tc>
          <w:tcPr>
            <w:tcW w:w="117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w:t>
            </w:r>
          </w:p>
        </w:tc>
        <w:tc>
          <w:tcPr>
            <w:tcW w:w="3986" w:type="dxa"/>
            <w:vMerge w:val="restart"/>
            <w:tcBorders>
              <w:top w:val="single" w:color="auto" w:sz="4" w:space="0"/>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《中华人民共和国民办教育促进法》</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《云南省民办职业培训学校管理办法》</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是否存在其他违规违法行为。</w:t>
            </w:r>
          </w:p>
        </w:tc>
        <w:tc>
          <w:tcPr>
            <w:tcW w:w="756"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55"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7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155"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3986"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外国人就业</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对伪造、涂改、冒用、转让、买卖就业证和许可证的外国人和用人单位的检查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外国人在中国就业管理规定》（根据2010年11月12日中华人民共和国人力资源和社会保障部令第7号修正）第三十条：对伪造、涂改、冒用、转让、买卖就业证和许可证的外国人和用人单位，由劳动行政部门收缴就业证和许可证书，没收其非法所得，并处以一万元以上十万元以下的罚款；情节严重构成犯罪的， 移送司法机关依法追究刑事责任。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对未经许可和登记擅自从事职业中介活动且有违法所得的检查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用人单位、个人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就业促进法》第六十四条：“违反本法规定，未经许可和登记，擅自从事职业中介活动的，由劳动行政部门或者其他主管部门依法予以关闭；有违法所得的，没收违法所得，并处一万元以上五万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对职业中介机构提供虚假就业信息，为无合法证照的用人单位提供职业中介服务，伪造、涂改、转让职业中介许可证的检查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就业促进法》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对职业中介机构向劳动者收取押金的检查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《中华人民共和国就业促进法》第六十六条第二款：“违反本法规定，职业中介机构向劳动者收取押金的，由劳动行政部门责令限期退还劳动者，并以每人五百元以上二千元以下的标准处以罚款。”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对中外合资（合作）职业介绍机构的检查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中外合资（合作）职业介绍机构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《中华人民共和国就业促进法》第六十四至六十六条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对职业中介机构未明示职业中介许可证、监督电话的检查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2014年12月23日人力资源和社会保障部令第23号）第五十三条：“职业中介机构应当在服务场所明示营业执照、职业中介许可证、服务项目、收费标准、监督机关名称和监督电话等，并接受劳动保障行政部门及其他有关部门的监督检查。”第七十一条：“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对职业中介机构未建立服务台账，或虽建立服务台账但未记录服务对象、服务过程、服务结果和收费情况的检查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中华人民共和国劳动和社会保障部令第28号）第五十四条：“职业中介机构应当建立服务台账，记录服务对象、服务过程、服务结果和收费情况等，并接受劳动保障行政部门的监督检查。”第七十二条：“职业中介机构违反本规定第五十四条规定，未建立服务台账，或虽建立服务台账但未记录服务对象、服务过程、服务结果和收费情况的，由劳动保障行政部门责令改正，并可处以一千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对职业中介机构在职业中介服务不成功后，未向劳动者退还所收取的中介服务费的检查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2014年12月23日人力资源和社会保障部令第23号）第五十五条：“职业中介机构提供职业中介服务不成功的，应当退还向劳动者收取的中介服务费。”第七十三条：“职业中介机构违反本规定第五十五条规定，在职业中介服务不成功后未向劳动者退还所收取的中介服务费的，由劳动保障行政部门责令改正，并可处以一千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对职业中介机构发布的就业信息中包含歧视性内容的检查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2014年12月23日人力资源和社会保障部令第23号）第五十八条：“禁止职业中介机构有下列行为：（二）发布的就业信息中包含歧视性内容；”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对职业中介机构为无合法身份证件的劳动者提供职业中介服务的检查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2014年12月23日人力资源和社会保障部令第23号）第五十八条：“禁止职业中介机构有下列行为：（六）为无合法身份证件的劳动者提供职业中介服务；”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对职业中介机构介绍劳动者从事法律、法规禁止从事的职业的检查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2014年12月23日人力资源和社会保障部令第23号）第五十八条：“禁止职业中介机构有下列行为：（七）介绍劳动者从事法律、法规禁止从事的职业；”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对职业中介机构以暴力、胁迫、欺诈等方式进行职业中介活动的检查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2014年12月23日人力资源和社会保障部令第23号）第五十八条：“禁止职业中介机构有下列行为：（九）以暴力、胁迫、欺诈等方式进行职业中介活动；”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对职业中介机构超出核准的业务范围经营的检查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2014年12月23日人力资源和社会保障部令第23号）第五十八条：“禁止职业中介机构有下列行为：（十）超出核准的业务范围经营；”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对不具备用工、职业介绍、职业培训主体资格，擅自招用工、从事职业介绍和职业培训的检查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用人单位、个人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监察条例》（1998年11月27日云南省第九届人民代表大会常务委员会第六次会议通过）第二十一条：“不具备用工、职业介绍、职业培训主体资格，擅自招用工、从事职业介绍和职业培训的，责令停止，没收违法所得，并处以违法所得一至三倍最多不超过30000元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未取得职业介绍许可证或使用无效职业介绍许可证进行和参与职业介绍活动的检查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职业介绍条例》（1997年5月28日云南省第八届人民代表大会常务委员会第二十八次会议）第二十四条：未取得职业介绍许可证或使用无效职业介绍许可证进行和参与职业介绍活动的，由劳动行政部门没收违法所得，并可处以按违法所得的一至三倍，最高不超过三万元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对使用欺诈、诱惑、胁迫等手段进行职业介绍活动的检查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造成损害的，承担民事赔偿责任；构成犯罪的，由司法机关依法追究刑事责任。”第十五条：“职业介绍机构不得有下列行为：（一）使用欺诈、诱惑、胁迫等手段进行职业介绍活动。”</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对为无证件、证件不全、证件经审查不实的求职者或用人单位提供中介服务的检查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造成损害的，承担民事赔偿责任；构成犯罪的，由司法机关依法追究刑事责任。”第十五条：“职业介绍机构不得有下列行为：（六）为无证件、证件不全、证件经审查不实的求职者或用人单位提供中介服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对职业介绍机构未经劳动行政部门批准组织劳动力供求洽谈会、组织劳动者跨县（市、区）流动就业和开展职业培训的检查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二）未经劳动行政部门批准组织劳动力供求洽谈会、组织劳动者跨县（市、区）流动就业和开展职业培训。”</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对职业介绍机构出卖、出租、转借或复印张贴职业介绍许可证的检查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三）出卖、出租、转借或复印张贴职业介绍许可证。”</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对职业介绍机构从事妨害社会秩序的职业介绍活动的检查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四）从事妨害社会秩序的职业介绍活动。”</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对推荐介绍不成功收取或不退还预收的中介服务费的检查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职业介绍条例》（1997年5月28日云南省第八届人民代表大会常务委员会第二十八次会议）第二十五条：“凡有本条例第十五条（一）至（六）项行为的，由劳动行政部门进行教育、责令改正，没收违法所得，逾期不改的给予警告，并可处以二千元以上、二万元以下的罚款，情节严重的，可以吊销职业介绍许可证。”第十五条：“职业介绍机构不得有下列行为：（五）推荐介绍不成功收取或不退还预收的中介服务费。”</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对职业介绍机构超过核定业务范围从事职业介绍业务活动的检查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一）超过核定业务范围从事职业介绍业务活动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对职业介绍机构不参加职业介绍机构年审的检查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四）不参加职业介绍机构年审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对职业介绍机构未按规定补足责任保证金的检查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五）未按规定补足责任保证金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对省外职业介绍机构在我省未经批准从事职业介绍活动的检查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职业中介机构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职业介绍条例》（1997年5月28日云南省第八届人民代表大会常务委员会第二十八次会议）第二十六条：“违反本条例有下列行为之一的，由劳动行政部门进行教育、责令改正，没收违法所得，逾期不改的给予警告，并可处以一千元以上、一万元以下罚款：（六）省外职业介绍机构在我省未经批准从事职业介绍活动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对经营性人力资源服务机构对未经许可擅自从事职业中介活动的检查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eastAsia="zh-CN"/>
                <w14:textFill>
                  <w14:solidFill>
                    <w14:schemeClr w14:val="tx1"/>
                  </w14:solidFill>
                </w14:textFill>
              </w:rPr>
              <w:t>《人力资源市场暂行条例》</w:t>
            </w:r>
            <w:r>
              <w:rPr>
                <w:rFonts w:hint="eastAsia"/>
                <w:color w:val="000000" w:themeColor="text1"/>
                <w:sz w:val="20"/>
                <w:szCs w:val="20"/>
                <w14:textFill>
                  <w14:solidFill>
                    <w14:schemeClr w14:val="tx1"/>
                  </w14:solidFill>
                </w14:textFill>
              </w:rPr>
              <w:t>（已经2018年5月2日国务院第7次常务会议通过，现予公布，自2018年10月1日起施行。中华人民共和国国务院令第700号）第四十二条违反本条例第十八条第一款规定，未经许可擅自从事职业中介活动的，由人力资源社会保障行政部门予以关闭或者责令停止从事职业中介活动；有违法所得的，没收违法所得，并处1万元以上5万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对经营性人力资源服务机构开展人力资源服务业务未备案的检查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市场暂行条例》（已经2018年5月2日国务院第7次常务会议通过，现予公布，自2018年10月1日起施行。中华人民共和国国务院令第700号）第四十二条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对经营性人力资源服务机构设立分支机构、办理变更或者注销登记未书面报告的检查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市场暂行条例》（已经2018年5月2日国务院第7次常务会议通过，现予公布，自2018年10月1日起施行。中华人民共和国国务院令第700号）第四十二条违反本条例第十八条第二款规定，违反本条例第十八条第二款规定，开展人力资源服务业务未备案，违反本条例第二十条、第二十一条规定，设立分支机构、办理变更或者注销登记未书面报告的，由人力资源社会保障行政部门责令改正；拒不改正的，处5000元以上2万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对发布的招聘信息不真实、不合法，未依法开展人力资源服务业务的检查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《人力资源市场暂行条例》（已经2018年5月2日国务院第7次常务会议通过，现予公布，自2018年10月1日起施行。中华人民共和国国务院令第700号）第四十三条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对经营性人力资源服务机构未在服务场所明示有关事项的检查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《人力资源市场暂行条例》（已经2018年5月2日国务院第7次常务会议通过，现予公布，自2018年10月1日起施行。中华人民共和国国务院令第700号）第四十四条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对经营性人力资源服务机构应当未按规定提交经营情况年度报告的检查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《人力资源市场暂行条例》（已经2018年5月2日国务院第7次常务会议通过，现予公布，自2018年10月1日起施行。中华人民共和国国务院令第700号）第四十四条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对人力资源服务机构未按规定建立健全内部制度或保存服务台账的检查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人力资源服务机构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《人力资源市场暂行条例》（已经2018年5月2日国务院第7次常务会议通过，现予公布，自2018年10月1日起施行。中华人民共和国国务院令第700号）第四十四条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对用人单位招用无合法身份证件的人员的检查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就业服务与就业管理规定》（中2014年12月23日人力资源和社会保障部令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第十四条：“用人单位招用人员不得有下列行为：（五）招用无合法身份证件的人员”。</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劳务派遣</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对涂改、倒卖、出租、出借《劳务派遣经营许可证》，或者以其他形式非法转让《劳务派遣经营许可证》的检查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劳务派遣机构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务派遣行政许可实施办法》（2013年6月20日人力资源和社会保障部令第19号）第三十三条：劳务派遣单位有下列情形之一的，由人力资源社会保障行政部门处1万元以下的罚款；情节严重的，处1万元以上3万元以下的罚款：（一）涂改、倒卖、出租、出借《劳务派遣经营许可证》，或者以其他形式非法转让《劳务派遣经营许可证》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劳务派遣</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对隐瞒真实情况或者提交虚假材料取得劳务派遣行政许可的检查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务派遣行政许可实施办法》（2013年6月20日人力资源和社会保障部令第19号）第三十三条：劳务派遣单位有下列情形之一的，由人力资源社会保障行政部门处1万元以下的罚款；情节严重的，处1万元以上3万元以下的罚款：（二）隐瞒真实情况或者提交虚假材料取得劳务派遣行政许可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对以欺骗、贿赂等不正当手段取得劳务派遣行政许可的检查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劳务派遣机构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务派遣行政许可实施办法》（2013年6月20日人力资源和社会保障部令第19号）第三十三条：劳务派遣单位有下列情形之一的，由人力资源社会保障行政部门处1万元以下的罚款；情节严重的，处1万元以上3万元以下的罚款：（三）以欺骗、贿赂等不正当手段取得劳务派遣行政许可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对劳务派遣单位违反劳动合同法规定的检查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劳务派遣机构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《中华人民共和国劳动合同法》（2007年6月29日第十届全国人民代表大会常务委员会第二十八次会议通过  2007年6月29日中华人民共和国主席令第65号公布  2012年12月28日根据全《国人民代表大会常务委员会关于修改&lt;中华人民共和国劳动合同法&gt;的决定》修订）第九十二条：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劳务派遣</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对用工单位违反劳动合同法及实施条例有关劳务派遣规定的检查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劳动合同法实施条例》（国务院令第535号）第三十五条：“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劳务派遣</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对用工单位决定使用被派遣劳动者的辅助性岗位，不经职工代表大会或者全体职工讨论，提出方案和意见，与工会或者职工代表平等协商确定，并在用工单位内公示的检查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《劳务派遣暂行规定》（2014年1月24日人力资源和社会保障部令第22号）第二十二条 用工单位违反本规定第三条第三款规定的，由人力资源社会保障行政部门责令改正，给予警告；给被派遣劳动者造成损害的，依法承担赔偿责任。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职业年金</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对违反《企业年金办法》规定的检查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官渡区人力资源社会保障局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企业工会条例》（2010年11月26日经云南省第十一届人民代表大会常务委员会第二十次会议审议通过）第三十六条：企业有下列情形之一的，由县级以上人民政府人力资源和社会保障行政部门责令改正；拒不改正的，处2000元以上2万元以下罚款；造成严重后果的，依法追究责任：（一）以胁迫、利诱、欺骗手段阻碍职工加入工会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职业教育</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对未经批准擅自举办中外合作职业技能培训办学项目，或者以不正当手段骗取中外合作办学项目批准书的检查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州（市）及以下人力资源社会保障部门</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外合作职业技能培训办学管理办法》（2006年7月19日劳动和社会保障部令第27号）第五十三条：违反本办法的规定，未经批准擅自举办中外合作职业技能培训办学项目，或者以不正当手段骗取中外合作办学项目批准书的，由劳动保障行政部门责令举办该项目的中国教育机构限期改正、退还向学生收取的费用，并处以1万元以下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对中外合作职业技能培训办学项目发布虚假招生简章或者招生广告，骗取钱财的检查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中外合作职业技能培训机构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州（市）及以下人力资源社会保障部门</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外合作职业技能培训办学管理办法》（2006年7月19日劳动和社会保障部令第27号）第五十五条：中外合作职业技能培训办学项目发布虚假招生简章或者招生广告，骗取钱财的，由劳动保障行政部门责令举办该项目的中国教育机构退还收取的费用后，没收剩余违法所得，并处以违法所得3倍以下且总额3万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职业教育</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对未经批准擅自设立中外合作办学机构，或以不正当手段骗取中外合作办学许可证的检查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中外合作职业技能培训机构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州（市）及以下人力资源社会保障部门</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中外合作办学条例》（国务院令第372）第五十一条：“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对在中外合作办学机构筹备设立期间招收学生的检查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中外合作办学机构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州（市）及以下人力资源社会保障部门</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中外合作办学条例》（国务院令第372第五十二条：“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职业教育</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对中外合作办学者虚假出资或在中外合作办学机构成立后抽逃出资的检查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中外合作办学机构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州（市）及以下人力资源社会保障部门</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中外合作办学条例》（国务院令第372号）第五十三条：“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对违反中外合作办学规定发布虚假招生简章，骗取钱财的检查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中外合作办学机构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州（市）及以下人力资源社会保障部门</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中外合作办学条例》（国务院令第372号第五十七条：“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中外合作办学机构发布虚假招生广告的，依照《中华人民共和国广告法》的有关规定追究其法律责任。”</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职业教育</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中外合作职业技能培训机构设立、分立、合并、变更及终止的监管（非经营性）</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中外合作职业技能培训机构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人力资源社会保障部门</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中外合作办学条例》（2003年3月1日国务院令第372号，2013年7月18日予以修改）第十二条：……申请设立实施职业技能培训的中外合作办学机构，由拟设立机构所在地的省、自治区、直辖市人民政府劳动行政部门审批。第四十二条 ：中外合作办学机构的分立、合并，在进行财务清算后，由该机构理事会、董事会或者联合管理委员会报审批机关批准。第四十三条：中外合作办学机构合作办学者的变更，应当由合作办学者提出，在进行财务清算后，经该机构理事会、董事会或者联合管理委员会同意，报审批机关核准，并办理相应的变更手续。中外合作办学机构住所、法定代表人的变更，应当经审批机关核准，并办理相应的变更手续。中外合作办学机构校长或者主要行政负责人的变更，应当及时办理变更手续。第四十四条：中外合作办学机构名称、层次、类别的变更，由该机构理事会、董事会或者联合管理委员会报审批机关批准。第四十五条：中外合作办学机构有下列情形之一的，应当终止：（一）根据章程规定要求终止，并经审批机关批准的；（二）被吊销中外合作办学许可证的；（三）因资不抵债无法继续办学，并经审批机关批准的。第五十九条：香港特别行政区、澳门特别行政区和台湾地区的教育机构与内地教育机构合作办学的，参照本条例的规定执行。</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职业教育</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对中外合作职业技能培训项目的监管</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中外合作职业技能培训项目</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人力资源社会保障部门</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外合作职业技能培训办学管理办法》（2006年7月26日劳动和社会保障部令第27号，2015年4月30日予以修改）第四十三条：有下列情形之一的，中外合作职业技能培训办学项目终止：（一）根据合作协议要求终止，并经审批机关批准的；（二）中外合作办学者有一方被依法吊销办学资格的；（三）被吊销中外合作办学项目批准书的。</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职业教育</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对民办职业培训学校设立、分立、合并、变更及终止的监管</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民办职业培训学校</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人力资源社会保障部门</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民办教育促进法》（2002年12月28日主席令第80号，2013年6月29日予以修改）第十一条：……举办实施以职业技能为主的职业资格培训、职业技能培训的民办学校，由县级以上人民政府劳动和社会保障行政部门按照国家规定的权限审批，并抄送同级教育行政部门备案。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职业教育</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对民办学校、民办职业培训学校的监管</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民办学校、民办职业培训学校</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人力资源和社会保障部门</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云南省民办职业培训学校管理办法》第三十六条（一）对未经人力资源和社会保障行政部门批准，从事职业资格培训、职业技能培训的组织和个人，由人力资源和社会保障行政部门会同有关行政部门依照国家有关规定查处取缔。（二）教学条件明显不能满足教学要求，教育教学质量低下，未及时采取措施的，限期改正或撤销办学资格。</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官渡区人力资源和社会保障局（17类139项）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职业教育</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对未取得《中华人民共和国社会力量办学许可证》、《中华人民共和国民办学校办学许可证》或使用无效许可证从事职业培训活动的检查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人力资源社会保障部门</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《云南省劳动就业条例》（经过2010年5月28日云南省第十一届人民代表大会常务委员会第十七次会议通过 2010年5月28日云南省第十一届人民代表大会常务委员会公告第24号公布，自公布之日起施行的《云南省人民代表大会常务委员会关于修改部分地方性法规的决定》修正）第二十七条第一款：“未取得《中华人民共和国社会力量办学许可证》或者使用无效许可证从事职业培训活动的，由劳动保障部门依法取缔，没收违法所得，对单位或者直接责任人处2万元以上10万元以下的罚款。构成犯罪的，依法追究刑事责任。”；《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云南省民办职业培训学校管理办法》第三十六条（一）对未经人力资源和社会保障行政部门批准，从事职业资格培训、职业技能培训的组织和个人，由人力资源和社会保障行政部门会同有关行政部门依照国家有关规定查处取缔。（二）教学条件明显不能满足教学要求，教育教学质量低下，未及时采取措施的，限期改正或撤销办学资格。</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官渡区自然资源局（16类16项）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测绘质量检查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定期对行政区域内乙级（含乙级）以下测绘资质单位的测绘质量进行监督检查，包括：1.国家、省规定的测绘技术规范和标准执行情况的监督检查；2.测绘成果的取得是否使用全国统一的测绘基准和测绘系统；3.测绘成果的取得使用了相对独立的平面坐标系统，该系统是否得到批准；4.建立地理信息系统是否采用了符合国家标准的基础地理信息数据；5.质量管理机构设立及人员配置情况，是否有专门的质量检验机构和明确的职责，是否有分管领导负责质量管理工作，质量检验岗位是否明确，是否有专职的质量检验人员；6.质量管理体系建立、运行或落实情况；7.仪器设备依法依规检定或校准情况；8.过程质量控制及最终成果质量检验情况；9.成果质量信息报送情况；10.测绘成果质量的监督检查。十项抽查内容。</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云南省测绘资质单位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官渡区自然资源局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《中华人民共和国测绘法》第三十九条、第四十九条；《云南省测绘成果管理办法》第十条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官渡区自然资源局（16类16项）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测绘资质巡查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定期对行政区域内乙级（含乙级）以下测绘资质单位的人员、仪器设备、测绘活动的合法性进行检查。包括：1.测绘资质单位的资质条件是否与测绘资质管理信息系统保持一致；2.测绘资质单位是否按要求报送测绘资质年度报告；3.测绘资质单位在资质等级和专业范围内承担项目、履行合同、项目备案等情况；4.是否有以欺骗手段取得测绘资质证书从事测绘活动的；5.是否有超越资质等级许可的范围从事测绘活动的；6.是否有以其他测绘单位的名义从事测绘活动的；7.是否有允许其他单位以本单位的名义从事测绘活动的；8.是否有测绘单位将测绘项目转包的；9.要求提供反映其测绘活动情况的真实材料，对以往申报、公示的情况进行核查；10.是否存在应予以注销资质的情况；11.是否存在应予以核减专业范围的情况；12.是否存在涂改、倒卖、出租、出借或者以其他形式转让测绘资质证书的的情况；13.是否存在从事测绘活动因泄漏国家秘密被国家安全机关查处的情况。十三项抽查内容。</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云南省测绘资质单位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官渡区自然资源局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《中华人民共和国测绘法》第四十九条；《测绘资质管理规定》（国测管发〔2014〕31号）第二十四条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官渡区自然资源局（16类16项）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涉密测绘成果检查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定期对行政区域内的法人或者其他组织使用涉密测绘成果情况进行检查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使用涉密测绘成果法人或其他组织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官渡区自然资源局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《中华人民共和国测绘法》第四十九条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官渡区自然资源局（16类16项）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地理信息安全检查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定期对行政区域内的地理信息生产、保管、利用单位地理信息安全进行检查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地理信息生产、保管、利用单位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官渡区自然资源局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《中华人民共和国测绘法》第四十六条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建设工程规划许可检查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建设项目方案现场公布情况；项目现场实施情况。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经行政许可取得《建设工程规划许可证》的在建项目企业、单位。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现场检查或书面检查，必要时聘请专业机构进行检测或评估。       </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官渡区自然资源局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《中华人民共和国城乡规划法》第四十条、第五十一条、第五十三条;《云南省城乡规划条例》第二十七条。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规划核实检查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建设项目方案现场公布情况；项目现场实施情况；建设项目测绘报告与项目现场对比情况；是否存在违法建设及违法建设处置情况。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工程竣工后申请规划核实检查的企业、单位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现场检查或书面检查，必要时聘请专业机构进行检测或评估。       </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官渡区自然资源局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《中华人民共和国城乡规划法》第四十五条、第五十一条、第五十三条,《云南省城乡规划条例》第三十三条。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官渡区自然资源局（16类16项）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地质勘查单位勘查活动监督检查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有无出具虚假地质勘查报告的行为；有无转包其承担的地质勘查项目的行为；有无允许其他单位以本单位的名义从事地质勘查活动的行为；有无在委托方取得矿产资源勘查许可证、采矿许可证前，为其进行矿产地勘查活动的行为。五个检查内容。</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地质勘查单位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官渡区自然资源局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《国务院关于取消一批行政许可事项的决定》（国发〔2017〕46号）；《国土资源部关于取消地质勘查资质审批后加强事中事后监管的公告》</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官渡区自然资源局（16类16项）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对地质灾害危险性评估、地质灾害治理工程勘查、设计、施工、监理活动的检查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对地质灾害危险性评估、地质灾害治理工程勘查、设计、施工、监理活动不定期进行抽查。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地质灾害危险性评估、地质灾害治理工程勘查、设计、施工、监理单位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实地、材料检查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官渡区自然资源局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1.《地质灾害危险性评估单位资质管理办法》第六条第二款；</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2.《地质灾害治理工程勘查设计施工单位资质管理办法》第五条第二款；                                 3.《地质灾害治理工程监理单位资质管理办法》第二十一条。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矿业权人勘查开采公示信息抽查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对矿业权人填报的上年度勘查开采公示信息进行实地核查。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官渡区矿业权人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实地、材料检查、网络监测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省级统一抽取检查对象，并按发证权限分派至省、市、县三级自然资源主管部门实施检查</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《矿业权人勘查开采信息公示办法（试行）》（国土资规〔2015〕6号）。</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官渡区自然资源局（16类16项）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对城乡规划编制企业的监督检查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城乡规划编制企业的监督检查包括五个抽查事项：检查单位资质证书；检查有关人员的职称证书、注册证书、学历证书、社会保险证明等；检查有关城乡规划编制成果及有关质量管理、档案管理、财务管理等企业内部管理制度的文件；检查企业是否按规定承揽城乡规划编制业务；检查注册城乡规划师的执业活动。</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城乡规划编制单位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实地检查、书面检查、网络监测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官渡区自然资源局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《中华人民共和国城乡规划法》第二十四条第二款、第六十二条；《城乡规划编制单位资质管理规定》（住房城乡建设部令12号）第四章第三十条；《人力资源社会保障部 住房城乡建设部关于印发&lt;注册城乡规划师职业资格制度规定&gt;和&lt;注册城乡规划师职业资格考试实施办法&gt;的通知（人社部规〔2017〕6号）；《注册城乡规划师职业资格制度规定》第四章二十二条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官渡区自然资源局（16类16项）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土地复垦监督检查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土地复垦验收材料完备；完成经审查通过的土地复垦方案确定的复垦任务，项目管理、资金管理符合相关法律法规要求；土地复垦工程质量、工程效果通过专家评估。</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土地复垦义务人或企业、单位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官渡区自然资源局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1.《土地复垦条例》（2011年3月5日国务院令第592号）第八条；                              2.《土地复垦条例实施办法》（2012年12月27日国土资源部令第56号）第四十四条。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对采矿权人履行矿山地质环境保护与土地复垦义务的情况检查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采矿权人是否编制矿山地质环境保护与土地复垦方案；矿山地质环境保护与土地复垦方案是否经相应机构审查备案；采矿权人矿山地质环境治理恢复基金建立、计提和使用情况；采矿权人履行矿山地质环境保护与土地复垦义务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采矿权人或企业、单位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官渡区自然资源局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《矿山地质环境保护规定》（国土资源部令第44号根据2019年7月16日自然资源部第2次部务会议《自然资源部关于第一批废止修改的部门规章的决定》第三次修正）第二十二条。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官渡区自然资源局（16类16项）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临时用地征用、使用情况抽查工作</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自然资源部门批复文件（含工程名称、位置、用地规模和耕地面积等情况）与实际项目使用是否一致，是否存在超占情况；临时用地面积准确、权属无争议，地类属实；权属文件、土地利用现状图、勘查定界技术报告等资料齐全；临时用地补偿标准符合省政府批准公布的统一年产值标准和征地区片综合地价；土地复垦费用是否按规定缴纳；涉及城市规划区内的提供规划行政主管部门同意；占用林地的，林业等手续是否齐全。</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临时用地申请人或企业、单位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官渡区自然资源局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1.《中华人民共和国土地管理法》第五十七条； 2.《云南省土地管理条例》第三十一条；3.《云南省国土资源厅关于贯彻落实省人大常委会修改云南省土地管理条例决定有关问题的通知》（云国土资电﹝2015﹞37号）第二条。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官渡区自然资源局（16类16项）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国家和省级重点保护陆生野生动物驯养繁殖许可证核发的检查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国家和省级重点保护陆生野生动物驯养繁殖许可证核发的检查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在昆明市林业和草原局申请办理国家和省级重点保护陆生野生动物驯养繁殖许可证核发事项并已取得相关许可的昆明市范围内的公民、法人和其他组织。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官渡区自然资源局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《中华人民共和国森林法》第十三条 各级林业主管部门依照本法规定，对森林资源的保护、利用、更新，实行管理和监督。</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官渡区自然资源局（16类16项）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对主要林木良种种子生产经营许可证核发的检查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对主要林木良种种子生产经营许可证核发的检查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在昆明市林业和草原局申请办理国家和省级重点保护陆生野生动物驯养繁殖许可证核发事项并已取得相关许可的昆明市范围内的公民、法人和其他组织。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官渡区自然资源局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种子法》（2015年修订）第三十一条：“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官渡区自然资源局（16类16项）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林木种苗生产经营、种子质量</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对林木种苗生产经营、林木种子质量的随机抽查检查。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林木种子生产经营单位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实地、材料检查、网络监测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官渡区自然资源局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《中华人民共和国种子法》第四十七条，《中华人民共和国种子法》第五十条,《云南省林木种子条例》。</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市生态环境局官渡分局（6类8项）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放射性污染防治监督检查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对省级监管核技术利用单位放射性污染防治工作的检查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市级监管核技术利用单位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市生态环境局官渡分局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《中华人民共和国放射性污染防治法》第十一条；《放射性同位素与射线装置安全和防护条例》第四十六条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市生态环境局官渡分局（6类8项）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对排放污染物的企业事业单位和其他生产经营者的行政检查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对排放污染物的企业事业单位和其他生产经营者的监督检查和监测、对污染源自动监控设施现场的监督检查；对自动监控系统的建设、运行和维护等的监督检查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市生态环境局官渡分局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环境保护法》第二十四条；《中华人民共和国大气污染防治法》第二十九条；《中华人民共和国水污染防治法》第三十条、第五十条；《畜禽规模养殖污染防治条例》（国务院第643号令）第二十三条;《中华人民共和国水污染防治法》第二十四条；《污染源自动监控设施现场监督检查办法》（环境保护部第19号令）第四条；《污染源自动监控管理办法》（国家环境保护总局第28号令）第六条第三项</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对化学品进口生产等活动的检查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对新化学物质生产、加工使用活动的；化学品首次进口及有毒化学品进出口的监督检查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市生态环境局官渡分局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《新化学物质环境管理办法》（环境保护部第7号令）第三十九条；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市生态环境局官渡分局（6类8项）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固体废物、危险废物产生、转移、处置情况的监督检查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对产生、收集、贮存、运输、利用、处置危险废物单位的监督检查；对固体废物污染环境防治工作的检查、指导和督促;对危险废物转移联单运行情况的检查,对危险废物出口单位转移单据运行情况的检查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市生态环境局官渡分局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固体废物污染环境防治法》第六十二条；《危险废物经营许可证管理办法》（国务院第408号令）第十七条;《危险废物转移联单管理办法》（国家环境保护局第5号令）第十一条;《危险废物出口核准管理办法》（环境保护总局第47号令）第十三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对废弃电器电子产品处理活动；对拆解、利用、处置电子废物单位的监督检查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市生态环境局官渡分局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《废弃电器电子产品回收处理管理条例》（国务院第551号令）第二十五条；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市生态环境局官渡分局（6类8项）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固体废物、危险废物产生、转移、处置情况的监督检查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对医疗卫生机构和医疗废物集中处置单位环境污染防治工作的监督检查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企业、事业单位及民营主体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市生态环境局官渡分局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《医疗废物管理条例》（国务院第380号令）第三十六条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自然生态环境保护情况、农村生态环境保护情况的监督检查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对自然保护区、畜禽养殖污染防治等生态和农村环境保护法律法规执行情况进行检查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企业、事业单位及民营主体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市生态环境局官渡分局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《环境监察办法》第六条第三款；《关于全国生态和农村环境监察工作的指导意见》（2012年12月14日环发〔2012〕146号）</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对建设项目环境影响评价落实情况的检查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对建设项目环境影响评价落实情况的检查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市生态环境局官渡分局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《中华人民共和国环境影响评价法》第二十八条；《建设项目环境保护管理条例》第二十条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官渡区住房和城乡建设局（14类23项）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建筑市场监管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建筑业企业资质、工程监理企业的监督检查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建筑业企业（施工、监理）</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日常检查、网络检查和专项检查相结合方式</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官渡区住房和城乡建设局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《中华人民共和国建筑法》第十三条、《建筑业企业资质管理规定》（建设部令第22号）第二十四条至第三十四条;《工程监理企业资质管理规定》（建设部令第158号）第十九条至第二十六条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建设工程质量检测活动的监督检查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检测机构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日常检查、网络检查和专项检查相结合方式</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官渡区住房和城乡建设局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《建设工程质量检测管理办法》（中华人民共和国建设部令第141号）第三条、第九条，第十七条，第二十一条至第二十五条，第二十九条，第三十条、第三十一条，第三十三条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建筑节能监管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建筑节能强制性标准执行情况监督检查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设计单位、施工单位、监理单位、建设单位、房地产开发企业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现场检查和书面检查相结合</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官渡区住房和城乡建设局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《民用建筑节能条例》（国务院令第530号）第五条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官渡区住房和城乡建设局（14类23项）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对建筑工程质量安全的监管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对租赁、安装、拆卸、使用建筑起重机械行为的行政检查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租赁、安装、拆卸、使用建筑起重机械的单位和个人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日常检查、网络检查和专项检查相结合方式</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官渡区住房和城乡建设局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1.《中华人民共和国特种设备安全法》第三十三条。2.《特种设备安全监察条例》第二十五条。3.《建筑起重机械安全监督管理规定》第十七条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对建筑施工企业安全生产条件的行政检查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建筑施工企业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日常检查、网络检查和专项检查相结合方式</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官渡区住房和城乡建设局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《安全生产许可证条例》第二条、《安全生产许可证条例》第四条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对房屋建筑和市政基础设施工程的行政检查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房屋建筑和市政基础设施工程</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日常检查和专项检查相结合方式</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官渡区住房和城乡建设局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《建设工程质量管理条例》第四条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官渡区住房和城乡建设局（14类23项）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房地产市场监管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房地产开发经营活动监督检查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房地产开发企业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现场检查、书面检查、网络检查相结合方式</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官渡区住房和城乡建设局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 《城市房地产开发经营管理条例》第四条。《房地产开发企业资质管理规定》（建设部令第77号）第四条              </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房地产估价机构监督检查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房地产估价机构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现场检查、书面检查、网络检查相结合方式</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官渡区住房和城乡建设局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《房地产估价机构管理办法》（2005年10月12日建设部令第142号发布，2013年10月16日根据住房和城乡建设部令第14号修正，2015年5月4日根据住房和城乡建设部令第24号修正）第五条第二款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房地产经纪机构监督检查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房地产经纪机构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现场检查、书面检查、网络检查相结合方式</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官渡区住房和城乡建设局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房地产经纪管理办法》（2011年1月20日住房城乡建设部、国家发展改革委、人力资源社会保障部令第8号发布，自2011年4月1日起施行；2016年3月1日根据住房城乡建设部、国家发展改革委、人力资源社会保障部令第29号修正，自2016年4月1日起施行）第五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官渡区住房和城乡建设局（14类23项）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房地产市场监管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物业管理活动监督检查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物业企业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现场检查、书面检查、网络检查相结合方式</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官渡区住房和城乡建设局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《物业管理条例》（2003年6月8日国务院令第379号公布，2007年8月26日修订）第五条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勘察设计监管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对施工图审查机构的监督检查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施工图审查机构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网络检查和现场检查相结合方式</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官渡区住房和城乡建设局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《房屋建筑和市政基础设施工程施工图设计文件审查管理办法》（建设部令第13号）第四条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对工程勘察、设计企业的监督检查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工程勘察、设计企业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网络检查和现场检查相结合方式</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官渡区住房和城乡建设局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《建设工程勘察设计管理条例》（国务院令第293号）第五条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2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官渡区住房和城乡建设局（14类23项）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对城市市政企业的监管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对城市燃气企业的监督检查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城市燃气企业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现场检查和书面检查相结合方式</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官渡区住房和城乡建设局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《城镇燃气管理条例》（国务院令第583号）第五条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46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城市排水企业的监督检查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城市排水企业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现场检查和书面检查相结合方式</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官渡区住房和城乡建设局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《城镇排水与污水处理条例》（国务院令第640号） 第五条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抗震设防监管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对建筑工程抗震设防的监督检查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建设工程项目的建设单位、勘察设计单位、施工单位、监理单位、施工图审查机构、检测机构、减隔震装置生产企业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现场检查和书面检查相结合</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官渡区住房和城乡建设局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《云南省建设工程抗震设防管理条例》第四十一条、第四十二条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官渡区住房和城乡建设局（14类23项）</w:t>
            </w:r>
          </w:p>
        </w:tc>
        <w:tc>
          <w:tcPr>
            <w:tcW w:w="1450" w:type="dxa"/>
            <w:vMerge w:val="restart"/>
            <w:tcBorders>
              <w:top w:val="nil"/>
              <w:left w:val="nil"/>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建设工程造价监管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工程造价咨询企业行政监督检查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工程造价咨询企业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现场检查和书面检查相结合方式</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官渡区住房和城乡建设局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《云南省建设工程造价管理条例》第二条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建设工程发承包计价活动监督检查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建筑业企业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现场检查和书面检查相结合方式</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官渡区住房和城乡建设局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《建筑工程施工发包与承包计价管理办法》（住房和城乡建设部令第16号）第四条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官渡区住房和城乡建设局（14类23项）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建设工程消防设计审查验收监管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对建设工程消防设计审查验收的行政检查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建设单位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日常检查和专项检查相结合方式</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官渡区住房和城乡建设局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《中华人民共和国消防法》（1998年4月29日第九届全国人民代表大会常务委员会第二次会议通过 2008年10月28日第十一届全国人民代表大会常务委员会第五次会议修订2019年4月23日第十三届全国人民代表大会常务委员会第十次会议修订）第十条，十一条、十二条、十三条、五十八条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预拌混凝土、预拌砂浆生产企业的检查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预拌混凝土、预拌砂浆生产企业的检查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预拌混凝土、预拌砂浆生产企业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官渡区住房和城乡建设局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《云南省散装水泥促进条例》相关条款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新型墙体材料生产企业、新型墙体材料市场、施工现场的检查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新型墙体材料生产企业、新型墙体材料市场、施工现场的检查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新型墙材生产、销售、使用单位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官渡区住房和城乡建设局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《云南省发展新型墙体材料条例》相关条款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官渡区住房和城乡建设局（14类23项）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预拌混凝土、预拌砂浆生施工现场的检查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预拌混凝土、预拌砂浆施工现场的检查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预拌混凝土、预拌砂浆使用企业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官渡区住房和城乡建设局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《云南省散装水泥促进条例》相关条款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人民防空工程质量监督检查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按照国家规定的防护标准和质量标准修建人民防空工程</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企业、个体、非企业组织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现场检查、书面检查、网络检查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官渡区住房和城乡建设局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《中华人民共和国人民防空法》第四十九条，《云南省实施〈中华人民共和国人民防空法〉办法》第二十五条；《社会中介机构承担人民防空综合防护体系建设任务管理规定（暂行）》</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公共人防工程维护管理监督检查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对公共人民防空工程的维护管理进行监督检查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企业、个体、非企业组织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官渡区住房和城乡建设局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《中华人民共和国人民防空法》第二十五条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官渡区交通运输局（2类2项）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公路建设市场检查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招标投标行为、履约行为、工程质量检查。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公路建设项目从业单位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官渡区交通运输局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《招标投标条例》第四条、第五十九条；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《公路建设市场管理办法》第八条、第九条；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《公路工程建设项目招标投标管理办法》第三条。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公路养护检查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公路养护管理监管。</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公路养护管理单位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实地核查、书面检查、日常巡查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官渡区交通运输局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《中华人民共和国公路法》第三十五条；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《公路安全保护条例》第四十四条、第四十五条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官渡区农业农村局（13类13项）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农药监督抽查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农药生产、经营、使用场所，农药产品质量、农药产品标签、说明书、农药许可证件、农药生产原料进货出厂销售记录、农药产品质量合格证、农药经营购销账、农药登记试验单位及农药登记试验情况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农药生产者、经营者，农药登记试验单位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《中华人民共和国农产品质量安全法》第二十一条第二款 国务院农业行政主管部门和省、自治区直辖市人民政府农业行政主管部门应当定期对可能危及农产品质量安全的农药、兽药、饲料和饲料添加剂、肥料等农业投入品进行监督抽查，并公布抽查结果。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《农药管理条例》第三条第二款 县级以上地方人民政府农业主管部门负责本行政区域的农药监督管理工作。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《农药管理条例》第四十一条 县级以上人民政府农业主管部门履行农药监督管理职责，可以依法采取下列措施：（一）进入农药生产、经营、使用场所实施现场检查；（二）对生产、经营、使用的农药实施抽查检测；（三）向有关人员调查了解有关情况；（四）查阅、复制合同、票据、账簿以及其他有关资料；（五）查封、扣押违法生产、经营、使用的农药，以及用于违法生产、经营、使用农药的工具、设备、原材料等；（六）查封违法生产、经营、使用农药的场所。</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《农药登记试验管理办法》第三十条 省级农业部门、农业部对农药登记试验单位和登记试验过程进行监督检查，重点检查以下内容：（一）试验单位资质条件变化情况；（二）重要试验设备、设施情况；（三）试验地点、试验项目等备案信息是否相符；（四）试验过程是否遵循法定的技术准则和方法；（五）登记试验安全风险及其防范措施的落实情况；（六)其他不符合农药登记试验质量管理规范要求或者影响登记试验质量的情况。</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官渡区农业农村局（13类13项）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肥料监督抽查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肥料产品质量、肥料登记证、肥料标签</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肥料生产、经营者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《中华人民共和国农产品质量安全法》第二十一条第二款 国务院农业行政主管部门和省、自治区直辖市人民政府农业行政主管部门应当定期对可能危及农产品质量安全的农药、兽药、饲料和饲料添加剂、肥料等农业投入品进行监督抽查，并公布抽查结果。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《肥料登记管理办法》第七条第三款 县级以上地方人民政府行政主管部门负责本行政区域内的肥料登记和监督管理工作。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《肥料登记管理办法》第二十五条 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官渡区农业农村局（13类13项）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种子监督抽查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种子质量、标签与包装规范情况、主要农作物品种审定情况、非主要农作物品种登记信息、品种真性、种子生产经营资质、生产经营主体备案情况、种子企业生产经营案、种子生产基地书面委托生产合同、委托生产备案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种子生产经营者、委托生产企业、制种基地</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《中华人民共和国种子法》第四十七条 农业、林业主管部门应当加强对种子质量的监督检查。种子质量管理办法、行业标准和检验方法，由国务院农业、林业主管部门制定。农业、林业主管部门可以采用国家规定的快速检测方法对生产经营的种子品种进行检测，检测结果可以作为行政处罚依据。被检查人对检测结果有异议的，可以申请复检，复检不得采用同一检测方法。《中华人民共和国种子法》第五十条 农业、林业主管部门是种子行政执法机关。种子执法人员依法执行公务时应当出示行政执法证件。农业、林业主管部门依法履行种子监督检查职责时，有权采取下列措施：</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《农作物种子标签和说明书管理办法》；</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《农作物种子生产经营许可管理办法》；</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《农作物种子质量监督抽查管理办法》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官渡区农业农村局（13类13项）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种畜禽（蚕种）质量监管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种畜禽（蚕种）质量</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种畜禽（蚕种）生产经营者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《中华人民共和国畜牧法》第三十三条 县级以上人民政府畜牧兽医行政主管部门负责种畜禽质量安全的监督管理工作。种畜禽质量安全的监督检验应当委托具有法定资质的种畜禽质量检验机构进行；所需检验费用按照国务院规定列支，不得向被检验人收取。</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《中华人民共和国畜牧法》第五十四条 县级以上人民政府应当组织畜牧兽医行政主管部门和其他有关主管部门，依照本法和有关法律、行政法规的规定，加强对畜禽饲养环境、种畜禽质量、饲料和兽药等投入品的使用以及畜禽交易与运输的监督管理。</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《中华人民共和国畜牧法》第五十六条 县级人民政府畜牧兽医行政主管部门应当制定畜禽质量安全监督检查计划，按计划开展监督抽查工作。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《中华人民共和国畜牧法》第二条第三款 蜂、蚕的资源保护利用和生产经营，适用本法有关规定。</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《蚕种管理办法》第二十六条 省级以上人民政府农业（蚕业）行政主管部门应当制定蚕种质量监督抽查计划并组织实施。</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农业部监督抽查的品种，省级农业（蚕业）行政主管部门不得重复抽查。监督抽查不得向被抽查者收取任何费用。</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承担蚕种质量检验的机构应当符合国家规定的条件，并经有关部门考核合格。</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官渡区农业农村局（13类13项）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饲料、饲料添加剂监督抽查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饲料、饲料添加剂产品质量安全主体责任履行情况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饲料和饲料添加剂生产企业</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和经营企业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《中华人民共和国农产品质量安全法》第二十一条第二款 国务院农业行政主管部门和省、自治区、直辖市人民政府农业行政主管部门应当定期对可能危及农产品质量安全的农药、兽药、饲料和饲料添加剂、肥料等农业投入品进行监督抽查，并公布抽查结果。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《饲料和饲料添加剂管理条例》第三条第二款 县级以上地方人民政府负责饲料、饲料添加剂管理的部门负责本行政区域内饲料、饲料添加剂的监督管理工作。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《饲料和饲料添加剂管理条例》第三十二条 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国务院农业行政主管部门和省、自治区、直辖市人民政府饲料管理部门应当按照职责权限公布监督抽查结果，并可以公布具有不良记录的饲料、饲料添加剂生产企业、经营者名单。</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官渡区农业农村局（13类13项）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生鲜乳质量安全监督抽查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生鲜乳收购站和生鲜乳运输车经营状况，生鲜乳质量安全</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生鲜乳收购站、生鲜乳运输车</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《乳品质量安全监督管理条例》第二十七条第一款 县级以上人民政府畜牧兽医主管部门应当加强生鲜乳质量安全监测工作，制定并组织实施生鲜乳质量安全监测计划，对生鲜乳进行监督抽查，并按照法定权限及时公布监督抽查结果。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《生鲜乳生产收购管理办法》第三十二条 县级以上人民政府畜牧兽医主管部门应当加强对奶畜饲养以及生鲜乳生产、收购环节的监督检查，定期开展生鲜乳质量检测抽查，并记录监督抽查的情况和处理结果，需要对生鲜乳进行抽样检查的，不得收取任何费用。</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《生鲜乳生产收购管理办法》第三十三条 县级以上人民政府畜牧兽医主管部门在进行监督检查时，行使下列职权：（一）对奶畜养殖场所、生鲜乳收购站、生鲜乳运输车辆实施现场检查；（二）向有关人员调查，了解有关情况；（三）查阅、复制养殖档案、生鲜乳收购记录、购销合同、检验报告、生鲜乳交接单等资料；（四）查封、扣押有证据证明不符合乳品质量安全标准的生鲜乳；（五）查封涉嫌违法从事生鲜乳生产经营活动的场所，扣押用于违法生产、收购、贮存、运输生鲜乳的车辆、工具、备；（六）法律、法规规定的其他职权。</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官渡区农业农村局（13类13项）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兽药监督抽查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兽药质量</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兽药生产经营企业，兽药使用单位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《中华人民共和国农产品质量安全法》第二十一条 第二款国务院农业行政主管部门和省、自治区、直辖市人民政府农业行政主管部门应当定期对可能危及农产品质量安全的农药、兽药、饲料和饲料添加剂、肥料等农业投入品进行监督抽查，并公布抽查结果。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《兽药管理条例》第三条第二款 县级以上地方人民政府兽医行政管理部门负责本行政区域内的兽药监督管理工作。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《兽药管理条例》第十四条第二款 省级以上人民政府兽医行政管理部门，应当对兽药生产企业是否符合兽药生产质量管理规范的要求进行监督检查，并公布检查结果。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《兽药管理条例》第十九条第一款 兽药生产企业生产的每批兽用生物制品，在出厂前应当由国务院兽医行政管理部门指定的检验机构审查核对，并在必要时进行抽查检验；未经审查核对或者抽查检验不合格的，不得销售。</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《兽药管理条例》第三十五条第三款 兽用生物制品进口后，应当依照本条例第十九条的规定进行审查核对和抽查检验。其他兽药进口后，由当地兽医行政管理部门通知兽药检验机构进行抽查检验。</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官渡区农业农村局（13类13项）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病原微生物实验室监督抽查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病原微生物菌(毒)种、样本的采集、运输、储存情况；病原微生物实验室条件及人员、操作情况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病原微生物实验室</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《病原微生物实验室生物安全管理条例》（2014年国务院令第424号公布）第四十九条 县级以上地方人民政府卫生主管部门、兽医主管部门依照各自分工，履行下列职责：（一）对病原微生物菌(毒)种、样本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县级以上地方人民政府卫生主管部门、兽医主管部门，应当主要通过检查反映实验室执行国家有关法律、行政法规以及国家标准和要求的记录、档案、报告，切实履行监督管理职责。</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官渡区农业农村局（13类13项）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畜禽规模养殖污染防治监督抽查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畜禽养殖场、养殖小区规范情况，综合利用无害化处理设施建设及规范的情况，畜禽养殖废弃物综合利用和治理的情况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畜禽养殖场、养殖小区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《畜禽规模养殖污染防治条例》第六条 从事畜禽养殖以及畜禽养殖废弃物综合利用和无害化处理活动，应当符合国家有关畜禽养殖污染防治的要求，并依法接受有关主管部门的监督检查。</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生猪屠宰管理监督抽查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生猪定点屠宰厂（场）执行国家规定的操作规程和技术要求的情况，生猪来源和生猪产品流向情况）处理肉品品质检验不合格生猪产品的情况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生猪定点屠宰厂（场）、生猪产品销售、肉食品生产加工者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生猪屠宰管理条例》根据2016年02月06日《国务院关于修改部分行政法规的决定》第二次修订)十七、将《生猪屠宰管理条例》第三条、第二十一条、第二十二条、第二十三条、第二十四条、第二十五条、第二十六条、第二十七条、第二十八条、第三十条、第三十一条、第三十五条中的“商务主管部门”修改为“畜牧兽医行政主管部门”……。</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《生猪屠宰管理条例》第二十一条 畜牧兽医行政主管部门应当依照本条例的规定严格履行职责，加强对生猪屠宰活动的日常监督检查。</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国务院办公厅关于加强农产品质量安全监管工作的通知国办发》（〔2013〕106号：“四、加强畜禽屠宰环节监管：各地区要按照国务院机构改革和职能转变工作的要求，做好生猪定点屠宰监管职责调整工作，涉及的职能等要及时划转到位，确保各项工作有序衔接。各级畜牧兽医部门要认真落实畜禽屠宰环节质量安全监管职责，强化畜禽屠宰厂（场）的质量安全主体责任，督促其落实进厂（场）检查登记、检验等制度，严格巡查抽检，坚决杜绝屠宰病死动物、注水等行为。”</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官渡区农业农村局（13类13项）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农产品质量安全监督抽查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农产品质量安全状况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种养殖基地、农产品生产经营企业、农民专业合作经济组织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《中华人民共和国农产品质量安全法》第三十四条 国家建立农产品质量安全监测制度。县级以上人民政府农业行政主管部门应当按照保障农产品质量安全的要求，制定并组织实施农产品质量安全监测计划，对生产中或者市场上销售的农产品进行监督抽查。监督抽查结果由国务院农业行政主管部门或者省、自治区、直辖市人民政府农业行政主管部门按照权限予以公布。</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监督抽查检测应当委托符合本法第三十五条规定条件的农产品质量安全检测机构进行，不得向被抽查人收取费用，抽取的样品不得超过国务院农业行政主管部门规定的数量。上级农业行政主管部门监督抽查的农产品，下级农业行政主管部门不得另行重复抽查。</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《兽药管理条例》第四十二条第一款 国务院兽医行政管理部门，应当制定并组织实施国家动物及动物产品兽药残留监控计划。</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《兽药管理条例》第四十二条第二款 县级以上人民政府兽医行政管理部门，负责组织对动物产品中兽药残留量的检测。兽药残留检测结果，由国务院兽医行政管理部门或者省、自治区、直辖市人民政府兽医行政管理部门按照权限予以公布。</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《兽药管理条例》第七十四条水产养殖中的兽药使用、兽药残留检测和监督管理以及水产养殖过程中违法用药的行政处罚，由县级以上人民政府渔业主管部门及其所属的渔政监督管理机构负责。</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官渡区农业农村局（13类13项）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农业转基因生物安全监督抽查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在我国境内从事农业转基因生物研究、试验、生产、加工、经营和进口、出口活动</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在我国境内从事农业转基因生物研究、试验、生产、加工、经营和进口、出口活动的单位和个人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《农业转基因生物安全管理条例》第四条第二款 县级以上地方各级人民政府农业行政主管部门负责本行政区域内的农业转基因生物安全的监督管理工作。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《农业转基因生物安全管理条例》第三十八条 农业行政主管部门履行监督检查职责时，有权采取下列措施：（一）询问被检查的研究、试验、生产、加工、经营或者进口、出口的单位和个人、利害关系人、证明人，并要求其提供与农业转基因生物安全有关的证明材料或者其他资料；（二）查阅或者复制农业转基因生物研究、试验、生产、加工、经营或者进口、出口的有关档案、账册和资料等；（三）要求有关单位和个人就有关农业转基因生物安全的问题作出说明；（四）责令违反农业转基因生物安全管理的单位和个人停止违法行为；（五）在紧急情况下，对非法研究、试验、生产、加工、经营或者进口、出口的农业转基因生物实施封存或者扣押。</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《农业转基因生物安全管理条例》第三十九条 农业行政主管部门工作人员在监督检查时，应当出示执法证件。</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《农业转基因生物安全管理条例》第四十条有关单位和个人对农业行政主管部门的监督检查，应当予以支持、配合，不得拒绝、阻碍监督检查人员依法执行职务。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《农业转基因生物安全评价管理办法》第三十二条县级以上地方各级人民政府农业行政主管部门按照《条例》第三十九第和第四十条的规定负责农业转基因生物安全的监督管理工作。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《农业转基因生物标识管理办法》第四条第二款 县级以上地方各级人民政府农业行政主管部门负责本行政区域内的农业转基因生物标识的监督管理工作。</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官渡区农业农村局（13类13项）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水生野生动物及其制品利用活动的监督抽查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水生野生动物及其制品利用活动</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经批准的利用水生野生动物及其制品的事业单位、企业、社会组织和个人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官渡区农业农村局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《野生动物保护法》第三十四条第一款 县级以上人民政府野生动物保护主管部门应当对科学研究、人工繁育、公众展示展演等利用野生动物及其制品的活动进行监督管理。</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《水生野生动物保护实施条例》第十九条 县级以上各级人民政府渔业行政主管部门和工商行政管理部门，应当对水生野生动物或者其产品的经营利用建立监督检查制度，加强对经营利用水生野生动物或者其产品的监督管理。</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对进入集贸市场的水生野生动物或者其产品，由工商行政管理部门进行监督管理，渔业行政主管部门给予协助；在集贸市场以外经营水生野生动物或者其产品，由渔业行政主管部门、工商行政管理部门或者其授权的单位进行监督管理。</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《云南省渔业条例》第三十五条 县级以上人民政府工商行政管理部门、渔业行政主管部门应当建立水生野生动物及其产品经营利用的监督检查制度，加强对进入市场的水生野生动物及其产品的监督管理。</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官渡区水务局（12类18项）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水土保持检查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对生产建设项目水土保持方案实施情况及水土保持情况的行政检查。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生产建设单位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官渡区水务局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《中华人民共和国水土保持法》第二十九条、《云南省水土保持条例》第三十三条。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防汛检查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对防汛抗洪工作的行政检查。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各类市场主体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官渡区水务局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《中华人民共和国防汛条例》第十五条、《中华人民共和国防洪法》第二十八条、第三十六条。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官渡区水务局（12类18项）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取用水检查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对单位取用水行为的行政检查。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各类市场主体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官渡区水务局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《取水许可和水资源费征收管理条例》第四十五条。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涉河活动检查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对河道管理范围内有关活动（不含河道采砂）的行政检查。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各类市场主体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官渡区水务局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《中华人民共和国河道管理条例》第四条、《中华人民共和国河道管理条例》第八条、《中华人民共和国行政许可法》第六十一条。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洪水影响评价检查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对编制洪水影响评价报告非防洪建设项目的行政检查。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各类市场主体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官渡区水务局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《中华人民共和国行政许可法》第六十一条、《中华人民共和国行政许可法》第六十三条、《水行政许可实施办法》第四十五条、《水利部关于加强非防洪建设项目洪水影响评价工作的通知》（水汛[2017]359号）。</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官渡区水务局（12类18项）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涉河项目检查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对河道管理范围内建设项目的行政检查。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各类市场主体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官渡区水务局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《河道管理范围内建设项目管理的有关规定》第十一条、《河道管理范围内建设项目管理的有关规定》第十二条、《河道管理范围内建设项目管理的有关规定》第十三条。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水利工程安全检查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对水利工程建设安全生产的行政检查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水利工程建设市场主体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官渡区水务局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《中华人民共和国安全生产法》第五十九条 县级以上地方各级人民政府应当根据本行政区域内的安全生产状况，组织有关部门按照职责分工，对本行政区域内容易发生重大生产安全事故的生产经营单位进行严格检查。</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《建设工程安全生产管理条例》第四十条 县级以上地方人民政府交通、水利等有关部门在各自的职责范围内，负责本行政区域内的专业建设工程安全生产的监督管理。</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《水利工程建设安全生产管理规定》第二十九条、第二十九条 省、自治区、直辖市人民政府水行政主管部门负责本行政区域内所管辖的水利工程建设安全生产的监督管理工作。</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官渡区水务局（12类18项）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检测资质检查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对水利工程质量检测单位（乙级）的行政检查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水利工程质量检测单位（乙级）</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官渡区水务局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《水利工程质量检测管理规定》第二十一条 县级以上人民政府水行政主管部门应当加强对检测单位及其质量检测活动的监督检查。</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水利工程质量检查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水利建设工程质量的法律、法规和强制性标准执行情况的行政检查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水利工程建设市场主体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官渡区水务局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《建设工程质量管理条例》第四十三条 县级以上地方人民政府交通、水利等有关部门在各自的职责范围内，负责对本行政区域内的专业建设工程质量的监督管理。第四十七条县级以上地方人民政府建设行政主管部门和其他有关部门应当加强对有关建设工程质量的法律、法规和强制性标准执行情况的监督检查。</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《水利工程质量管理规定》第十条 政府对水利工程的质量实行监督的制度。水利工程按照分级管理的原则由相应水行政主管部门授权的质量监督机构实施质量监督。第十一条 各级水利工程质量监督机构，必须建立健全质量监督工作机制，完善监督手段，增强质量监督的权威性和有效性。各级水利工程质量监督机构，要加强对贯彻执行国家和水利部有关质量法规、规范情况的检查，坚决查处有法不依、执法不严、违法不究以及滥用职权的行为。</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官渡区水务局（12类18项）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招投标检查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对水利工程建设项目招标投标活动的行政检查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水利工程建设管理市场主体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官渡区水务局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县级以上水利部门 《中华人民共和国招标投标法》第四十九条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 第六十一条 本章规定的行政处罚，由国务院规定的有关行政监督部门决定。本法已对实施行政处罚的机关作出规定的除外。第七条 招标投标活动及其当事人应当接受依法实施的监督。有关行政监督部门依法对招标投标活动实施监督，依法查处招标投标活动中的违法行为。 对招标投标活动的行政监督及有关部门的具体职权划分，由国务院规定。</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国务院办公厅印发国务院有关部门实施招标投标活动行政监督的职责分工的意见》（国办发〔2000〕34号）三、对于招投标过程（包括招标、投标、开标、评标、中标）中泄露保密资料、泄露标底、串通招标、串通投标、歧视排斥投标等违法活动的监督执法，按现行的职责分工，分别由有关行政主管部门负责并受理投标人和其他利害关系人的投诉。按照这一原则，工业（含内贸）、水利、交通、铁道、民航、信息产业等行业和产业项目的招标投标活动的监督执法，分别由经贸、水利、交通、铁道、民航、信息产业等行政主管部门负责；各类房屋建筑及其附属设施的建造和与其配套的线路、管道、设备的安装项目和市政工程项目的招投标活动的监督执法，由建设行政主管部门负责；进口机电设备采购项目的招投标活动的监督执法，由外经贸行政主管部门负责。</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《水利工程建设项目招标投标管理规定》(2001年水利部令第14号)第七条 省、自治区、直辖市人民政府水行政主管部门是本行政区域内地方水利工程建设项目招标投标活动的行政监督与管理部门，其主要职责是：（一）贯彻执行有关招标投标的法律、法规、规章和政策；（二）依照有关法律、法规和规章，制定地方水利工程建设项目招标投标的管理办法；（三）受理管理权限范围内的水利工程建设项目招标投标活动的投诉，依法查处招标投标活动中的违法违规行为；（四）对本行政区域内地方水利工程建设项目招标代理活动进行监督；（五）组建并管理省级水利工程建设项目评标专家库；（六）负责本行政区域内除第五条第六项规定以外的地方项目的招标投标活动的行政监督。</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官渡区水务局（12类18项）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河道采砂检查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对河道采砂的行政检查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河道采砂市场主体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官渡区水务局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《中华人民共和国河道管理条例》第四条 国务院水利行政主管部门是全国河道的主管机关。各省、自治区、直辖市的水利行政主管部门是该行政区域的河道主管机关。</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《中华人民共和国河道管理条例》第八条 各级人民政府河道主管机关以及河道监理人员，必须按照国家法律、法规，加强河道管理，执行供水计划和防洪调度命令，维护水工程和人民生命财产安全。</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官渡区水务局（12类18项）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水利工程检查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对利用堤顶、戗台兼做公路的行政检查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各类市场主体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官渡区水务局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《中华人民共和国河道管理条例》第十五条 确需利用堤顶或者戗台兼做公路的，须经县级以上地方人民政府河道主管机关批准。堤身和堤顶公路的管理和维护办法，由河道主管机关商交通部门制定。</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对已审批水利基建项目初步设计文件的行政检查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水利工程建设市场主体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官渡区水务局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《水行政许可实施办法》第四十五条 水行政许可实施机关应当建立健全监督制度，按照管理权限和职责分工，对公民、法人或者其他组织从事水行政许可事项的活动履行监督检查责任。省、自治区、直辖市人民政府水行政主管部门应当依法明确本行政区域内各级水行政主管部门的具体监督检查职责，流域管理机构应当依法明确其下属管理机构的具体监督检查职责。</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《国务院对确需保留的行政审批项目设定行政许可的决定》（国务院令第412号）第172项“水利基建项目初步设计文件审批”。实施机关：县级以上人民政府水行政主管部门。</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《水利工程建设程序管理暂行规定》（水建〔1998〕16号）第六条：初步设计阶段3．初步设计文件报批前，一般须由项目法人委 托有相应资格的工程咨询机构或组织行业各方面（包括管理、设计、施工、咨询等方面）的专家，对初步设计中的重大问题，进行咨询论证。设计单位根据咨询论证意见，对初步设计文件进行补充、修改、优化。初步设计由项目法人组织审查后，按国家现行规定权限向主管部门申报审批。</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云南省人民政府关于简政放权取消和调整部分省级行政审批项目的决定》（云政发（2013）44号）附件2第97项：实施机关：水利厅，项目名称：水利基本建设项目初步设计文件审批，调整方式：部分下放，备注：除中型以上水利基建项目和国家规定必须由省级审批的项目外，其余下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官渡区水务局（12类18项）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水利工程检查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对坝顶兼做公路的行政检查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各类市场主体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官渡区水务局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《水库大坝安全管理条例》第十六条 大坝坝顶确需兼做公路的，须经科学论证和大坝主管部门批准，并采取相应的安全维护措施。</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官渡区水务局（12类18项）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水利工程检查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对占用农业灌溉水源、灌排工程设施的行政检查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各类市场主体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官渡区水务局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《农田水利条例》第二十六条 县级以上人民政府水行政主管部门应当加强对农田灌溉排水的监督和指导，做好技术服务。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官渡区水务局（12类18项）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水利工程检查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对在大坝管理和保护范围内修建码头、渔塘的行政检查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各类市场主体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官渡区水务局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《中华人民共和国防洪法》第三十六条 各级人民政府应当组织有关部门加强对水库大坝的定期检查和监督管理。</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《水库大坝安全管理条例》第三条 国务院水行政主管部门会同国务院有关主管部门对全国的大坝安全实施监督。县级以上地方人民政府水行政主管部门会同有关主管部门对本行政区域内的大坝安全实施监督。</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 xml:space="preserve">    各级水利、能源、建设、交通、农业等有关部门，是其所管辖的大坝的主管部门。</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《水库大坝安全管理条例》第十七条 禁止在坝体修建码头、渠道、堆放杂物、晾晒粮草。在大坝管理和保护范围内修建码头、鱼塘的，须经大坝主管部门批准，并与坝脚和泄水、输水建筑物保持一定距离，不得影响大坝安全、工程管理和抢险工作。</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《河道管理范围内建设项目管理的有关规定》第十一条 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官渡区水务局（12类18项）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水利工程检查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对水利工程采用没有国家技术标准新技术、新材料的行政检查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水利工程建设市场主体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官渡区水务局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《建设工程勘察设计管理条例》第二十九条 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《建设工程勘察设计管理条例》第五条第一款 县级以上人民政府建设行政主管部门和交通、水利等有关部门应当依照本条例的规定，加强对建设工程勘察、设计活动的监督管理。</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官渡区水务局（12类18项）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水利工程检查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对水工程运行和水工程安全活动的行政检查。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水利工程管理单位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官渡区水务局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《中华人民共和国水法》第四十一条、《中华人民共和国防洪法》第三十五条、《水库大坝安全管理条例》第十二条、《中华人民共和国河道管理条例》第二十二条、第二十三条、第二十四条、第二十六条。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官渡区商务和投资促进局（7类7项）  </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监控化学品生产、经营、使用及进出口单位的监控化学品有关情况进行监督检查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监控化学品生产、经营、使用及进出口单位的监控化学品有关情况进行监督检查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监控化学品生产、经营、使用及进出口单位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官渡区商务和投资促进局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《&lt;中华人民共和国监控化学品管理条例&gt;实施细则》第四十四条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工业企业节能监督检查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工业企业节能监督检查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工业企业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官渡区商务和投资促进局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《中华人民共和国节约能源法》；</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《工业节能管理办法》（国家工业和信息化部令第33号（2016年））相关条款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官渡区商务和投资促进局（7类7项）  </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报废机动车回收企业的检查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报废机动车回收企业的检查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报废机动车回收企业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官渡区商务和投资促进局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《报废机动车回收管理办法》第四条、第十六条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汽车销售及其相关服务活动检查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汽车销售行为合规检查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汽车销售经销商</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实地检查等</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官渡区商务和投资促进局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《汽车销售管理办法》（商务部令2017年第1号）第二十九条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二手车经营活动检查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二手车交易行为合规检查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二手车交易市场、二手车经营主体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实地检查等</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官渡区商务和投资促进局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1.《二手车流通管理办法》（商务部、公安部、国家工商总局、国家税务总局二OO五年第2号令）第七条；2.《云南省商务厅 公安厅 工商局 国税局 地税局关于进一步贯彻〈二手车流通管理办法〉的实施意见》（云商市〔2011〕178号）第一条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官渡区商务和投资促进局（7类7项）  </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对单用途商务预付卡发卡企业的检查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1.单用途商业预付卡发卡企业是否在开展单用途卡业务后按有关规定向其工商登记注册地人民政府商务主管部门备案； </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2.发卡企业是否履行发卡与服务相关义务；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 xml:space="preserve">3.发卡企业是否违反资金管理的有关规定； </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4.发卡企业是否建立业务处理系统及履行技术故障报告义务。</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单用途商业预付卡发卡企业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实地检查、网络系统检查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官渡区商务和投资促进局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《单用途商业预付卡管理办法（试行）》（商务部令2012年第9号）第二章第七条、第十二条；第三章第十四至二十二条；第四章第二十四条至二十七条、第二十九条、第三十一条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官渡区商务和投资促进局（7类7项）  </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对对外劳务合作企业的检查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1.是否存在未依法取得对外劳务合作经营资格，从事对外劳务合作的行为；</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2.是否存在违规组织对外劳务的行为和违规安排随行管理人员的行为。</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3.是否依照《对外劳务合作管理条例》规定缴存或者补足备用金。</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4.是否存在（1）未安排劳务人员接受培训，组织劳务人员赴国外工作的行为；（2）未依照《对外劳务合作管理条例》规定为劳务人员购买在国外工作期间的人身意外伤害保险；（3）未依照《对外劳务合作管理条例》规定安排随行管理人员等行为。</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5.是否存在对外劳务合同违法的行为。</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6.是否履行备案等相关手续的行为。</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对外劳务合作企业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官渡区商务和投资促进局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《对外劳务合作管理条例》（中华人民共和国国务院令第620号）第五章第三十九条、第四十条、第四十一条、四十二条、第四十三条第一款、第四十五条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涂改、出租、出借或者以其他方式转让《网络文化经营许可证》，尚不构成刑事处罚的</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《互联网上网服务营业场所管理条例》第二十九条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互联网上网服务营业场所经营单位利用营业场所制作、下载、复制、查阅、发布、传播或者以其他方式使用含有本条例第十四条规定禁止含有的内容的信息</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《互联网上网服务营业场所管理条例》第三十条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在规定的营业时间以外营业</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《互联网上网服务营业场所管理条例》第三十一条第一款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接纳未成年人进入营业场所</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《互联网上网服务营业场所管理条例》第三十一条第二款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经营非网络游戏</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《互联网上网服务营业场所管理条例》第三十一条第三款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擅自停止实施经营管理技术措施</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《互联网上网服务营业场所管理条例》第三十一条第四款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restart"/>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vMerge w:val="restart"/>
            <w:tcBorders>
              <w:top w:val="nil"/>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未悬挂《网络文化经营许可证》</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《互联网上网服务营业场所管理条例》第三十一条第五款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未悬挂未成年人禁入标志</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《互联网上网服务营业场所管理条例》第三十一条第五款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p>
        </w:tc>
        <w:tc>
          <w:tcPr>
            <w:tcW w:w="1450" w:type="dxa"/>
            <w:vMerge w:val="continue"/>
            <w:tcBorders>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向上网消费者提供的计算机未通过局域网的方式接入互联网</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《互联网上网服务营业场所管理条例》第三十二条第一款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未建立场内巡查制度，或者发现上网消费者的违法行为未予制止并向文化行政部门、公安机关举报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《互联网上网服务营业场所管理条例》第三十二条第二款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未按规定核对、登记上网消费者的有效身份证件或者记录有关上网信息</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《互联网上网服务营业场所管理条例》第三十二条第三款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未按规定时间保存登记内容、记录备份，或者在保存期内修改、删除登记内容、记录备份</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《互联网上网服务营业场所管理条例》第三十二条第四款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违反《互联网上网服务营业场所管理条例》第二十四条规定，情节严重的</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《互联网上网服务营业场所管理条例》第三十三条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歌舞娱乐场所的歌曲点播系统与境外的曲库联接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歌舞娱乐场所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《娱乐场所管理条例》第四十八条第一款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舞娱乐场所播放的曲目、屏幕画面含有本条例第十三条禁止内容</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歌舞娱乐场所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《娱乐场所管理条例》第四十八条第二款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游艺娱乐场所电子游戏机内的游戏项目含有本条例第十三条禁止内容</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游艺娱乐场所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《娱乐场所管理条例》第四十八条第二款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歌舞娱乐场所接纳未成年人</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歌舞娱乐场所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《娱乐场所管理条例》第四十八条第三款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游艺娱乐场所设置的电子游戏机在国家法定节假日外向未成年人提供</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游艺娱乐场所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《娱乐场所管理条例》第四十八条第四款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娱乐场所容纳的消费者超过核定人数</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歌舞娱乐场所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《娱乐场所管理条例》第四十八条第五款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变更有关事项，未按照《娱乐场所管理条例》规定申请重新核发娱乐经营许可证</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歌舞娱乐场所、游艺娱乐场所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《娱乐场所管理条例》第四十九条第一款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在《娱乐场所管理条例》规定的禁止营业时间内营业</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歌舞娱乐场所、游艺娱乐场所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《娱乐场所管理条例》第四十九条第二款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从业人员在营业期间未统一着装并佩带工作标志</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歌舞娱乐场所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《娱乐场所管理条例》第四十九条第三款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娱乐场所未按照《娱乐场所管理条例》规定建立从业人员名簿</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歌舞娱乐场所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《娱乐场所管理条例》第五十条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娱乐场所未按照《娱乐场所管理条例》规定建立从业日志</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歌舞娱乐场所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《娱乐场所管理条例》第五十条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发现违法犯罪行为未按照《娱乐场所管理条例》规定报告</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歌舞娱乐场所、游艺娱乐场所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《娱乐场所管理条例》第五十条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娱乐场所未按照《娱乐场所管理条例》规定悬挂警示标志、未成年人禁入或者限入标志</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歌舞娱乐场所、游艺娱乐场所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《娱乐场所管理条例》第五十一条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娱乐场所及其从业人员实施条例第十四条所列行为，或者为进入娱乐场所的人员实施上述行为提供条件</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歌舞娱乐场所、游艺娱乐场所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《娱乐场所管理条例》第四十三条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娱乐场所指使、纵容从业人员侵犯消费者人身权利的，造成严重后果的</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歌舞娱乐场所、游艺娱乐场所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《娱乐场所管理条例》第四十六条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擅自变更场所使用的歌曲点播系统</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歌舞娱乐场所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《娱乐场所管理条例》第四十九条第一款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设置未经文化主管部门内容核查的游戏游艺设备</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游艺娱乐场所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《娱乐场所管理办法》第三十条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进行有奖经营活动的，奖品目录未报所在地县级文化主管部门备案</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游艺娱乐场所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《娱乐场所管理办法》第第三十条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擅自变更游戏游艺设备</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游艺娱乐场所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《娱乐场所管理办法》第三十条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未实行游戏、游艺分区经营，或者设有明显的分区标志</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游艺娱乐场所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《娱乐场所管理办法》第三十条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娱乐场所为未经文化主管部门批准的营业性演出活动提供场地</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歌舞娱乐场所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《娱乐场所管理办法》第三十一条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违法违规行为未及时采取措施制止并依法报告</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歌舞娱乐场所、游艺娱乐场所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《娱乐场所管理办法》第三十二条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娱乐场所未在显著位置悬挂娱乐经营许可证、未成年人禁入或者限入标志，或者未注明“12318”文化市场举报电话</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歌舞娱乐场所、游艺娱乐场所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《娱乐场所管理办法》第三十三条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娱乐场所不配合文化主管部门的日常检查和技术监管措施</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歌舞娱乐场所、游艺娱乐场所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《娱乐场所管理办法》第三十四条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除国家法定节假日外接纳未成年人进入游戏区</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游艺娱乐场所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《娱乐场所管理办法》第三十条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经营含有《艺术品经营管理办法》第六条禁止内容</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艺术品经营单位或场所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《艺术品经营管理办法》第二十条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经营《艺术品经营管理办法》第七条禁止经营的艺术品</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艺术品经营单位或场所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《艺术品经营管理办法》第二十条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向消费者隐瞒艺术品来源，或者在艺术品说明中隐瞒重要事项，误导消费者</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艺术品经营单位或场所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《艺术品经营管理办法》第二十一条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伪造、变造艺术品来源证明、艺术品签定评估文件以及其他交易凭证</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艺术品经营单位或场所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《艺术品经营管理办法》第二十一条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以非法集资为目的或者以非法传销为手段进行经营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艺术品经营单位或场所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《艺术品经营管理办法》第二十一条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未经批准，将艺术品权益拆分为均等份额公开发行，以集中竟价、做市商等集中交易方式进行交易</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艺术品经营单位或场所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《艺术品经营管理办法》第二十一条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未标明所经营的艺术品作者、年代、尺寸、材料、保存状况和销售价格等信息</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艺术品经营单位或场所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《艺术品经营管理办法》第二十二条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未按规定期限保留交易有关的原始凭证、销售合同、台账、账簿等销售记录</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艺术品经营单位或场所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《艺术品经营管理办法》第二十二条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艺术品经营单位从事艺术品鉴定、评估等服务未与委托人签订书面协议，或者签订了协议，但协议未约定鉴定、评估的事项，鉴定、评估的结论适用范围以及被委托人应当承担的责任</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艺术品经营单位或场所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《艺术品经营管理办法》第二十二条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艺术品经营单位从事艺术品鉴定、评估等服务未明示艺术品鉴定、评估程序或者需要告知、提示委托人的事项</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艺术品经营单位或场所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《艺术品经营管理办法》第二十二条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单位从事艺术品鉴定、评估等服务未书面出具鉴定、评估结论，或者出具了鉴定、评估结论，但鉴定、评估结论不包括对委托艺术品的全面客观说明，鉴定、评估的程序，做出鉴定、评估结论的证据，鉴定、评估结论的责任说明，并对鉴定、评估结论的真实性负责</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艺术品经营单位或场所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《艺术品经营管理办法》第二十二条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艺术品经营单位从事艺术品鉴定、评估等服务保留书面鉴定、评估结论副本及鉴定、评估人签字等档案少于5年</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艺术品经营单位或场所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《艺术品经营管理办法》第二十二条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从境外进口或者向境外出口艺术品，未技照《艺术品经营管理办法》第十四条规定办理相关手续</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艺术品经营单位或场所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《艺术品经营管理办法》第二十三条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销售或者利用其他商业形式传播未经文化行政部门批准进口的艺术品</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艺术品经营单位或场所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《艺术品经营管理办法》第二十三条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互联网文化单位检查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非经营性互联网文化单位逾期未办理备案手续的</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非经营性互联网文化单位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实地检查、网络检查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《互联网文化管理暂行规定》第二十二条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互联网文化单位检查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经营性互联网文化单位未在其网站主页的显著位置标明《网络文化经营许可证》编号</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经营性互联网文化单位及其经营活动</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实地检查、网络检查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《互联网文化管理暂行规定》第二十三条第一款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互联网文化单位检查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非经营性互联网文化单位未在其网站主页的显著位置标明《网络文化经营许可证》备案编号</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非经营性互联网文化单位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实地检查、网络检查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《互联网文化管理暂行规定》第二十三条第二款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互联网文化单位检查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经营性互联网文化单位变更有关信息未办理变更手续</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经营性互联网文化单位及其经营活动</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实地检查、网络检查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《互联网文化管理暂行规定》第二十四条第一款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互联网文化单位检查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非经营性互联网文化单位变更有关信息未办理备案手续</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非经营性互联网文化单位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实地检查、网络检查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《互联网文化管理暂行规定》第二十四条第二款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互联网文化单位检查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经营性互联网文化单位经营进ロ互联网文化产品未在其显著位置标明文化部批准文号</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经营性互联网文化单位及其经营活动</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实地检查、网络检查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《互联网文化管理暂行规定》第二十五条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互联网文化单位检查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经营性互联网文化单位经营国产互联网文化产品未在其显著位置标明文化部备案编号的</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经营性互联网文化单位及其经营活动</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实地检查、网络检查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《互联网文化管理暂行规定》第二十五条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互联网文化单位检查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经营性互联网文化单位擅自变更进口互联网文化产品的名称或者增删内容的</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经营性互联网文化单位及其经营活动</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实地检查、网络检查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《互联网文化管理暂行规定》第二十六条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互联网文化单位检查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经营性互联网文化单位经营国产互联网文化产品逾期未报文化行政部门备案的</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经营性互联网文化单位及其经营活动</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实地检查、网络检查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《互联网文化管理暂行规定》第二十七条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互联网文化单位检查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经营性互联网文化单位提供含有禁止内容的互联网文化产品</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经营性互联网文化单位及其经营活动</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实地检查、网络检查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《互联网文化管理暂行规定》第二十八条第一款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互联网文化单位检查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经营性互联网文化单位提供未经文化部批准进口的互联网文化产品的</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经营性互联网文化单位及其经营活动</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实地检查、网络检查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《互联网文化管理暂行规定》第二十八条第二款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经营场所</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《旅游法》第二十八条、第八十三条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营业设施</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《旅游法》第二十八条、第八十三条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注册资本</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《旅游法》第二十八条、第八十三条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质量保证金</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《旅游法》第二十八条、第八十三条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旅行社是否取得经营许可</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《旅游法》第八十五条；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《云南省旅游条例》第四十一条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旅行社是否安排取得导游证或领队证的人员提供导游或领队服务。</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《旅游法》第八十五条；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《云南省旅游条例》第四十一条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旅行社是否超范围经营和出租、出借、转让经营许可</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《旅游法》第八十三条、《旅行社条例》第四十四条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旅行社分支机构是否按规定备案</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《旅游法》第八十三条；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《旅行社条例》第四十四条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旅行社是否按规定悬挂许可证、备案证明</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《旅游法》第八十三条；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《旅行社条例》第四十四条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有无出现不合理低价、虚假宣传、价格欺诈等损害消费者合法权益的行为</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《旅游法》第八十五条；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《旅行社条例》第四十四条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是否按规定投保旅行社责任保险</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《旅游法》第八十五条；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《旅行社条例》第四十四条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是否安排违法或违反社会公德的活动。</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《旅游法》第八十五条；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《旅行社条例》第四十四条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旅行社是否依法与旅游者签订旅游合同</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《旅游法》第八十五条；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《旅行社条例》第四十四条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是否提供与合同内容相符的旅游服务</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《旅游法》第八十五条；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《旅行社条例》第四十四条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旅行社是否按规定安排导游或领队</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《旅游法》第八十三条；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九十七条《云南省旅游条例》第二十六条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旅行社是否向合格的供应商订购产品和服务</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《旅游法》第八十三条；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九十七条《云南省旅游条例》第二十六条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接待旅游团队的旅游经营者及其从业人员是否经等级认定或评定</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旅行社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《旅游法》第八十三条；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九十七条《云南省旅游条例》第二十六条</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导游和领队的检查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导游、领队是否私自承揽业务。</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导游和领队</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《旅游法》第八十五条；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《云南省旅游条例》第二十八条第一款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导游和领队的检查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导游、领队是否向旅游者兜售物品或者购买旅游者的物品</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导游和领队</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《旅游法》第八十五条；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《云南省旅游条例》第二十八条第一款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官渡区文化和旅游局（6类83项）</w:t>
            </w:r>
          </w:p>
        </w:tc>
        <w:tc>
          <w:tcPr>
            <w:tcW w:w="1450" w:type="dxa"/>
            <w:tcBorders>
              <w:top w:val="nil"/>
              <w:left w:val="nil"/>
              <w:bottom w:val="single" w:color="auto" w:sz="4" w:space="0"/>
              <w:right w:val="single" w:color="auto" w:sz="4" w:space="0"/>
            </w:tcBorders>
            <w:shd w:val="clear" w:color="auto" w:fill="auto"/>
            <w:vAlign w:val="center"/>
          </w:tcPr>
          <w:p>
            <w:pPr>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导游和领队的检查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导游是否按规定携带相关证件、佩戴等级评定标志</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导游和领队</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官渡区文化和旅游局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《旅游法》第八十五条；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《云南省旅游条例》第二十八条第一款</w:t>
            </w:r>
          </w:p>
        </w:tc>
        <w:tc>
          <w:tcPr>
            <w:tcW w:w="708"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官渡区卫生健康局（11类11项</w:t>
            </w:r>
          </w:p>
        </w:tc>
        <w:tc>
          <w:tcPr>
            <w:tcW w:w="1450"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消毒产品生产企业的监督检查</w:t>
            </w:r>
          </w:p>
        </w:tc>
        <w:tc>
          <w:tcPr>
            <w:tcW w:w="1884"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1.消毒产品生产企业卫生许可资质；</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2.按照批准的类别和项目开展生产的情况；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3.从业人员配备和管理情况；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4.原材料卫生质量情况；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5.生产过程规范情况；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6.产品质量控制情况；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7.进行产品卫生安全评价报告及备案情况。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消毒产品生产企业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官渡区卫生健康局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《中华人民共和国传染病防治法》（2013年6月第二次修正）第六条第一款、第五十三条第一款第四项</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《消毒管理办法》（2017年12月修订）第三十六条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涉及饮用水卫生安全产品的监督检查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相关法律法规、标准的执行情况；2.按照批准的类别和项目组织生产的情况；3.产品配方原料、生产工艺、卫生许可批件、检验报告、生产检验设备、生产环境、仓储、索证、生产地址、产品标签标识、生产用水、生产车间布局、从业人员培训、个人卫生等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生产涉及饮用水卫生安全的产品企业；</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销售涉及饮用水卫生安全的产品经营单位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官渡区卫生健康局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《中华人民共和国传染病防治法》（2013年6月第二次修正）第六条第一款、第五十三条第一款第四项</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《生活饮用水卫生监督管理办法》（2016年修订）第三条第一款、第十六条第一款、第二十三条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学校卫生的监督检查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1.学校教学和生活环境、传染病防控、学校饮用水以及学校内游泳场所的卫生管理情况；</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2.托幼机构的饮用水卫生、传染病预防和控制等。</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区辖区内学校</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官渡区卫生健康局</w:t>
            </w:r>
          </w:p>
        </w:tc>
        <w:tc>
          <w:tcPr>
            <w:tcW w:w="3986" w:type="dxa"/>
            <w:tcBorders>
              <w:top w:val="single" w:color="auto" w:sz="4" w:space="0"/>
              <w:left w:val="nil"/>
              <w:bottom w:val="single" w:color="auto" w:sz="4" w:space="0"/>
              <w:right w:val="single" w:color="auto" w:sz="4" w:space="0"/>
            </w:tcBorders>
            <w:shd w:val="clear" w:color="auto" w:fill="auto"/>
            <w:vAlign w:val="bottom"/>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《学校卫生工作条例》第四条、第二十八条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《中华人民共和国传染病防治法》 （2013年6月第二次修正）第五十三条第一款第四项</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《生活饮用水卫生监督管理办法》（2016年修订）第三条第一款、第十六条第一款、第二十三条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《学校卫生工作条例》第四条、第二十八条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《公共场所卫生管理条例》（2019年修订）第十一条、第十二条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《公共场所卫生管理条例实施细则》（2017年12月修订）第三条第二款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《托儿所幼儿园卫生保健管理办法》第四条第一款、第五条第三款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官渡区卫生健康局（11类11项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公共场所卫生的监督检查</w:t>
            </w:r>
          </w:p>
        </w:tc>
        <w:tc>
          <w:tcPr>
            <w:tcW w:w="1884" w:type="dxa"/>
            <w:tcBorders>
              <w:top w:val="nil"/>
              <w:left w:val="nil"/>
              <w:bottom w:val="single" w:color="auto" w:sz="4" w:space="0"/>
              <w:right w:val="single" w:color="auto" w:sz="4" w:space="0"/>
            </w:tcBorders>
            <w:shd w:val="clear" w:color="auto" w:fill="auto"/>
            <w:vAlign w:val="bottom"/>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1.是否取得公共场所卫生许可证开展经营活动；</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2.公共场所卫生检测及管理情况；</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3.艾滋病防控工作落实情况；</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4.从业人员是否取得有效健康合格证明；</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5.传染病流行期间的传染病预防、控制措施情况。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辖区内公共场所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官渡区卫生健康局</w:t>
            </w:r>
          </w:p>
        </w:tc>
        <w:tc>
          <w:tcPr>
            <w:tcW w:w="3986" w:type="dxa"/>
            <w:tcBorders>
              <w:top w:val="single" w:color="auto" w:sz="4" w:space="0"/>
              <w:left w:val="nil"/>
              <w:bottom w:val="single" w:color="auto" w:sz="4" w:space="0"/>
              <w:right w:val="single" w:color="auto" w:sz="4" w:space="0"/>
            </w:tcBorders>
            <w:shd w:val="clear" w:color="auto" w:fill="auto"/>
            <w:vAlign w:val="bottom"/>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《中华人民共和国传染病防治法》 （2013年6月第二次修正）第五十三条第一款第六项</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《公共场所卫生管理条例》（2019年修订）第十一条、第十二条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《公共场所卫生管理条例实施细则》（2017年12月修订）第三条第二款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《云南省艾滋病防治条例》第十八条、第三十条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官渡区卫生健康局（11类11项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传染病防治的监督检查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1.建立传染病防治、疫情报告、医疗废物、生物安全等管理组织；</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2.重复使用和一次性医疗器械的使用；</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3.预防接种管理；</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4.医疗废物收集、运输、贮存、处置活动中的疾病防治；</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5.法定传染病疫情报告；</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6.传染病疫情控制及消毒隔离制度执行情况；</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7.病源微生物实验室生物安全管理。</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官渡区卫生健康局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《中华人民共和国传染病防治法》 （2013年6月第二次修正）第五十三条第一款第二项、第五项；</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《中华人民共和国传染病防治法实施办法》第三条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《中华人民共和国疫苗管理法》第八条第二款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《突发公共卫生事件与传染病疫情监测信息报告管理办法》第四条第二款、第三十三条第二款；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《医疗废物管理条例》第五条第一款、第三十四条、第三十五条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《医疗卫生机构医疗废物管理办法》第三条第二款、第三十三条、第三十四条；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《病原微生物实验室生物安全管理条例》（2018年3月修改）第四十九条第一款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《医院感染管理办法》第四条第二款、第二十八条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《医疗机构临床实验室管理办法》第四条第二款、第四十八条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《医疗机构传染病预检分诊管理办法》第十条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《人类传染的高致病性病源微生物实验室和实验活动生物安全审批管理办法》第四条第三款  第二十八条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《艾滋病防治条例》第四条第二款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《医疗器械监督管理条例》第三条第二款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官渡区卫生健康局（11类11项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医疗卫生的监督检查</w:t>
            </w:r>
          </w:p>
        </w:tc>
        <w:tc>
          <w:tcPr>
            <w:tcW w:w="1884" w:type="dxa"/>
            <w:tcBorders>
              <w:top w:val="nil"/>
              <w:left w:val="nil"/>
              <w:bottom w:val="single" w:color="auto" w:sz="4" w:space="0"/>
              <w:right w:val="single" w:color="auto" w:sz="4" w:space="0"/>
            </w:tcBorders>
            <w:shd w:val="clear" w:color="auto" w:fill="auto"/>
            <w:vAlign w:val="bottom"/>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1.</w:t>
            </w:r>
            <w:r>
              <w:rPr>
                <w:rFonts w:hint="eastAsia"/>
                <w:color w:val="000000" w:themeColor="text1"/>
                <w:sz w:val="20"/>
                <w:szCs w:val="20"/>
                <w14:textFill>
                  <w14:solidFill>
                    <w14:schemeClr w14:val="tx1"/>
                  </w14:solidFill>
                </w14:textFill>
              </w:rPr>
              <w:t>医疗卫生机构是否取得合法资质，执业活动是否合法；</w:t>
            </w:r>
            <w:r>
              <w:rPr>
                <w:rFonts w:hint="eastAsia"/>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2.</w:t>
            </w:r>
            <w:r>
              <w:rPr>
                <w:rFonts w:hint="eastAsia"/>
                <w:color w:val="000000" w:themeColor="text1"/>
                <w:sz w:val="20"/>
                <w:szCs w:val="20"/>
                <w14:textFill>
                  <w14:solidFill>
                    <w14:schemeClr w14:val="tx1"/>
                  </w14:solidFill>
                </w14:textFill>
              </w:rPr>
              <w:t>医师是否依法执业；</w:t>
            </w:r>
            <w:r>
              <w:rPr>
                <w:rFonts w:hint="eastAsia"/>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3.</w:t>
            </w:r>
            <w:r>
              <w:rPr>
                <w:rFonts w:hint="eastAsia"/>
                <w:color w:val="000000" w:themeColor="text1"/>
                <w:sz w:val="20"/>
                <w:szCs w:val="20"/>
                <w14:textFill>
                  <w14:solidFill>
                    <w14:schemeClr w14:val="tx1"/>
                  </w14:solidFill>
                </w14:textFill>
              </w:rPr>
              <w:t>戒毒医疗机构是否合法；</w:t>
            </w:r>
            <w:r>
              <w:rPr>
                <w:rFonts w:hint="eastAsia"/>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4.</w:t>
            </w:r>
            <w:r>
              <w:rPr>
                <w:rFonts w:hint="eastAsia"/>
                <w:color w:val="000000" w:themeColor="text1"/>
                <w:sz w:val="20"/>
                <w:szCs w:val="20"/>
                <w14:textFill>
                  <w14:solidFill>
                    <w14:schemeClr w14:val="tx1"/>
                  </w14:solidFill>
                </w14:textFill>
              </w:rPr>
              <w:t>医疗机构是否违规发布医疗广告；</w:t>
            </w:r>
            <w:r>
              <w:rPr>
                <w:rFonts w:hint="eastAsia"/>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5.</w:t>
            </w:r>
            <w:r>
              <w:rPr>
                <w:rFonts w:hint="eastAsia"/>
                <w:color w:val="000000" w:themeColor="text1"/>
                <w:sz w:val="20"/>
                <w:szCs w:val="20"/>
                <w14:textFill>
                  <w14:solidFill>
                    <w14:schemeClr w14:val="tx1"/>
                  </w14:solidFill>
                </w14:textFill>
              </w:rPr>
              <w:t>医疗技术临床应用；</w:t>
            </w:r>
            <w:r>
              <w:rPr>
                <w:rFonts w:hint="eastAsia"/>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6.</w:t>
            </w:r>
            <w:r>
              <w:rPr>
                <w:rFonts w:hint="eastAsia"/>
                <w:color w:val="000000" w:themeColor="text1"/>
                <w:sz w:val="20"/>
                <w:szCs w:val="20"/>
                <w14:textFill>
                  <w14:solidFill>
                    <w14:schemeClr w14:val="tx1"/>
                  </w14:solidFill>
                </w14:textFill>
              </w:rPr>
              <w:t>护士执业情况；</w:t>
            </w:r>
            <w:r>
              <w:rPr>
                <w:rFonts w:hint="eastAsia"/>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7.</w:t>
            </w:r>
            <w:r>
              <w:rPr>
                <w:rFonts w:hint="eastAsia"/>
                <w:color w:val="000000" w:themeColor="text1"/>
                <w:sz w:val="20"/>
                <w:szCs w:val="20"/>
                <w14:textFill>
                  <w14:solidFill>
                    <w14:schemeClr w14:val="tx1"/>
                  </w14:solidFill>
                </w14:textFill>
              </w:rPr>
              <w:t>对执业医师开具麻醉药品和精神药品处方的情况；</w:t>
            </w:r>
            <w:r>
              <w:rPr>
                <w:rFonts w:hint="eastAsia"/>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8.</w:t>
            </w:r>
            <w:r>
              <w:rPr>
                <w:rFonts w:hint="eastAsia"/>
                <w:color w:val="000000" w:themeColor="text1"/>
                <w:sz w:val="20"/>
                <w:szCs w:val="20"/>
                <w14:textFill>
                  <w14:solidFill>
                    <w14:schemeClr w14:val="tx1"/>
                  </w14:solidFill>
                </w14:textFill>
              </w:rPr>
              <w:t>医疗机构抗菌药物临床应用；</w:t>
            </w:r>
            <w:r>
              <w:rPr>
                <w:rFonts w:hint="eastAsia"/>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9.</w:t>
            </w:r>
            <w:r>
              <w:rPr>
                <w:rFonts w:hint="eastAsia"/>
                <w:color w:val="000000" w:themeColor="text1"/>
                <w:sz w:val="20"/>
                <w:szCs w:val="20"/>
                <w14:textFill>
                  <w14:solidFill>
                    <w14:schemeClr w14:val="tx1"/>
                  </w14:solidFill>
                </w14:textFill>
              </w:rPr>
              <w:t>涉及人的生物医学研究伦理工作；</w:t>
            </w:r>
            <w:r>
              <w:rPr>
                <w:rFonts w:hint="eastAsia"/>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10.</w:t>
            </w:r>
            <w:r>
              <w:rPr>
                <w:rFonts w:hint="eastAsia"/>
                <w:color w:val="000000" w:themeColor="text1"/>
                <w:sz w:val="20"/>
                <w:szCs w:val="20"/>
                <w14:textFill>
                  <w14:solidFill>
                    <w14:schemeClr w14:val="tx1"/>
                  </w14:solidFill>
                </w14:textFill>
              </w:rPr>
              <w:t>使用大型医疗设备是否经过许可；</w:t>
            </w:r>
            <w:r>
              <w:rPr>
                <w:rFonts w:hint="eastAsia"/>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11.</w:t>
            </w:r>
            <w:r>
              <w:rPr>
                <w:rFonts w:hint="eastAsia"/>
                <w:color w:val="000000" w:themeColor="text1"/>
                <w:sz w:val="20"/>
                <w:szCs w:val="20"/>
                <w14:textFill>
                  <w14:solidFill>
                    <w14:schemeClr w14:val="tx1"/>
                  </w14:solidFill>
                </w14:textFill>
              </w:rPr>
              <w:t>医疗机构残疾预防、康复工作；</w:t>
            </w:r>
            <w:r>
              <w:rPr>
                <w:rFonts w:hint="eastAsia"/>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12.</w:t>
            </w:r>
            <w:r>
              <w:rPr>
                <w:rFonts w:hint="eastAsia"/>
                <w:color w:val="000000" w:themeColor="text1"/>
                <w:sz w:val="20"/>
                <w:szCs w:val="20"/>
                <w14:textFill>
                  <w14:solidFill>
                    <w14:schemeClr w14:val="tx1"/>
                  </w14:solidFill>
                </w14:textFill>
              </w:rPr>
              <w:t>医疗机构评审评价。</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官渡区卫生健康局</w:t>
            </w:r>
          </w:p>
        </w:tc>
        <w:tc>
          <w:tcPr>
            <w:tcW w:w="3986" w:type="dxa"/>
            <w:tcBorders>
              <w:top w:val="single" w:color="auto" w:sz="4" w:space="0"/>
              <w:left w:val="nil"/>
              <w:bottom w:val="single" w:color="auto" w:sz="4" w:space="0"/>
              <w:right w:val="single" w:color="auto" w:sz="4" w:space="0"/>
            </w:tcBorders>
            <w:shd w:val="clear" w:color="auto" w:fill="auto"/>
            <w:vAlign w:val="bottom"/>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《中华人民共和国基本卫生与健康促进法》第七条第三款、第八十六条第二款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《中华人民共和国执业医师法》第四条第二款、第三十二条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《中华人民共和国精神卫生法》第八条第一款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《医疗机构管理条例》（国务院令第149号）第五条第二款、第四十条；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《医疗机构管理条例实施细则》第七十条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《医疗美容服务管理办法》第四条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《人体器官移植条例》第四条第一款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《麻醉药品和精神药品管理条例》第六十二条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《处方管理办法》第三条第二款、第五十二条第一款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《中外合资、合作医疗机构管理暂行办法》第五条第二款、第三十条第一款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《戒毒医疗服务管理暂行办法》第四条第二款、第四十一条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《抗菌药物临床应用管理办法》第三条第二款、第三十七条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《医疗质量管理办法》第三条第二款、第三十七条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《医疗机构临床用血管理办法》第二条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《医疗纠纷预防和处理条例》第六条第一款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《护士条例》第五条第二款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《医疗器械监督管理条例》第三条第二款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《医疗技术临床应用管理办法》第七条第二款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《医疗广告管理办法》第四条第二款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《医疗器械监督管理条例》第三条第二款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《医疗机构评审办法》第八条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《涉及人的生物医学研究伦理审查办法》第五条第三款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《残疾预防和残疾人康复条例》第四条第二款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《云南省医疗机构管理条例》第四条第一款、第四十一条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官渡区卫生健康局（11类11项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放射诊疗机构的监督检查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1.执行法律、法规、规章、标准和规范等情况；</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2.放射诊疗规章制度和工作人员岗位责任制等制度的落实情况；</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3.职业健康监护制度和防护措施的落实情况；</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4.放射事件调查处理和报告情况。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放射诊疗机构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官渡区卫生健康局</w:t>
            </w:r>
          </w:p>
        </w:tc>
        <w:tc>
          <w:tcPr>
            <w:tcW w:w="3986" w:type="dxa"/>
            <w:tcBorders>
              <w:top w:val="single" w:color="auto" w:sz="4" w:space="0"/>
              <w:left w:val="nil"/>
              <w:bottom w:val="single" w:color="auto" w:sz="4" w:space="0"/>
              <w:right w:val="single" w:color="auto" w:sz="4" w:space="0"/>
            </w:tcBorders>
            <w:shd w:val="clear" w:color="auto" w:fill="auto"/>
            <w:vAlign w:val="bottom"/>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《中华人民共和国职业病防治法（2018年修订）》第九条第三款、第六十二条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《放射诊疗管理规定》2016(修订）第三条第二款、第三十四条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《放射工作人员职业健康检查管理办法》第三条第二款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《放射性同位素与射线装置安全和防护条例》第三条第三款、第四十六条第一款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官渡区卫生健康局（11类11项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对采供血机构的监督检查</w:t>
            </w:r>
          </w:p>
        </w:tc>
        <w:tc>
          <w:tcPr>
            <w:tcW w:w="1884" w:type="dxa"/>
            <w:tcBorders>
              <w:top w:val="nil"/>
              <w:left w:val="nil"/>
              <w:bottom w:val="single" w:color="auto" w:sz="4" w:space="0"/>
              <w:right w:val="single" w:color="auto" w:sz="4" w:space="0"/>
            </w:tcBorders>
            <w:shd w:val="clear" w:color="auto" w:fill="auto"/>
            <w:vAlign w:val="bottom"/>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1.采供血机构及从业人员资质；</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2.按照批准的类别和项目开展执业的情况；</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3.法定传染病疫情报告；</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4.献血人员管理的情况；</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5.实验室管理情况；</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6.血液制备、包装、储存、配送的情况；</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7.医疗废物处理的情况。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采供血机构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官渡区卫生健康局</w:t>
            </w:r>
          </w:p>
        </w:tc>
        <w:tc>
          <w:tcPr>
            <w:tcW w:w="3986" w:type="dxa"/>
            <w:tcBorders>
              <w:top w:val="single" w:color="auto" w:sz="4" w:space="0"/>
              <w:left w:val="nil"/>
              <w:bottom w:val="single" w:color="auto" w:sz="4" w:space="0"/>
              <w:right w:val="single" w:color="auto" w:sz="4" w:space="0"/>
            </w:tcBorders>
            <w:shd w:val="clear" w:color="auto" w:fill="auto"/>
            <w:vAlign w:val="bottom"/>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《中华人民共和国传染病防治法》 （2013年6月第二次修正）第五十三条第一款第三项</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《中华人民共和国献血法》第四条第一款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 xml:space="preserve">《血站管理办法》（2017年12月修改）第六条第二款、第五十条 </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《单采血浆站管理办法》第五条第二款、第五十二条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《血液制品管理条例》第三条第二款、第三十条第一款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官渡区卫生健康局（11类11项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对职业健康检查、职业病诊断机构的监督检查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职业健康检查机构：</w:t>
            </w:r>
            <w:r>
              <w:rPr>
                <w:rFonts w:ascii="Calibri" w:hAnsi="Calibri"/>
                <w:color w:val="000000" w:themeColor="text1"/>
                <w:sz w:val="20"/>
                <w:szCs w:val="20"/>
                <w14:textFill>
                  <w14:solidFill>
                    <w14:schemeClr w14:val="tx1"/>
                  </w14:solidFill>
                </w14:textFill>
              </w:rPr>
              <w:t>1.</w:t>
            </w:r>
            <w:r>
              <w:rPr>
                <w:rFonts w:hint="eastAsia"/>
                <w:color w:val="000000" w:themeColor="text1"/>
                <w:sz w:val="20"/>
                <w:szCs w:val="20"/>
                <w14:textFill>
                  <w14:solidFill>
                    <w14:schemeClr w14:val="tx1"/>
                  </w14:solidFill>
                </w14:textFill>
              </w:rPr>
              <w:t>相关法律法规、标准的执行情况；</w:t>
            </w:r>
            <w:r>
              <w:rPr>
                <w:rFonts w:ascii="Calibri" w:hAnsi="Calibri"/>
                <w:color w:val="000000" w:themeColor="text1"/>
                <w:sz w:val="20"/>
                <w:szCs w:val="20"/>
                <w14:textFill>
                  <w14:solidFill>
                    <w14:schemeClr w14:val="tx1"/>
                  </w14:solidFill>
                </w14:textFill>
              </w:rPr>
              <w:t>2.</w:t>
            </w:r>
            <w:r>
              <w:rPr>
                <w:rFonts w:hint="eastAsia"/>
                <w:color w:val="000000" w:themeColor="text1"/>
                <w:sz w:val="20"/>
                <w:szCs w:val="20"/>
                <w14:textFill>
                  <w14:solidFill>
                    <w14:schemeClr w14:val="tx1"/>
                  </w14:solidFill>
                </w14:textFill>
              </w:rPr>
              <w:t>按照备案的类别和项目开展职业健康检查工作的情况；</w:t>
            </w:r>
            <w:r>
              <w:rPr>
                <w:rFonts w:ascii="Calibri" w:hAnsi="Calibri"/>
                <w:color w:val="000000" w:themeColor="text1"/>
                <w:sz w:val="20"/>
                <w:szCs w:val="20"/>
                <w14:textFill>
                  <w14:solidFill>
                    <w14:schemeClr w14:val="tx1"/>
                  </w14:solidFill>
                </w14:textFill>
              </w:rPr>
              <w:t>3.</w:t>
            </w:r>
            <w:r>
              <w:rPr>
                <w:rFonts w:hint="eastAsia"/>
                <w:color w:val="000000" w:themeColor="text1"/>
                <w:sz w:val="20"/>
                <w:szCs w:val="20"/>
                <w14:textFill>
                  <w14:solidFill>
                    <w14:schemeClr w14:val="tx1"/>
                  </w14:solidFill>
                </w14:textFill>
              </w:rPr>
              <w:t>外出职业健康检查工作情况；</w:t>
            </w:r>
            <w:r>
              <w:rPr>
                <w:rFonts w:ascii="Calibri" w:hAnsi="Calibri"/>
                <w:color w:val="000000" w:themeColor="text1"/>
                <w:sz w:val="20"/>
                <w:szCs w:val="20"/>
                <w14:textFill>
                  <w14:solidFill>
                    <w14:schemeClr w14:val="tx1"/>
                  </w14:solidFill>
                </w14:textFill>
              </w:rPr>
              <w:t>4.</w:t>
            </w:r>
            <w:r>
              <w:rPr>
                <w:rFonts w:hint="eastAsia"/>
                <w:color w:val="000000" w:themeColor="text1"/>
                <w:sz w:val="20"/>
                <w:szCs w:val="20"/>
                <w14:textFill>
                  <w14:solidFill>
                    <w14:schemeClr w14:val="tx1"/>
                  </w14:solidFill>
                </w14:textFill>
              </w:rPr>
              <w:t>职业健康检查质量控制情况；</w:t>
            </w:r>
            <w:r>
              <w:rPr>
                <w:rFonts w:ascii="Calibri" w:hAnsi="Calibri"/>
                <w:color w:val="000000" w:themeColor="text1"/>
                <w:sz w:val="20"/>
                <w:szCs w:val="20"/>
                <w14:textFill>
                  <w14:solidFill>
                    <w14:schemeClr w14:val="tx1"/>
                  </w14:solidFill>
                </w14:textFill>
              </w:rPr>
              <w:t>5.</w:t>
            </w:r>
            <w:r>
              <w:rPr>
                <w:rFonts w:hint="eastAsia"/>
                <w:color w:val="000000" w:themeColor="text1"/>
                <w:sz w:val="20"/>
                <w:szCs w:val="20"/>
                <w14:textFill>
                  <w14:solidFill>
                    <w14:schemeClr w14:val="tx1"/>
                  </w14:solidFill>
                </w14:textFill>
              </w:rPr>
              <w:t>职业健康检查结果、疑似职业病的报告与告知以及职业健康检查信息报告情况；</w:t>
            </w:r>
            <w:r>
              <w:rPr>
                <w:rFonts w:ascii="Calibri" w:hAnsi="Calibri"/>
                <w:color w:val="000000" w:themeColor="text1"/>
                <w:sz w:val="20"/>
                <w:szCs w:val="20"/>
                <w14:textFill>
                  <w14:solidFill>
                    <w14:schemeClr w14:val="tx1"/>
                  </w14:solidFill>
                </w14:textFill>
              </w:rPr>
              <w:t>6.</w:t>
            </w:r>
            <w:r>
              <w:rPr>
                <w:rFonts w:hint="eastAsia"/>
                <w:color w:val="000000" w:themeColor="text1"/>
                <w:sz w:val="20"/>
                <w:szCs w:val="20"/>
                <w14:textFill>
                  <w14:solidFill>
                    <w14:schemeClr w14:val="tx1"/>
                  </w14:solidFill>
                </w14:textFill>
              </w:rPr>
              <w:t>职业健康检查档案管理情况等。</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职业病诊断机构：</w:t>
            </w:r>
            <w:r>
              <w:rPr>
                <w:rFonts w:ascii="Calibri" w:hAnsi="Calibri"/>
                <w:color w:val="000000" w:themeColor="text1"/>
                <w:sz w:val="20"/>
                <w:szCs w:val="20"/>
                <w14:textFill>
                  <w14:solidFill>
                    <w14:schemeClr w14:val="tx1"/>
                  </w14:solidFill>
                </w14:textFill>
              </w:rPr>
              <w:t>1.</w:t>
            </w:r>
            <w:r>
              <w:rPr>
                <w:rFonts w:hint="eastAsia"/>
                <w:color w:val="000000" w:themeColor="text1"/>
                <w:sz w:val="20"/>
                <w:szCs w:val="20"/>
                <w14:textFill>
                  <w14:solidFill>
                    <w14:schemeClr w14:val="tx1"/>
                  </w14:solidFill>
                </w14:textFill>
              </w:rPr>
              <w:t>法律法规、标准的执行情况；</w:t>
            </w:r>
            <w:r>
              <w:rPr>
                <w:rFonts w:ascii="Calibri" w:hAnsi="Calibri"/>
                <w:color w:val="000000" w:themeColor="text1"/>
                <w:sz w:val="20"/>
                <w:szCs w:val="20"/>
                <w14:textFill>
                  <w14:solidFill>
                    <w14:schemeClr w14:val="tx1"/>
                  </w14:solidFill>
                </w14:textFill>
              </w:rPr>
              <w:t>2.</w:t>
            </w:r>
            <w:r>
              <w:rPr>
                <w:rFonts w:hint="eastAsia"/>
                <w:color w:val="000000" w:themeColor="text1"/>
                <w:sz w:val="20"/>
                <w:szCs w:val="20"/>
                <w14:textFill>
                  <w14:solidFill>
                    <w14:schemeClr w14:val="tx1"/>
                  </w14:solidFill>
                </w14:textFill>
              </w:rPr>
              <w:t>规章制度建立情况；</w:t>
            </w:r>
            <w:r>
              <w:rPr>
                <w:rFonts w:ascii="Calibri" w:hAnsi="Calibri"/>
                <w:color w:val="000000" w:themeColor="text1"/>
                <w:sz w:val="20"/>
                <w:szCs w:val="20"/>
                <w14:textFill>
                  <w14:solidFill>
                    <w14:schemeClr w14:val="tx1"/>
                  </w14:solidFill>
                </w14:textFill>
              </w:rPr>
              <w:t>3.</w:t>
            </w:r>
            <w:r>
              <w:rPr>
                <w:rFonts w:hint="eastAsia"/>
                <w:color w:val="000000" w:themeColor="text1"/>
                <w:sz w:val="20"/>
                <w:szCs w:val="20"/>
                <w14:textFill>
                  <w14:solidFill>
                    <w14:schemeClr w14:val="tx1"/>
                  </w14:solidFill>
                </w14:textFill>
              </w:rPr>
              <w:t>人员、岗位职责落实和培训等情况；</w:t>
            </w:r>
            <w:r>
              <w:rPr>
                <w:rFonts w:ascii="Calibri" w:hAnsi="Calibri"/>
                <w:color w:val="000000" w:themeColor="text1"/>
                <w:sz w:val="20"/>
                <w:szCs w:val="20"/>
                <w14:textFill>
                  <w14:solidFill>
                    <w14:schemeClr w14:val="tx1"/>
                  </w14:solidFill>
                </w14:textFill>
              </w:rPr>
              <w:t>4.</w:t>
            </w:r>
            <w:r>
              <w:rPr>
                <w:rFonts w:hint="eastAsia"/>
                <w:color w:val="000000" w:themeColor="text1"/>
                <w:sz w:val="20"/>
                <w:szCs w:val="20"/>
                <w14:textFill>
                  <w14:solidFill>
                    <w14:schemeClr w14:val="tx1"/>
                  </w14:solidFill>
                </w14:textFill>
              </w:rPr>
              <w:t>职业病报告情况等。</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职业病健康检查机构、职业病诊断机构、机构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官渡区卫生健康局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《中华人民共和国职业病防治法（2018年修订）》第九条第三款、第四十二条、第六十二条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《职业健康检查管理办法》第三条第二款、第二十一条、二十二条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《职业病诊断与鉴定管理办法》第五十二条、第五十三条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官渡区卫生健康局（11类11项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对母婴保健、计划生育技术服务机构的监督检查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母婴保健技术服务机构：1.相关法律法规、标准、规范的执行情况；2.按照批准的类别和项目开展母婴保健技术服务工作的情况；3.从事母婴保健技术服务人员资质情况；4.开展母婴保健技术的管理情况等。</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医疗卫生机构：1.非法实施计划生育手术情况；2.开展非医学需要的胎儿性别鉴定和选择性别人工终止妊娠情况。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区辖区内母婴保健技术服务机构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官渡区卫生健康局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color w:val="000000" w:themeColor="text1"/>
                <w:sz w:val="20"/>
                <w:szCs w:val="20"/>
                <w:lang w:eastAsia="zh-CN"/>
                <w14:textFill>
                  <w14:solidFill>
                    <w14:schemeClr w14:val="tx1"/>
                  </w14:solidFill>
                </w14:textFill>
              </w:rPr>
              <w:t>《中华人民共和国母婴保健法》</w:t>
            </w:r>
            <w:r>
              <w:rPr>
                <w:rFonts w:ascii="Calibri" w:hAnsi="Calibri"/>
                <w:color w:val="000000" w:themeColor="text1"/>
                <w:sz w:val="20"/>
                <w:szCs w:val="20"/>
                <w14:textFill>
                  <w14:solidFill>
                    <w14:schemeClr w14:val="tx1"/>
                  </w14:solidFill>
                </w14:textFill>
              </w:rPr>
              <w:t>第二十九条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《中华人民共和国人口与计划生育法》第六条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《中华人民共和国母婴保健法实施办法》第三十四条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《计划生育技术服务管理条例》（2004年12月修订）第三十一条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《计划生育技术服务管理条例实施细则》第四十条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《产前诊断技术管理办法》第七条第四款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《禁止非医学需要的胎儿性别鉴定和选择性别人工终止妊娠的规定》第五条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《云南省母婴保健条例》第二十三条第四项</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《云南省人口与计划生育条例》（2018年12月第二次修正）第四条第二款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官渡区卫生健康局（11类11项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对职业卫生的监督检查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涉及职业病危害的用人单位及职业卫生技术服务机构是否按照《中华人民共和国职业病防治法》要求，开展职业病防治工作。</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官渡区卫生健康局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《中华人民共和国职业病防治法（2018年修订）》第九条第三款、第四十二条、第六十二条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官渡区应急管理局</w:t>
            </w:r>
          </w:p>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（4类22项）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对化工和危化品企业人员和资质管理情况的检查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化工企业和危险化学品生产、经营（带仓储设施）企业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现场检查或调阅资料</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官渡区应急管理局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《中华人民共和国安全生产法》第三十六条、六十二条；《危险化学品安全管理条例》（2013年修正本）第七条；《安全生产培训管理办法》（国家安全监管总局令第44号公布，第80号第二次修正）第三十条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官渡区应急管理局</w:t>
            </w:r>
          </w:p>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（4类22项）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对化工和危化品工艺管理情况的检查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化工企业和危险化学品生产、经营（带仓储设施）企业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现场检查或调阅资料</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官渡区应急管理局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安全生产法》第三十六条、六十二条；《危险化学品安全管理条例》（2013年修正本）第七条、第二十条、第二十八条；《安全生产培训管理办法》（国家安全监管总局令第44号公布，第80号第二次修正） 第三十条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官渡区应急管理局</w:t>
            </w:r>
          </w:p>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（4类22项）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对化工和危化品设备设施管理情况的检查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化工企业和危险化学品生产、经营（带仓储设施）企业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现场检查或调阅资料</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官渡区应急管理局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安全生产法》第三十六条、六十二条；《危险化学品安全管理条例》（2013年修正本）第七条、第二十条、第二十八条；《危险化学品生产企业安全生产许可证实施办法》（国家安全生产监督管理总局令第41号公布，第89号第二次修正）第九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官渡区应急管理局</w:t>
            </w:r>
          </w:p>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（4类22项）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对化工和危化品生产经营企业危险化学品安全技术说明书、安全标签及储存管理情况的检查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危险化学品生产企业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现场检查或调阅资料</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官渡区应急管理局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《中华人民共和国安全生产法》第三十六条、六十二条；《危险化学品安全管理条例》（2013年修正本）第七条、第十五条、第二十条、第二十八条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官渡区应急管理局</w:t>
            </w:r>
          </w:p>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（4类22项）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对管道企业许可条件保持情况的检查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管道企业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现场检查或调阅资料</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官渡区应急管理局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安全生产法》第三十六条、六十二条；《危险化学品安全管理条例》（2013年修正本）第七条；《危险化学品建设项目安全监督管理办法》；（国家安全生产监督管理总局令第45号公布，第79修正）第三条、第三十二条；《危险化学品输送管道安全管理规定》（国家安全生产监督管理总局令第43号公布，第79修正）第三条、第四条、第三十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官渡区应急管理局</w:t>
            </w:r>
          </w:p>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（4类22项）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对管道企业安全设施竣工验收报告的检查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管道企业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现场检查或调阅资料</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官渡区应急管理局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安全生产法》第三十一条、第三十六条、六十二条；《建设项目安全设施“三同时”监督管理办法》；（国家安全生产监督管理总局令第36号公布，第77号修正）第六条、第二十三条；《危险化学品建设项目安全监督管理办法》；（国家安全生产监督管理总局令第45号公布，第79修正）第三条、第三十二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官渡区应急管理局</w:t>
            </w:r>
          </w:p>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（4类22项）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对烟花爆竹生产企业许可条件保持情况的检查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烟花爆竹生产企业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现场检查或书面检查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官渡区应急管理局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安全生产法》第三十六条、六十二条；《烟花爆竹安全管理条例》（国务院令第455号）第三条、第八条；《烟花爆竹生产企业安全生产许可证实施办法》；（国家安全生产监督管理总局令第54号）第三条、第五条、第三十五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官渡区应急管理局</w:t>
            </w:r>
          </w:p>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（4类22项）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对烟花爆竹生产企业生产安全情况的检查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烟花爆竹生产企业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现场检查或书面检查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官渡区应急管理局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安全生产法》第三十六条、六十二条；《烟花爆竹安全管理条例》（国务院令第455号）第三条、第八条；《烟花爆竹生产企业安全生产许可证实施办法》；（国家安全生产监督管理总局令第54号）第三条、第五条、第三十五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官渡区应急管理局</w:t>
            </w:r>
          </w:p>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（4类22项）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对烟花爆竹经营单位批发安全许可情况的检查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烟花爆竹经营单位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现场检查或书面检查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官渡区应急管理局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安全生产法》第三十六条、六十二条；《烟花爆竹安全管理条例》（国务院令第455号）第三条、第四条、第十七条；《烟花爆竹经营许可实施办法》；（国家安全生产监督管理总局令第65号）第五条、第六条、第二十九条、第三十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官渡区应急管理局</w:t>
            </w:r>
          </w:p>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（4类22项）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对烟花爆竹经营单位零售安全许可情况的检查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烟花爆竹经营单位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现场检查或书面检查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官渡区应急管理局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安全生产法》第三十六条、六十二条；《烟花爆竹安全管理条例》（国务院令第455号）第三条、第四条、第十八条；《烟花爆竹经营许可实施办法》；（国家安全生产监督管理总局令第65号）第五条、第十六条、第二十九条、第三十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官渡区应急管理局</w:t>
            </w:r>
          </w:p>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（4类22项）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对烟花爆竹经营单位经营安全情况的检查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烟花爆竹经营单位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现场检查或书面检查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官渡区应急管理局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安全生产法》第三十六条、六十二条；《烟花爆竹安全管理条例》（国务院令第455号）第三条、第四条、第十七条、第十八条；《烟花爆竹经营许可实施办法》（国家安全生产监督管理总局令第65号）第五条、第二十二条、第二十三条、第二十四条、第二十五条、第二十六条、第二十七条、第二十八条、第二十九条、第三十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官渡区应急管理局</w:t>
            </w:r>
          </w:p>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（4类22项）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对非药品类易制毒化学品生产经营企业许可（备案）情况的检查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非药品类易制毒化学品生产、经营企业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现场检查或书面检查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官渡区应急管理局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易制毒化学品管理条例》（国务院令第445号）第二条、第七条、第九条、第十三条、第三十二条；《非药品类易制毒化学品生产、经营许可办法》；（2006年国家安全生产监督管理总局令第5号)第三条、第五条、第六条、第十七条、第二十五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官渡区应急管理局</w:t>
            </w:r>
          </w:p>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（4类22项）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对非药品类易制毒化学品生产经营企业管理情况的检查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非药品类易制毒化学品生产、经营企业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现场检查或书面检查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官渡区应急管理局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易制毒化学品管理条例》（国务院令第445号）第二条、第七条、第九条、第十三条、第三十二条；《非药品类易制毒化学品生产、经营许可办法》；（2006年国家安全生产监督管理总局令第5号)第三条、第五条、第六条、第十七条、第二十五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官渡区应急管理局</w:t>
            </w:r>
          </w:p>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（4类22项）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非煤矿山安全生产许可检查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非煤矿山企业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官渡区应急管理局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安全生产法》第六十条；《安全生产许可证条例》（国务院令第397号，根据2014年7月29日中华人民共和国国务院令第653号修正）第二条；《非煤矿矿山企业安全生产许可证实施办法》（2009年6月8日国家安全监管总局令第20号，根据2015年5月26日国家安全监管总局令第78号修正）第二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官渡区应急管理局</w:t>
            </w:r>
          </w:p>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（4类22项）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安全生产监督检查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对生产经营单位执行有关安全生产的法律、法规和国家标准或者行业标准的情况进行监督检查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冶金、有色、建材、机械、轻工、纺织、烟草、商贸等工贸行业生产经营单位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现场检查或书面检查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官渡区应急管理局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《安全生产法》第五十九条、第六十二条、第六十六条；《云南省安全生产条例》第三十六条、第三十九条、第四十二条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官渡区应急管理局</w:t>
            </w:r>
          </w:p>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（4类22项）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对安全评价检测检验机构的监督检查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核查资质有效性、认可范围等信息，并对其技术服务实施抽查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安全评价检测检验机构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现场检查或书面检查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官渡区应急管理局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部门规章：《安全评价检测检验机构管理办法》（2019年3月20日中华人民共和国应急管理部令第1号公布，2019年5月1日起施行）第二十四条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官渡区应急管理局</w:t>
            </w:r>
          </w:p>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（4类22项）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对安全评价检测检验机构的监督检查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对机构资质条件保持情况、接受行政处罚和投诉举报等情况进行重点监督检查</w:t>
            </w:r>
          </w:p>
        </w:tc>
        <w:tc>
          <w:tcPr>
            <w:tcW w:w="7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安全评价检测检验机构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官渡区应急管理局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部门规章：《安全评价检测检验机构管理办法》（2019年3月20日中华人民共和国应急管理部令第1号公布，2019年5月1日起施行）第二十四条</w:t>
            </w:r>
          </w:p>
        </w:tc>
        <w:tc>
          <w:tcPr>
            <w:tcW w:w="708"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官渡区应急管理局</w:t>
            </w:r>
          </w:p>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（4类22项）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应急管理检查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对事故报告和应急处置情况的检查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负有自然灾害和安全生产应急管理职责的政府有关部门、企事业单位和基层组织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官渡区应急管理局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《中华人民共和国安全生产法》第八十条、第一百零六条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官渡区应急管理局</w:t>
            </w:r>
          </w:p>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（4类22项）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应急管理检查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对应急救援队伍建设情况的检查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负有自然灾害和安全生产应急管理职责的政府有关部门、企事业单位和基层组织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官渡区应急管理局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《中华人民共和国安全生产法》第七十六条、第九十四条第六款；《生产安全事故应急预案管理办法》第三十八条；《云南省突发事件应对条例》第三十八条第二款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官渡区应急管理局</w:t>
            </w:r>
          </w:p>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（4类22项）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应急管理检查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对应急救援物资装备配备使用管理情况的检查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负有自然灾害和安全生产应急管理职责的政府有关部门、企事业单位和基层组织</w:t>
            </w:r>
          </w:p>
        </w:tc>
        <w:tc>
          <w:tcPr>
            <w:tcW w:w="11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官渡区应急管理局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《中华人民共和国安全生产法》第七十六条、第七十九条；《生产安全事故应急预案管理办法》第四十五条第六款；《云南省突发事件应对条例》第三十八条第六款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官渡区应急管理局</w:t>
            </w:r>
          </w:p>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（4类22项）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应急管理检查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对应急预案管理情况的检查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负有自然灾害和安全生产应急管理职责的政府有关部门、企事业单位和基层组织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实地检查和书面检查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官渡区应急管理局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《中华人民共和国安全生产法》第九十四条第六款；《生产安全事故应急预案管理办法》第四十四条第一款；《云南省安全生产条例》第五十二条；《云南省突发事件应对条例》第三十八条第一款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官渡区应急管理局</w:t>
            </w:r>
          </w:p>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（4类22项）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应急管理检查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对应急演练实施情况的检查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负有自然灾害和安全生产应急管理职责的政府有关部门、企事业单位和基层组织</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实地检查和书面检查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官渡区应急管理局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《中华人民共和国安全生产法》第九十四条第六款；《生产安全事故应急预案管理办法》第三十三条、第四十四条第二款；《云南省安全生产条例》第五十三条；《云南省突发事件应对条例》第三十八条第二款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区消防救援大队（1类4项）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公示信息检查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检查对象信息检查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消防监督检查对象名录库内的消防安全重点单位、一般单位、小场所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消防救援大队</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《中华人民共和国消防法》第四条、第五十三条；《云南省消防条例》第五条、第十条第二款；《消防监督检查规定》（公安部令第120号）第十条、第十一条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区消防救援大队（1类4项）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公示信息检查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检查人员信息检查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消防监督检查对象名录库内的消防安全重点单位、一般单位、小场所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消防救援大队</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《中华人民共和国消防法》第四条、第五十三条；《云南省消防条例》第五条、第十条第二款；《消防监督检查规定》（公安部令第120号）第十条、第十一条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区消防救援大队（1类4项）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公示信息检查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检查对象信息检查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专项检查工作方案中规定的检查对象名录库内所有单位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消防救援大队</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《中华人民共和国消防法》第四条、第五十三条；《云南省消防条例》第五条、第十条第二款；《消防监督检查规定》（公安部令第120号）第十条、第十一条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区消防救援大队（1类4项）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公示信息检查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检查人员信息检查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专项检查工作方案中规定的检查对象名录库内所有单位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消防救援大队</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《中华人民共和国消防法》第四条、第五十三条；《云南省消防条例》第五条、第十条第二款；《消防监督检查规定》（公安部令第120号）第十条、第十一条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登记事项检查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营业执照（登记证）规范使用情况的检查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企业、个体工商户、农民专业合作社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现场检查、网络检查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法人登记管理条例》第二十九条第一款；《公司登记管理条例》第七十一条、第七十二条；《合伙企业登记管理办法》第四十三条、第四十四条；《外商投资合伙企业登记管理规定》第五十七条、第五十八条；《个人独资企业法》第三十五条；《个人独资企业登记管理办法》第四十条、第四十一条、第四十二条、第四十三条；《个体工商户条例》第二十二条；《农民专业合作社登记管理条例》第二十七条；《电子商务法》第十五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登记事项检查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名称规范使用情况的检查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企业、个体工商户、农民专业合作社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现场检查、网络检查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名称登记管理规定》第二十六条、二十七条；《个体工商户条例》第二十三条第一款；《农民专业合作社登记管理条例》第二十七条；《个人独资企业法》第三十四条；《合伙企业法》第九十四条；《合伙企业登记管理办法》第四十条；《外商投资合伙企业登记管理规定》第五十四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登记事项检查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经营（驻在）期限的检查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企业、个体工商户、农民专业合作社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法人登记管理条例》第二十九条第一款；《公司法》第二百一十一条第二款；《公司登记管理条例》第六十八条；《合伙企业法》第九十五条第二款；《合伙企业登记管理办法》第三十九条；《外商投资合伙企业登记管理规定》第五十三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登记事项检查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经营（业务）范围中无需审批的经营（业务） 项目的检查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企业、个体工商户、农民专业合作社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法人登记管理条例》第二十九条第一款；《公司法》第二百一十一条第二款；《公司登记管理条例》第六十八条；《合伙企业法》第九十五条第二款；《个人独资企业法》第三十七条第二款；《合伙企业登记管理办法》第三十九条；《外商投资合伙企业登记管理规定》第五十三条；《个人独资企业登记管理办法》第三十八条；《个体工商户条例》第二十三条第一款；《农民专业合作社登记管理条例》第二十七条、第二十八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登记事项检查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住 所（ 经营场所）或驻在场所的检查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企业、个体工商户、农民专业合作社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法人登记管理条例》第二十九条第一款；《公司法》第二百一十一条第二款；《公司登记管理条例》第六十八条；《合伙企业法》第九十五条第二款；《个人独资企业法》第三十七条第二款；《合伙企业登记管理办法》第三十九条；《外商投资合伙企业登记管理规定》第五十三条；《个人独资企业登记管理办法》第三十八条；《个体工商户条例》第二十三条第一款；《农民专业合作社登记管理条例》第二十七条、第二十八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登记事项检查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注册资本实缴情况的检查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《国务院关于印发注册资本登记制度改革方案的通知》明确的暂不实行注册资本认缴登记制的行业企业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法人登记管理条例》第二十九条第一款；《公司法》第一百九十八条至第二百条、第二百一十一条第二款；《公司登记管理条例》第六十三条、第六十五条、第六十六条、第六十八条；《合伙企业法》第九十五条第二款；《个人独资企业法》第三十七条第二款；《合伙企业登记管理办法》第三十九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《外商投资合伙企业登记管理规定》第五十三条；《个人独资企业登记管理办法》第三十八条。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登记事项检查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法定代表人（负责人）任职情况的检查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法人登记管理条例》第二十九条第一款；《企业法人法定代表人登记管理规定》第十二条；《公司法》第二百一十一条第二款；《公司登记管理条例》第六十八条；《合伙企业法》第九十五条第二款；《合伙企业登记管理办法》第三十九条；《外商投资合伙企业登记管理规定》第五十三条；《个人独资企业法》第三十七条第二款；《个人独资企业登记管理办法》第三十八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登记事项检查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法定代表人、自然人股东身份真实性的检查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《公司法》第一百九十八条；《合伙企业法》第九十三条；《个人独资企业法》第三十三条。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公示信息检查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年度报告公示信息的检查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企业、个体工商户、农民专业合作社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现场检查、书面检查、网络抽查、专业机构核查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spacing w:after="240"/>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信息公示暂行条例》第三条、第八条、第九条、第十一条、第十二条、第十五条、第十七条；《企业公示信息抽查暂行办法》第十条、第十二条；《企业经营异常名录管理暂行办法》第四条、第六条、第八条、第九条；《个体工商户年度报告暂行办法》第六条、第十一条；《农民专业合作社年度报告公示暂行办法》第五条、第八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公示信息检查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即时公示信息的检查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现场检查、书面检查、网络抽查、专业机构核查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信息公示暂行条例》第三条、第十条、第十一条、第十二条、第十五条、第十七条；《企业公示信息抽查暂行办法》第十条、第十二条；《企业经营异常名录管理暂行办法》第四条、第七条、第八条、第九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价格行为</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执行政府定价、政府指导价情况，明码标价情况及其他价格行为的检查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《价格法》规定的经营者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《价格法》。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直销行为</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重大变更、直销员报酬支付、信息报备和披露的情况的检查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直销企业总公司及分公司</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现场检查、网络检查、书面检查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《直销管理条例》《直销企业信息报备、披露管理办法》。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电子商务经营行为监督检查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电子商务平台经营者履行主体责任的检查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电子商务平台经营者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网络检查、书面检查、专业机构核查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《电子商务法》第二十七条、第三十一条、第三十二条、第三十三条、第三十四条、第三十六条、第三十七条、第三十九条、第四十条。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拍卖等重要领域市场规范管理检查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拍卖活动经营资格的检查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企业、个体工商户</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《拍卖法》第十一条、第六十条；《拍卖监督管理办法》第四条、第十一条。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拍卖等重要领域市场规范管理检查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文物经营活动经营资格的检查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企业、个体工商户</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《文物保护法》第五十三条、第五十四条、第七十二条以及第七十三条第一项、第二项。</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拍卖等重要领域市场规范管理检查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为非法交易野生动物等违法行为提供交易服务的检查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企业、个体工商户</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《野生动物保护法》第三十二条、第五十一条。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广告行为检查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广告发布登记情况的检查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企业、个体工商户及其它经营单位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《广告法》第六条、第二十九条、第六十条；《广告发布登记管理规定》。</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广告行为检查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药品 、医疗器械、保健食品特殊医学用途配方食品广告主发布相关广告的审查批准情况的检查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企业、个体工商户及其它经营单位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《广告法》第四十六条；《食品安全法》第七十九条；《药品管理法》第五十九条；《医疗器械监督管理条例》第四十五条。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广告行为检查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广告经营者、广告发布者建立、健全广告业务的承接登记、审核、档案管理制度情况的检查；是否开展广告经营活动；统计广告经营额、广告纳税额、广告从业人数；是否配备广告审查员；广告审查员是否具有相应资质的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企业、个体工商户及其它经营单位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《广告法》第三十四条、第六十一条。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产品质量监督抽查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食品相关产品（直接接触食品的材料等相关产品）质量安全监督检查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食品相关产品获证企业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《食品安全法》第一百一十条；《产品质量法》第十五条；《工业产品生产许可证管理条例》第三十六条。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产品质量监督抽查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生产、流通领域产品质量监督抽查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重点检查事项 </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市场上或企业成品仓库内的待销产品</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《产品质量法》第十五条；《产品质量监督抽查管理暂行办法》第二条、第四条、第六条、第十一条、第十二条、第十五条；《食品安全法》第一百一十条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工业产品生产许可证产品生产企业检查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工业产品生产许可资格检查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企业、个体工商户</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《工业产品生产许可证管理条例》第三十六条、三十八条、三十九条。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工业产品生产许可证产品生产企业检查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工业产品生产许可证获证企业条件检查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企业、个体工商户</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《工业产品生产许可证管理条例》第九条、第三十六条、三十八条、三十九条。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食品生产监督检查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食品生产监督检查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获证食品生产企业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食品销售监督检查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校园食品销售监督检查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校园及校园周边食品销售者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食品销售监督检查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高风险食品销售监督检查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风险等级为B、C、D 级的食品销售者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食品销售监督检查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一般风险食品销售监督检查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风险等级为 A 级的食品销售者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食品销售监督检查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网络食品销售监督检查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网络食品交易第三方平台、入网食品销售者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餐饮服务监督检查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食品经营许可情况的检查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餐饮服务经营者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餐饮服务监督检查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原料控制（含食品添加剂）情况的检查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餐饮服务经营者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餐饮服务监督检查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加工制作过程的检查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餐饮服务经营者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餐饮服务监督检查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供餐、用餐与配送情况的检查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餐饮服务经营者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餐饮服务监督检查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餐饮具清洗消毒情况的检查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餐饮服务经营者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餐饮服务监督检查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场所和设施清洁维护情况的检查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餐饮服务经营者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餐饮服务监督检查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食品安全管理情况的检查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餐饮服务经营者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餐饮服务监督检查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人员管理情况的检查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餐饮服务经营者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餐饮服务监督检查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网络餐饮服务情况的检查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入网餐饮服务提供者、网络餐饮服务第三方平台</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网络检查、现场检查、书面检查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《食品安全法》第一百一十条；《食品生产经营日常监督检查管理办法》。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食用农产品市场销售质量安全检查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食用农产品集中交易市场监督检查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食用农产品集中交易市场（含批发市场和农贸市场）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《食品安全法》第一百一十条；《食用农产品市场销售质量安全监督管理办法》。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食用农产品市场销售质量安全检查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食用农产品销售企业（者）监督检查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食用农产品销售企业（含批发企业和零售企业）、其他销售者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《食品安全法》第一百一十条；《食用农产品市场销售质量安全监督管理办法》。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特殊食品销售监督检查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婴幼儿配方食品销售监督检查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婴幼儿配方食品销售者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《食品安全法》第一百零九条、第一百一十条、第一百一十三条、第一百一十四条；《乳品质量安全监督管理条例》第四十六条、第四十八条、第五十条等；《食品生产经营日常监督检查管理办法》第九条。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特殊食品销售监督检查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特殊医学用途配方食品销售监督检查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特殊医学用途配方食品销售者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《食品安全法》第一百零九条、第一百一十条、第一百一十三条、第一百一十四条；《食品生产经营日常监督检查管理办法》第九条。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特殊食品销售监督检查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保健食品销售监督检查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保健食品销售者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《食品安全法》第一百零九条、第一百一十条、第一百一十三条、第一百一十四条；《食品生产经营日常监督检查管理办法》第九条。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食品安全监督抽检</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食品安全监督抽检</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市场在售食品</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抽样检验</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《食品安全法》第八十七条；《食品安全抽样检验管理办法》</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特种设备生产、使用单位监督检查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对特种设备生产单位的监督检查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特种设备生产单位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《特种设备安全法》第五十七条；《特种设备安全监察条例》第五十条；《特种设备现场安全监督检查规则》。</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特种设备生产、使用单位监督检查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对特种设备使用单位的监督检查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特种设备使用单位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《特种设备安全法》第五十七条；《特种设备安全监察条例》第五十条；《特种设备现场安全监督检查规则》。</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计量监督检查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制造、修理、销售（包括进口）计量器具监督检查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企业、事业单位、个体工商户及其他经营者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计量法》第十五条、第十六条；《计量法实施细则》第二十一条、第四十八条、第四十九条、第五十条；《中华人民共和国进口计量器具监督管理办法》第十九条、第二十条；《制造、修理计量器具许可监督管理办法》第五条、第二十七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计量监督检查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在用强检计量器具监督检查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企业、事业单位、个体工商户及其他经营者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计量法》第九条；《中华人民共和国强制检定的工作计量器具检定管理办法》第五条；《集贸市场计量监督管理办法》第八条；《加油站计量监督管理办法》第六条；《眼镜制配计量监督管理办法》第七条；《零售商品称重计量监督管理办法》第九条、第十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计量监督检查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社会公用计量标准、计量检定机构监督检查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法定、授权计量技术机构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现场检查、量值比对、盲样检测、测量过程控制</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计量法》第六条、第七条、第二十条；《计量法实施细则》第八条、第九条、第三十条；《法定计量检定机构监督管理办法》第十五条、第十六条；《专业计量站管理办法》第十四条、第十八条；《计量授权管理办法》第十五条、第二十条；《计量标准考核办法》第十八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计量监督检查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法定计量单位使用情况专项监督检查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宣传出版、文化教育、市场交易等领域</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《计量法》第三条、第四条；《计量法实施细则》第四十三条；《全面推行我国法定计量单位的意见》。</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计量监督检查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生产、销售定量包装商品净含量、“C标志”使用生产企业计量监督专项抽查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企业、个体工商户及其他经营者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《计量法》第四条；《定量包装商品计量监督管理办法》第十二条、第十三条、第十五条、第十六条。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计量监督检查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型式批准监督检查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 、事业单位、个体工商户及其他经营者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《计量法》第十三条；《计量法实施细则》第十八条、第二十一条、第二十二条；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《计量器具新产品管理办法》第十八条。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计量监督检查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能源计量监督检查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 、事业单位、个体工商户及其他经营者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《节约能源法》第七十四条；《能源计量监督管理办法》第十六条、第十七条、第十九条；《云南省用能和排污计量监督管理办法》第十七条。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计量监督检查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能效标识计量专项监督检查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企业、个体工商户及其他经营者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《节约能源法》第十七条、第十八条、第七十三条；《能源计量监督管理办法》第十六条；《能源效率标识管理办法》第十八条。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计量监督检查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水效标识计量专项监督检查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企业、个体工商户及其他经营者</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《水效标识管理办法》第十七条。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检验检测机构检查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检验检测机构检查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检验检测机构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计量法》第二十二条；《产品质量法》第十九条、第五十七条；《认证认可条例》第十六条、第三十三条；《检验检测机构资质认定管理办法》第三十四条至第三十七条；《检验检测机构监督管理办法》第四条、第十七条、第二十五、第二十六条：《食品检验机构资质认定管理办法》第三十二条至第四十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市场类标准监督检查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企业标准自我声明监督检查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书面检查、网络检查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《标准化法》第二十七条、第三十八条、第三十九条、第四十二条。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市场类标准监督检查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团体标准自我声明监督检查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社会团体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书面检查、网络检查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《标准化法》第二十七条、第三十九条、第四十二条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专利真实性监督检查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专利证书、专利文件或专利申请文件真实性的检查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各类市场主体、产品</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《专利法》第六十三条；《专利法实施细则》第八十四条。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专利真实性监督检查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产品专利宣传真实性的检查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各类市场主体</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《专利法》第六十三条；《专利法实施细则》第八十四条。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商标使用行为的检查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商标使用行为的检查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企业、个体工商户、农民专业合作社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《商标法》第六条、第十条、第十四条第五款、第四十三条第二款、第四十九条第一款、第五十一条、第五十二条、第五十三条；《商标法实施条例》第七十一条。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商标使用行为的检查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集体商标、证明商标（含地理标志）使用行为的检查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企业、个体工商户、农民专业合作社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《商标法》第十六条；《商标法实施条例》第四条；《集体商标、证明商标注册和管理办法》第十七条、第十八条、第十九条、第二十条、第二十一条、第二十二条。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商标使用行为的检查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商标印制行为的检查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企业、个体工商户、农民专业合作社</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《商标印制管理办法》第三条、第四条、第五条、第六条、第七条、第八条、第九条、第十条、第十一条、第十二条、第十三条。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商标代理行为的检查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商标代理行为的检查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经市场监管部门登记从事商标代理业务的服务机构（所）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《商标法》第六十八条；《商标法实施条例》第八十八条、第八十九条。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认证活动和认证结果检查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自愿性认证活动及结果合规性、有效性的检查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自愿性认证机构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《认证认可条例》第五十五条；《认证机构管理办法》（原质检总局193号令）第二十七条、第三十条。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认证活动和认证结果检查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强制性产品认证、检验检测活动及结果的合规性、有效性的检查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强制性产品认证指定认证机构、指定实验室</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《认证认可条例》第五十五条；《强制性产品认证管理规定》第三十七条、第三十八条。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获证产品有效性抽查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CCC 认证产品认证有效性抽查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CCC 认证目录内的获证产品</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《认证认可条例》第五十五条；《强制性产品认证管理规定》第三十七条、第三十八条。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获证产品有效性抽查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有机认证产品认证有效性抽查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有机认证目录内的获证产品</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《认证认可条例》第五十五条；《有机产品认证管理办法》第三十八条、第三十九条、第五十五条。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官渡区市场监督管理局（24类68项）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获证产品有效性抽查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其他认证项目的认证有效性抽查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其他认证项目的获证产品</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现场检查、抽样检测</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官渡区市场监督管理局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《认证认可条例》第五十五条。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官渡区统计局（1类1项）  </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统计资料报送情况监督检查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1.调查对象依法提供统计资料的情况；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2.调查对象依法设置原始记录、统计台账的情况；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3.调查对象依法建立并执行统计资料管理制度的情况；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4.调查对象为依法履行法定填报职责提供保障的情况；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5.调查对象依法配合统计调查和统计监督的情况；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6.调查对象遵守统计法律法规规章、统计调查制度等的情况。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一套表调查单位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官渡区统计局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《统计法》第二十一条第一款 国家机关、企业事业单位和其他组织等统计调查对象，应当按照国家有关规定设置原始记录、统计台账，建立健全统计资料的审核、签署、交接、归档等管理制度。</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《统计法》第三十三条第二款 县级以上地方人民政府统计机构依法查处本行政区域内发生的统计违法行为。</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《统计法》第四十一条第一款 作为统计调查对象的国家机关、企业事业单位或者其他组织有下列行为之一的，由县级以上人民政府统计机构责令改正，给予警告，可以予以通报：（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统计法》第四十二条 第一款 作为统计调查对象的国家机关、企业事业单位或者其他组织迟报统计资料，或者未按照国家有关规定设置原始记录、统计台账的，由县级以上人民政府统计机构责令改正，给予警告。《统计法实施条例》第三十四条 国家机关、企业事业单位和其他组织应当加强统计基础工作，为履行法定的统计资料报送义务提供组织、人员和工作条件保障。《统计执法监督检查办法》（国家统计局令第28号）第十四条 统计执法监督检查事项包括：（四）国家机关、企业事业单位和其他组织以及个体工商户和个人等统计调查对象遵守统计法律法规规章、统计调查制度情况；（六）法律法规规章规定的其他事项。</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官渡区统计局（1类1项）  </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官渡区城市管理局（5类7项）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对户外广告设施的监督检查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对户外广告设施的监督检查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辖区范围内具备审批手续的户外广告设施</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官渡区城市管理局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1.《昆明市户外广告管理条例》2.《昆明市户外广告设施设置管理办法》3.《昆明市户外广告设施设置专项规划》4.《昆明市城市市容和环境卫生管理条例》</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官渡区城市管理局（5类7项）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对市政公用企业的监管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城市生活垃圾收运、处理的监督检查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城市生活垃圾收运、处理企业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现场检查和书面检查相结合方式</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官渡区城市管理局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国务院对确需保留的行政审批项目设定行政许可的决定》《城市生活垃圾管理办法》第五条、《昆明市城市市容和环境卫生管理条例》《昆明市人民代表大会常务委员会关于修改〈昆明市城市市容和环境卫生管理条例〉的决定》修正）、《昆明市城市生活垃圾分类管理办法》第四章 第十七条、十八条、十九条、二十条、二十一条、二十二条。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官渡区城市管理局（5类7项）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对市政公用企业的监管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城市环卫企业的监督检查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城市环卫企业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现场检查和书面检查相结合方式</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官渡区城市管理局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国务院对确需保留的行政审批项目设定行政许可的决定》《城市生活垃圾管理办法》第五条、《云南省城市建设管理条例》第六条、第三十二条、《昆明市城市市容和环境卫生管理条例》《昆明市人民代表大会常务委员会关于修改〈昆明市城市市容和环境卫生管理条例〉的决定》修正）、《昆明市城市生活垃圾分类管理办法》第四章 第十七条、十八条、十九条、二十条、二十一条、二十二条。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官渡区城市管理局（5类7项）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eastAsia="宋体" w:cs="宋体"/>
                <w:color w:val="000000" w:themeColor="text1"/>
                <w:sz w:val="20"/>
                <w:szCs w:val="20"/>
                <w14:textFill>
                  <w14:solidFill>
                    <w14:schemeClr w14:val="tx1"/>
                  </w14:solidFill>
                </w14:textFill>
              </w:rPr>
              <w:t>对市政公用企业的监管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城市餐厨垃圾收运、处理的监督检查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城市餐厨垃圾收运、处理企业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现场检查和书面检查相结合方式</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官渡区城市管理局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国务院对确需保留的行政审批项目设定行政许可的决定》《城市生活垃圾管理办法》第五条、《昆明市城市市容和环境卫生管理条例》《昆明市人民代表大会常务委员会关于修改〈昆明市城市市容和环境卫生管理条例〉的决定》修正）、《昆明市城市生活垃圾分类管理办法》第四章 第十七条、十八条、十九条、二十条、二十一条、二十二条。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官渡区城市管理局（5类7项）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渣运企业管理事项检查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渣运企业管理事项检查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辖区渣运企业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官渡区城市管理局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  1.《&lt;昆明市城市建筑管理实施办法&gt;实施细则（昆政办[2018]64号）》，第19-35条；2.市城管局2015年7月30日下发的《关于进一步理顺和规范全市建筑垃圾管理工作的通知》，第2款第1-2条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官渡区城市管理局（5类7项）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对城市市政企业的监管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对城市园林绿化企业的监督检查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城市园林绿化企业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现场检查和书面检查相结合方式</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官渡区城市管理局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《城市绿化条例》（国务院令第100号）第七条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官渡区城市管理局（5类7项）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对建筑垃圾运输处置的监管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建筑垃圾运输处置的监督检查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昆明市经审批合法的弃土消纳场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实地核查</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官渡区城市管理局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《云南省城市建设管理条例》</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官渡区政务服务管理局(1类1项）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对审批核准的投资项目招标方案进行监管</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对审批核准的投资项目招标投标过程中的招标人、投标人、代理公司、评审专家、行政监督部门进行监管。</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投资项目招标投标过程中的招标人、投标人、代理公司、评审专家、行政监督部门</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现场检查、书面检查、网络核查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官渡区政务服务管理局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《中华人民共和国招标投标法》第四十九条至第六十二条、第六十四条；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lang w:eastAsia="zh-CN"/>
                <w14:textFill>
                  <w14:solidFill>
                    <w14:schemeClr w14:val="tx1"/>
                  </w14:solidFill>
                </w14:textFill>
              </w:rPr>
              <w:t>《中华人民共和国招标投标法实施条例》</w:t>
            </w:r>
            <w:r>
              <w:rPr>
                <w:rFonts w:hint="eastAsia"/>
                <w:color w:val="000000" w:themeColor="text1"/>
                <w:sz w:val="20"/>
                <w:szCs w:val="20"/>
                <w14:textFill>
                  <w14:solidFill>
                    <w14:schemeClr w14:val="tx1"/>
                  </w14:solidFill>
                </w14:textFill>
              </w:rPr>
              <w:t>第六十三条至第八十条、第八十二条；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《云南省招标投标条例》第四十三条至第五十五条。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国家税务总局昆明市官渡区税务局（1类2项</w:t>
            </w:r>
          </w:p>
        </w:tc>
        <w:tc>
          <w:tcPr>
            <w:tcW w:w="1450" w:type="dxa"/>
            <w:tcBorders>
              <w:top w:val="nil"/>
              <w:left w:val="nil"/>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税务检查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税务检查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纳税人、扣缴义务人和其他涉税当事人履行纳税义务、扣缴义务情况及涉税事项</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现场检查等</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官渡区税务局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《中华人民共和国税收征收管理法》第五十四条、第五十五条、第五十六条、第五十七条、第五十八条、第五十九条；</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《中华人民共和国税收征收管理法实施细则》第八十五条、第八十六条、第八十七条、第八十八条、八十九条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国家税务总局昆明市官渡区税务局（1类2项</w:t>
            </w:r>
          </w:p>
        </w:tc>
        <w:tc>
          <w:tcPr>
            <w:tcW w:w="1450" w:type="dxa"/>
            <w:tcBorders>
              <w:top w:val="nil"/>
              <w:left w:val="nil"/>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税务检查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发票检查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在中华人民共和国境内印制、领购、开具、取得、保管、缴销发票的单位和个人相关发票涉税事项</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现场检查等</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官渡区税务局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《中华人民共和国发票管理办法》第三十条、第三十一条、第三十二条、第三十三条、第三十四条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市道路运输管理局官渡分局(2类13项）</w:t>
            </w:r>
          </w:p>
        </w:tc>
        <w:tc>
          <w:tcPr>
            <w:tcW w:w="1450" w:type="dxa"/>
            <w:tcBorders>
              <w:top w:val="nil"/>
              <w:left w:val="nil"/>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许可事项检查                   经营行为检查                            服务质量检查        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道路客运和客运站经营活动的监督检查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客运企业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eastAsia="zh-CN"/>
                <w14:textFill>
                  <w14:solidFill>
                    <w14:schemeClr w14:val="tx1"/>
                  </w14:solidFill>
                </w14:textFill>
              </w:rPr>
              <w:t>市</w:t>
            </w:r>
            <w:r>
              <w:rPr>
                <w:rFonts w:hint="eastAsia"/>
                <w:color w:val="000000" w:themeColor="text1"/>
                <w:sz w:val="20"/>
                <w:szCs w:val="20"/>
                <w14:textFill>
                  <w14:solidFill>
                    <w14:schemeClr w14:val="tx1"/>
                  </w14:solidFill>
                </w14:textFill>
              </w:rPr>
              <w:t>道路运输管理局</w:t>
            </w:r>
            <w:r>
              <w:rPr>
                <w:rFonts w:hint="eastAsia"/>
                <w:color w:val="000000" w:themeColor="text1"/>
                <w:sz w:val="20"/>
                <w:szCs w:val="20"/>
                <w:lang w:eastAsia="zh-CN"/>
                <w14:textFill>
                  <w14:solidFill>
                    <w14:schemeClr w14:val="tx1"/>
                  </w14:solidFill>
                </w14:textFill>
              </w:rPr>
              <w:t>官渡区分局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《道路旅客运输及站场管理规定》第六十五条、六十七条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市道路运输管理局官渡分局(2类13项）</w:t>
            </w:r>
          </w:p>
        </w:tc>
        <w:tc>
          <w:tcPr>
            <w:tcW w:w="1450" w:type="dxa"/>
            <w:tcBorders>
              <w:top w:val="nil"/>
              <w:left w:val="nil"/>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许可事项检查                   经营行为检查                            服务质量检查        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道路货物运输经营和货运站经营活动的监督检查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专业货运企业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eastAsia="zh-CN"/>
                <w14:textFill>
                  <w14:solidFill>
                    <w14:schemeClr w14:val="tx1"/>
                  </w14:solidFill>
                </w14:textFill>
              </w:rPr>
              <w:t>市</w:t>
            </w:r>
            <w:r>
              <w:rPr>
                <w:rFonts w:hint="eastAsia"/>
                <w:color w:val="000000" w:themeColor="text1"/>
                <w:sz w:val="20"/>
                <w:szCs w:val="20"/>
                <w14:textFill>
                  <w14:solidFill>
                    <w14:schemeClr w14:val="tx1"/>
                  </w14:solidFill>
                </w14:textFill>
              </w:rPr>
              <w:t>道路运输管理局</w:t>
            </w:r>
            <w:r>
              <w:rPr>
                <w:rFonts w:hint="eastAsia"/>
                <w:color w:val="000000" w:themeColor="text1"/>
                <w:sz w:val="20"/>
                <w:szCs w:val="20"/>
                <w:lang w:eastAsia="zh-CN"/>
                <w14:textFill>
                  <w14:solidFill>
                    <w14:schemeClr w14:val="tx1"/>
                  </w14:solidFill>
                </w14:textFill>
              </w:rPr>
              <w:t>官渡区分局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《道路货物运输及站场管理规定》第四十九条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市道路运输管理局官渡分局(2类13项）</w:t>
            </w:r>
          </w:p>
        </w:tc>
        <w:tc>
          <w:tcPr>
            <w:tcW w:w="1450" w:type="dxa"/>
            <w:tcBorders>
              <w:top w:val="nil"/>
              <w:left w:val="nil"/>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许可事项检查                   经营行为检查                            服务质量检查        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机动车维修经营活动的监督检查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维修企业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eastAsia="zh-CN"/>
                <w14:textFill>
                  <w14:solidFill>
                    <w14:schemeClr w14:val="tx1"/>
                  </w14:solidFill>
                </w14:textFill>
              </w:rPr>
              <w:t>市道路运输管理局官渡区分局官渡区分局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《机动车维修管理规定》第四十五条；《昆明市机动车维修经营管理办法》第二十七条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市道路运输管理局官渡分局(2类13项）</w:t>
            </w:r>
          </w:p>
        </w:tc>
        <w:tc>
          <w:tcPr>
            <w:tcW w:w="1450" w:type="dxa"/>
            <w:tcBorders>
              <w:top w:val="nil"/>
              <w:left w:val="nil"/>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许可事项检查                   经营行为检查                            服务质量检查        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机动车驾驶员培训经营活动的监督检查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驾培机构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市道路运输管理局官渡区分局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《机动车驾驶员培训管理规定》第四十二条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市道路运输管理局官渡分局(2类13项）</w:t>
            </w:r>
          </w:p>
        </w:tc>
        <w:tc>
          <w:tcPr>
            <w:tcW w:w="1450" w:type="dxa"/>
            <w:tcBorders>
              <w:top w:val="nil"/>
              <w:left w:val="nil"/>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许可事项检查                   经营行为检查                            服务质量检查        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城市公共交通活动的监督检查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客运企业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市道路运输管理局官渡区分局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《云南省城市公共交通管理办法》第二十六条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市道路运输管理局官渡分局(2类13项）</w:t>
            </w:r>
          </w:p>
        </w:tc>
        <w:tc>
          <w:tcPr>
            <w:tcW w:w="1450" w:type="dxa"/>
            <w:tcBorders>
              <w:top w:val="nil"/>
              <w:left w:val="nil"/>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许可事项检查                   经营行为检查                            服务质量检查        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国际道路运输监管检查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国际道路运输客、货企业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市道路运输管理局官渡区分局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《国际道路运输管理规定》第三十五条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市道路运输管理局官渡分局(2类13项）</w:t>
            </w:r>
          </w:p>
        </w:tc>
        <w:tc>
          <w:tcPr>
            <w:tcW w:w="1450" w:type="dxa"/>
            <w:tcBorders>
              <w:top w:val="nil"/>
              <w:left w:val="nil"/>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许可事项检查                   经营行为检查                            服务质量检查        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道路危险货物运输企业及车辆的监管检查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危险货物运输企业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市道路运输管理局官渡区分局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《道路危险货物运输管理规定》第二十二条、第五十二条、第五十三条、第五十四条、五十五条、五十六条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市道路运输管理局官渡分局(2类13项）</w:t>
            </w:r>
          </w:p>
        </w:tc>
        <w:tc>
          <w:tcPr>
            <w:tcW w:w="1450" w:type="dxa"/>
            <w:tcBorders>
              <w:top w:val="nil"/>
              <w:left w:val="nil"/>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许可事项检查                   经营行为检查                            服务质量检查        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放射性物品道路运输企业、专用车辆、设备及安全生产制度等安全条件的监督检查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危险货物运输企业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市道路运输管理局官渡区分局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《放射性物品道路运输管理规定》第三十六条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市道路运输管理局官渡分局(2类13项）</w:t>
            </w:r>
          </w:p>
        </w:tc>
        <w:tc>
          <w:tcPr>
            <w:tcW w:w="1450" w:type="dxa"/>
            <w:tcBorders>
              <w:top w:val="nil"/>
              <w:left w:val="nil"/>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许可事项检查                   经营行为检查                            服务质量检查        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危险化学品安全监督检查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危险货物运输企业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市道路运输管理局官渡区分局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《危险化学品安全管理条例》第五条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市道路运输管理局官渡分局(2类13项）</w:t>
            </w:r>
          </w:p>
        </w:tc>
        <w:tc>
          <w:tcPr>
            <w:tcW w:w="1450" w:type="dxa"/>
            <w:tcBorders>
              <w:top w:val="nil"/>
              <w:left w:val="nil"/>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许可事项检查                   经营行为检查                            服务质量检查        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重点目标（如客运站、场等）的监督检查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客运站、场</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市道路运输管理局官渡区分局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《中华人民共和国反恐怖主义法》第三十一条、第三十三条、第三十四条、第三十五条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市道路运输管理局官渡分局(2类13项）</w:t>
            </w:r>
          </w:p>
        </w:tc>
        <w:tc>
          <w:tcPr>
            <w:tcW w:w="1450" w:type="dxa"/>
            <w:tcBorders>
              <w:top w:val="nil"/>
              <w:left w:val="nil"/>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许可事项检查                   经营行为检查                            服务质量检查        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洗车场行业监督检查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洗车场经营企业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市道路运输管理局官渡区分局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《昆明市机动车洗车场管理办法》第五条、地二十二条、第二十三条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市道路运输管理局官渡分局(1类13项）</w:t>
            </w:r>
          </w:p>
        </w:tc>
        <w:tc>
          <w:tcPr>
            <w:tcW w:w="1450" w:type="dxa"/>
            <w:tcBorders>
              <w:top w:val="nil"/>
              <w:left w:val="nil"/>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许可事项检查                   经营行为检查                            服务质量检查        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停车场行业监督检查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停车场经营企业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市道路运输管理局官渡区分局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《昆明市机动车停车场管理办法》第四条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市道路运输管理局官渡分局(类13项）</w:t>
            </w:r>
          </w:p>
        </w:tc>
        <w:tc>
          <w:tcPr>
            <w:tcW w:w="1450" w:type="dxa"/>
            <w:tcBorders>
              <w:top w:val="nil"/>
              <w:left w:val="nil"/>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许可事项检查                   经营行为检查                            服务质量检查        安全生产检查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交通运输安全生产监督检查</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道路运输企业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eastAsia="宋体"/>
                <w:color w:val="000000" w:themeColor="text1"/>
                <w:sz w:val="20"/>
                <w:szCs w:val="20"/>
                <w:lang w:eastAsia="zh-CN"/>
                <w14:textFill>
                  <w14:solidFill>
                    <w14:schemeClr w14:val="tx1"/>
                  </w14:solidFill>
                </w14:textFill>
              </w:rPr>
              <w:t>市道路运输管理局官渡区分局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《安全生产法》第九条第二款、第三十六条、第五十九条、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官渡区烟草专卖局（1类4项）</w:t>
            </w:r>
          </w:p>
        </w:tc>
        <w:tc>
          <w:tcPr>
            <w:tcW w:w="1450" w:type="dxa"/>
            <w:tcBorders>
              <w:top w:val="nil"/>
              <w:left w:val="nil"/>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卷烟零售持证合法性和经营合法性进行监督检查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遵守烟草专卖法律、法规、规章的情况。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卷烟零售户</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官渡区烟草专卖局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《中华人民共和国烟草专卖法》第三十八条；《中华人民共和国烟草专卖法实施条例》第十四条第一款、第四十四条和第四十六条；《烟草专卖许可证管理办法》第三十四条、第三十六条和第三十七条。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官渡区烟草专卖局（1类4项）</w:t>
            </w:r>
          </w:p>
        </w:tc>
        <w:tc>
          <w:tcPr>
            <w:tcW w:w="1450" w:type="dxa"/>
            <w:tcBorders>
              <w:top w:val="nil"/>
              <w:left w:val="nil"/>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卷烟零售持证合法性和经营合法性进行监督检查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名称或者字号、法定代表人（负责人）、经营地址、经营方式、经营范围、经营期限等重要事项，是否与烟草专卖许可证登记事项相符合。</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卷烟零售户</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官渡区烟草专卖局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《中华人民共和国烟草专卖法》第三十八条；《中华人民共和国烟草专卖法实施条例》第十四条第一款、第四十四条和第四十六条；《烟草专卖许可证管理办法》第三十四条、第三十六条和第三十七条。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官渡区烟草专卖局（1类4项）</w:t>
            </w:r>
          </w:p>
        </w:tc>
        <w:tc>
          <w:tcPr>
            <w:tcW w:w="1450" w:type="dxa"/>
            <w:tcBorders>
              <w:top w:val="nil"/>
              <w:left w:val="nil"/>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卷烟零售持证合法性和经营合法性进行监督检查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烟草专卖许可证变更、注销、延续等手续的执行和办理情况。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卷烟零售户</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官渡区烟草专卖局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《中华人民共和国烟草专卖法》第三十八条；《中华人民共和国烟草专卖法实施条例》第十四条第一款、第四十四条和第四十六条；《烟草专卖许可证管理办法》第三十四条、第三十六条和第三十七条。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官渡区烟草专卖局（1类4项）</w:t>
            </w:r>
          </w:p>
        </w:tc>
        <w:tc>
          <w:tcPr>
            <w:tcW w:w="1450" w:type="dxa"/>
            <w:tcBorders>
              <w:top w:val="nil"/>
              <w:left w:val="nil"/>
              <w:bottom w:val="single" w:color="auto" w:sz="4" w:space="0"/>
              <w:right w:val="single" w:color="auto" w:sz="4" w:space="0"/>
            </w:tcBorders>
            <w:shd w:val="clear" w:color="auto" w:fill="auto"/>
            <w:vAlign w:val="center"/>
          </w:tcPr>
          <w:p>
            <w:pPr>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卷烟零售持证合法性和经营合法性进行监督检查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国家烟草专卖局规定需要检查的其他事项。</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卷烟零售户</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现场检查、书面检查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官渡区烟草专卖局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《中华人民共和国烟草专卖法》第三十八条；《中华人民共和国烟草专卖法实施条例》第十四条第一款、第四十四条和第四十六条；《烟草专卖许可证管理办法》第三十四条、第三十六条和第三十七条。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bl>
    <w:p>
      <w:pPr>
        <w:rPr>
          <w:color w:val="000000" w:themeColor="text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F3ABB"/>
    <w:multiLevelType w:val="singleLevel"/>
    <w:tmpl w:val="60BF3ABB"/>
    <w:lvl w:ilvl="0" w:tentative="0">
      <w:start w:val="1"/>
      <w:numFmt w:val="decimal"/>
      <w:suff w:val="nothing"/>
      <w:lvlText w:val="%1"/>
      <w:lvlJc w:val="left"/>
      <w:pPr>
        <w:tabs>
          <w:tab w:val="left" w:pos="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YTc5NDc4NDUxMTc0YzljM2FkNzNkNjQyOGQ0Y2EifQ=="/>
  </w:docVars>
  <w:rsids>
    <w:rsidRoot w:val="7DC74E1D"/>
    <w:rsid w:val="00030F69"/>
    <w:rsid w:val="00034EDC"/>
    <w:rsid w:val="00057CAC"/>
    <w:rsid w:val="00072188"/>
    <w:rsid w:val="00174163"/>
    <w:rsid w:val="002500EC"/>
    <w:rsid w:val="00250286"/>
    <w:rsid w:val="00287575"/>
    <w:rsid w:val="002F051E"/>
    <w:rsid w:val="0030741F"/>
    <w:rsid w:val="00346E43"/>
    <w:rsid w:val="00381BE9"/>
    <w:rsid w:val="003D725C"/>
    <w:rsid w:val="003E6E03"/>
    <w:rsid w:val="003E73C3"/>
    <w:rsid w:val="003F002B"/>
    <w:rsid w:val="00412D5E"/>
    <w:rsid w:val="0045089D"/>
    <w:rsid w:val="00521798"/>
    <w:rsid w:val="00557874"/>
    <w:rsid w:val="0056062C"/>
    <w:rsid w:val="00583535"/>
    <w:rsid w:val="005B7619"/>
    <w:rsid w:val="00677A9D"/>
    <w:rsid w:val="00772011"/>
    <w:rsid w:val="007751DF"/>
    <w:rsid w:val="007D24C2"/>
    <w:rsid w:val="007E2406"/>
    <w:rsid w:val="008973FB"/>
    <w:rsid w:val="009257B0"/>
    <w:rsid w:val="00966E80"/>
    <w:rsid w:val="00983065"/>
    <w:rsid w:val="00993D5F"/>
    <w:rsid w:val="00996C80"/>
    <w:rsid w:val="00A95BF6"/>
    <w:rsid w:val="00B36FA4"/>
    <w:rsid w:val="00B8083A"/>
    <w:rsid w:val="00B930A2"/>
    <w:rsid w:val="00BF41EF"/>
    <w:rsid w:val="00C11547"/>
    <w:rsid w:val="00C20388"/>
    <w:rsid w:val="00C267B5"/>
    <w:rsid w:val="00D02672"/>
    <w:rsid w:val="00DB5037"/>
    <w:rsid w:val="00DE78B2"/>
    <w:rsid w:val="00DF73A1"/>
    <w:rsid w:val="00E635D9"/>
    <w:rsid w:val="00E7578D"/>
    <w:rsid w:val="00E80771"/>
    <w:rsid w:val="00F36786"/>
    <w:rsid w:val="00F75F15"/>
    <w:rsid w:val="00FA4C0A"/>
    <w:rsid w:val="06F72626"/>
    <w:rsid w:val="072A5185"/>
    <w:rsid w:val="087C359F"/>
    <w:rsid w:val="08CF4D2C"/>
    <w:rsid w:val="091E7FE8"/>
    <w:rsid w:val="097E282F"/>
    <w:rsid w:val="0CE57CAE"/>
    <w:rsid w:val="0D1F7B15"/>
    <w:rsid w:val="0DAC3EBF"/>
    <w:rsid w:val="10B553BA"/>
    <w:rsid w:val="11BE7FA4"/>
    <w:rsid w:val="12512503"/>
    <w:rsid w:val="13A22B01"/>
    <w:rsid w:val="15072958"/>
    <w:rsid w:val="15D849FF"/>
    <w:rsid w:val="1C5203C6"/>
    <w:rsid w:val="1C726B5E"/>
    <w:rsid w:val="1EE27BB0"/>
    <w:rsid w:val="1FE5662E"/>
    <w:rsid w:val="204A438F"/>
    <w:rsid w:val="20514806"/>
    <w:rsid w:val="2A1735F2"/>
    <w:rsid w:val="32C7424B"/>
    <w:rsid w:val="342220D9"/>
    <w:rsid w:val="350A68EF"/>
    <w:rsid w:val="367A550F"/>
    <w:rsid w:val="36BB3F3F"/>
    <w:rsid w:val="3708468C"/>
    <w:rsid w:val="38B706F6"/>
    <w:rsid w:val="39A17860"/>
    <w:rsid w:val="3A0B26A0"/>
    <w:rsid w:val="3A6F49C1"/>
    <w:rsid w:val="3B7128E6"/>
    <w:rsid w:val="40CC5087"/>
    <w:rsid w:val="465D1987"/>
    <w:rsid w:val="49A921CC"/>
    <w:rsid w:val="49C97CA8"/>
    <w:rsid w:val="4C232830"/>
    <w:rsid w:val="4FDE4211"/>
    <w:rsid w:val="503373B0"/>
    <w:rsid w:val="51BD4229"/>
    <w:rsid w:val="534211A3"/>
    <w:rsid w:val="53EA24C8"/>
    <w:rsid w:val="54E14EA8"/>
    <w:rsid w:val="596C243F"/>
    <w:rsid w:val="5BBF7814"/>
    <w:rsid w:val="5C111F3E"/>
    <w:rsid w:val="5C3939BA"/>
    <w:rsid w:val="60560BE9"/>
    <w:rsid w:val="60C57968"/>
    <w:rsid w:val="63065889"/>
    <w:rsid w:val="632B3D56"/>
    <w:rsid w:val="667C32DD"/>
    <w:rsid w:val="6A374F7E"/>
    <w:rsid w:val="6AC22CA6"/>
    <w:rsid w:val="6C9B4444"/>
    <w:rsid w:val="6E4F04BB"/>
    <w:rsid w:val="712311CE"/>
    <w:rsid w:val="745A72EC"/>
    <w:rsid w:val="74753989"/>
    <w:rsid w:val="7515721C"/>
    <w:rsid w:val="75FC7ED6"/>
    <w:rsid w:val="77E17CF0"/>
    <w:rsid w:val="77F15D67"/>
    <w:rsid w:val="7A503585"/>
    <w:rsid w:val="7DC74E1D"/>
    <w:rsid w:val="7DF2015A"/>
    <w:rsid w:val="7E7E4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方正仿宋_GBK" w:hAnsi="方正仿宋_GBK" w:eastAsia="方正仿宋_GBK" w:cs="方正仿宋_GBK"/>
      <w:kern w:val="0"/>
      <w:sz w:val="32"/>
      <w:szCs w:val="32"/>
      <w:lang w:val="zh-CN" w:bidi="zh-CN"/>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41"/>
    <w:basedOn w:val="6"/>
    <w:qFormat/>
    <w:uiPriority w:val="0"/>
    <w:rPr>
      <w:rFonts w:hint="eastAsia" w:ascii="宋体" w:hAnsi="宋体" w:eastAsia="宋体" w:cs="宋体"/>
      <w:color w:val="000000"/>
      <w:sz w:val="20"/>
      <w:szCs w:val="20"/>
      <w:u w:val="none"/>
    </w:rPr>
  </w:style>
  <w:style w:type="character" w:customStyle="1" w:styleId="8">
    <w:name w:val="font91"/>
    <w:basedOn w:val="6"/>
    <w:qFormat/>
    <w:uiPriority w:val="0"/>
    <w:rPr>
      <w:rFonts w:hint="eastAsia" w:ascii="宋体" w:hAnsi="宋体" w:eastAsia="宋体" w:cs="宋体"/>
      <w:color w:val="000000"/>
      <w:sz w:val="20"/>
      <w:szCs w:val="20"/>
      <w:u w:val="none"/>
    </w:rPr>
  </w:style>
  <w:style w:type="character" w:customStyle="1" w:styleId="9">
    <w:name w:val="页眉 Char"/>
    <w:basedOn w:val="6"/>
    <w:link w:val="4"/>
    <w:autoRedefine/>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242</Pages>
  <Words>89995</Words>
  <Characters>92016</Characters>
  <Lines>701</Lines>
  <Paragraphs>197</Paragraphs>
  <TotalTime>12</TotalTime>
  <ScaleCrop>false</ScaleCrop>
  <LinksUpToDate>false</LinksUpToDate>
  <CharactersWithSpaces>93007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2021-07-22T03:42:00Z</dcterms:created>
  <dc:creator>NTKO</dc:creator>
  <cp:lastModifiedBy>学而知之</cp:lastModifiedBy>
  <dcterms:modified xsi:type="dcterms:W3CDTF">2024-01-29T07:24:56Z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9D15941792724762A632DBFBFEA75578_13</vt:lpwstr>
  </property>
</Properties>
</file>