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jc w:val="center"/>
        <w:rPr>
          <w:rFonts w:eastAsiaTheme="minorEastAsia"/>
          <w:b/>
        </w:rPr>
      </w:pPr>
    </w:p>
    <w:p>
      <w:pPr>
        <w:ind w:firstLine="482"/>
        <w:jc w:val="center"/>
        <w:rPr>
          <w:rFonts w:eastAsiaTheme="minorEastAsia"/>
          <w:b/>
        </w:rPr>
      </w:pPr>
    </w:p>
    <w:p>
      <w:pPr>
        <w:spacing w:beforeLines="50" w:afterLines="50" w:line="120" w:lineRule="atLeast"/>
        <w:ind w:left="54" w:leftChars="-152" w:hanging="419" w:hangingChars="58"/>
        <w:jc w:val="center"/>
        <w:rPr>
          <w:rFonts w:eastAsia="隶书"/>
          <w:b/>
          <w:sz w:val="72"/>
          <w:szCs w:val="72"/>
        </w:rPr>
      </w:pPr>
      <w:r>
        <w:rPr>
          <w:rFonts w:eastAsia="隶书"/>
          <w:b/>
          <w:sz w:val="72"/>
          <w:szCs w:val="72"/>
        </w:rPr>
        <w:t>昆明市 官渡区</w:t>
      </w:r>
    </w:p>
    <w:p>
      <w:pPr>
        <w:spacing w:line="360" w:lineRule="auto"/>
        <w:ind w:firstLine="0" w:firstLineChars="0"/>
        <w:jc w:val="center"/>
        <w:rPr>
          <w:rFonts w:eastAsiaTheme="minorEastAsia"/>
          <w:b/>
          <w:spacing w:val="10"/>
          <w:sz w:val="72"/>
          <w:szCs w:val="72"/>
        </w:rPr>
      </w:pPr>
      <w:r>
        <w:rPr>
          <w:rFonts w:eastAsia="隶书"/>
          <w:b/>
          <w:sz w:val="72"/>
          <w:szCs w:val="72"/>
        </w:rPr>
        <w:t>“十四五”水安全保障规划</w:t>
      </w:r>
    </w:p>
    <w:p>
      <w:pPr>
        <w:spacing w:line="480" w:lineRule="auto"/>
        <w:ind w:firstLine="0" w:firstLineChars="0"/>
        <w:jc w:val="center"/>
        <w:rPr>
          <w:rFonts w:eastAsiaTheme="minorEastAsia"/>
          <w:b/>
          <w:spacing w:val="20"/>
          <w:position w:val="2"/>
          <w:sz w:val="32"/>
          <w:szCs w:val="32"/>
        </w:rPr>
      </w:pPr>
      <w:r>
        <w:rPr>
          <w:rFonts w:hint="eastAsia" w:eastAsiaTheme="minorEastAsia"/>
          <w:b/>
          <w:spacing w:val="20"/>
          <w:position w:val="2"/>
          <w:sz w:val="32"/>
          <w:szCs w:val="32"/>
        </w:rPr>
        <w:t>（草案）</w:t>
      </w:r>
    </w:p>
    <w:p>
      <w:pPr>
        <w:spacing w:line="480" w:lineRule="auto"/>
        <w:ind w:firstLine="0" w:firstLineChars="0"/>
        <w:jc w:val="center"/>
        <w:rPr>
          <w:rFonts w:eastAsiaTheme="minorEastAsia"/>
          <w:b/>
          <w:spacing w:val="20"/>
          <w:position w:val="2"/>
        </w:rPr>
      </w:pPr>
    </w:p>
    <w:p>
      <w:pPr>
        <w:spacing w:line="480" w:lineRule="auto"/>
        <w:ind w:firstLine="0" w:firstLineChars="0"/>
        <w:jc w:val="center"/>
        <w:rPr>
          <w:rFonts w:eastAsiaTheme="minorEastAsia"/>
          <w:b/>
          <w:spacing w:val="20"/>
          <w:position w:val="2"/>
        </w:rPr>
      </w:pPr>
    </w:p>
    <w:p>
      <w:pPr>
        <w:spacing w:line="480" w:lineRule="auto"/>
        <w:ind w:firstLine="0" w:firstLineChars="0"/>
        <w:jc w:val="center"/>
        <w:rPr>
          <w:rFonts w:eastAsiaTheme="minorEastAsia"/>
          <w:b/>
          <w:spacing w:val="20"/>
          <w:position w:val="2"/>
        </w:rPr>
      </w:pPr>
    </w:p>
    <w:p>
      <w:pPr>
        <w:ind w:firstLine="480"/>
      </w:pPr>
    </w:p>
    <w:p>
      <w:pPr>
        <w:pStyle w:val="4"/>
        <w:ind w:firstLine="562"/>
        <w:rPr>
          <w:rFonts w:ascii="Times New Roman" w:hAnsi="Times New Roman" w:eastAsiaTheme="minorEastAsia"/>
          <w:b/>
          <w:color w:val="auto"/>
          <w:spacing w:val="20"/>
          <w:position w:val="2"/>
        </w:rPr>
      </w:pPr>
    </w:p>
    <w:p>
      <w:pPr>
        <w:pStyle w:val="4"/>
        <w:ind w:firstLine="562"/>
        <w:rPr>
          <w:rFonts w:ascii="Times New Roman" w:hAnsi="Times New Roman" w:eastAsiaTheme="minorEastAsia"/>
          <w:b/>
          <w:color w:val="auto"/>
          <w:spacing w:val="20"/>
          <w:position w:val="2"/>
        </w:rPr>
      </w:pPr>
    </w:p>
    <w:p>
      <w:pPr>
        <w:pStyle w:val="4"/>
        <w:ind w:firstLine="562"/>
        <w:rPr>
          <w:rFonts w:ascii="Times New Roman" w:hAnsi="Times New Roman" w:eastAsiaTheme="minorEastAsia"/>
          <w:b/>
          <w:color w:val="auto"/>
          <w:spacing w:val="20"/>
          <w:position w:val="2"/>
        </w:rPr>
      </w:pPr>
    </w:p>
    <w:p>
      <w:pPr>
        <w:pStyle w:val="4"/>
        <w:ind w:firstLine="562"/>
        <w:rPr>
          <w:rFonts w:ascii="Times New Roman" w:hAnsi="Times New Roman" w:eastAsiaTheme="minorEastAsia"/>
          <w:b/>
          <w:color w:val="auto"/>
          <w:spacing w:val="20"/>
          <w:position w:val="2"/>
        </w:rPr>
      </w:pPr>
    </w:p>
    <w:p>
      <w:pPr>
        <w:pStyle w:val="4"/>
        <w:ind w:firstLine="562"/>
        <w:rPr>
          <w:rFonts w:ascii="Times New Roman" w:hAnsi="Times New Roman" w:eastAsiaTheme="minorEastAsia"/>
          <w:b/>
          <w:color w:val="auto"/>
          <w:spacing w:val="20"/>
          <w:position w:val="2"/>
        </w:rPr>
      </w:pPr>
    </w:p>
    <w:p>
      <w:pPr>
        <w:pStyle w:val="4"/>
        <w:ind w:firstLine="562"/>
        <w:rPr>
          <w:rFonts w:ascii="Times New Roman" w:hAnsi="Times New Roman" w:eastAsiaTheme="minorEastAsia"/>
          <w:b/>
          <w:color w:val="auto"/>
          <w:spacing w:val="20"/>
          <w:position w:val="2"/>
        </w:rPr>
      </w:pPr>
    </w:p>
    <w:p>
      <w:pPr>
        <w:pStyle w:val="4"/>
        <w:ind w:firstLine="562"/>
        <w:rPr>
          <w:rFonts w:ascii="Times New Roman" w:hAnsi="Times New Roman" w:eastAsiaTheme="minorEastAsia"/>
          <w:b/>
          <w:color w:val="auto"/>
          <w:spacing w:val="20"/>
          <w:position w:val="2"/>
        </w:rPr>
      </w:pPr>
    </w:p>
    <w:p>
      <w:pPr>
        <w:spacing w:line="480" w:lineRule="auto"/>
        <w:ind w:firstLine="0" w:firstLineChars="0"/>
        <w:jc w:val="center"/>
        <w:rPr>
          <w:rFonts w:eastAsiaTheme="minorEastAsia"/>
          <w:b/>
          <w:spacing w:val="20"/>
          <w:position w:val="2"/>
        </w:rPr>
      </w:pPr>
    </w:p>
    <w:p>
      <w:pPr>
        <w:pStyle w:val="2"/>
      </w:pPr>
    </w:p>
    <w:p>
      <w:pPr>
        <w:pStyle w:val="4"/>
        <w:ind w:firstLine="480"/>
      </w:pPr>
    </w:p>
    <w:p>
      <w:pPr>
        <w:ind w:firstLine="480"/>
      </w:pPr>
    </w:p>
    <w:p>
      <w:pPr>
        <w:spacing w:line="520" w:lineRule="exact"/>
        <w:ind w:firstLine="0" w:firstLineChars="0"/>
        <w:jc w:val="center"/>
        <w:rPr>
          <w:rFonts w:eastAsia="隶书"/>
          <w:b/>
          <w:sz w:val="36"/>
          <w:szCs w:val="36"/>
        </w:rPr>
      </w:pPr>
      <w:r>
        <w:rPr>
          <w:rFonts w:eastAsia="隶书"/>
          <w:b/>
          <w:sz w:val="36"/>
          <w:szCs w:val="36"/>
        </w:rPr>
        <w:t>昆明市官渡区</w:t>
      </w:r>
      <w:r>
        <w:rPr>
          <w:rFonts w:hint="eastAsia" w:eastAsia="隶书"/>
          <w:b/>
          <w:sz w:val="36"/>
          <w:szCs w:val="36"/>
        </w:rPr>
        <w:t>水务局</w:t>
      </w:r>
    </w:p>
    <w:p>
      <w:pPr>
        <w:spacing w:line="520" w:lineRule="exact"/>
        <w:ind w:firstLine="0" w:firstLineChars="0"/>
        <w:jc w:val="center"/>
        <w:rPr>
          <w:rFonts w:eastAsia="隶书"/>
          <w:b/>
          <w:sz w:val="36"/>
          <w:szCs w:val="36"/>
        </w:rPr>
      </w:pPr>
      <w:r>
        <w:rPr>
          <w:rFonts w:hint="eastAsia" w:eastAsia="隶书"/>
          <w:b/>
          <w:sz w:val="36"/>
          <w:szCs w:val="36"/>
        </w:rPr>
        <w:t>昆明市水利水电勘测设计研究院有限责任公司</w:t>
      </w:r>
    </w:p>
    <w:p>
      <w:pPr>
        <w:spacing w:line="276" w:lineRule="auto"/>
        <w:ind w:firstLine="0" w:firstLineChars="0"/>
        <w:jc w:val="center"/>
        <w:rPr>
          <w:rFonts w:eastAsiaTheme="minorEastAsia"/>
          <w:b/>
          <w:spacing w:val="20"/>
          <w:sz w:val="36"/>
          <w:szCs w:val="36"/>
        </w:rPr>
      </w:pPr>
      <w:r>
        <w:rPr>
          <w:rFonts w:eastAsia="隶书"/>
          <w:b/>
          <w:sz w:val="36"/>
          <w:szCs w:val="36"/>
        </w:rPr>
        <w:t>二0二一年</w:t>
      </w:r>
      <w:r>
        <w:rPr>
          <w:rFonts w:hint="eastAsia" w:eastAsia="隶书"/>
          <w:b/>
          <w:sz w:val="36"/>
          <w:szCs w:val="36"/>
        </w:rPr>
        <w:t>八月</w:t>
      </w:r>
    </w:p>
    <w:p>
      <w:pPr>
        <w:widowControl/>
        <w:ind w:firstLine="562"/>
        <w:jc w:val="left"/>
        <w:rPr>
          <w:rFonts w:eastAsiaTheme="minorEastAsia"/>
          <w:b/>
          <w:spacing w:val="2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40" w:left="1418" w:header="851" w:footer="992" w:gutter="0"/>
          <w:pgNumType w:start="1"/>
          <w:cols w:space="720" w:num="1"/>
          <w:docGrid w:linePitch="312" w:charSpace="0"/>
        </w:sectPr>
      </w:pPr>
    </w:p>
    <w:p>
      <w:pPr>
        <w:ind w:firstLine="482"/>
        <w:jc w:val="center"/>
        <w:outlineLvl w:val="0"/>
        <w:rPr>
          <w:rFonts w:eastAsiaTheme="minorEastAsia"/>
          <w:b/>
        </w:rPr>
      </w:pPr>
      <w:bookmarkStart w:id="0" w:name="_Toc536630305"/>
      <w:bookmarkStart w:id="1" w:name="_Toc14998"/>
      <w:bookmarkStart w:id="2" w:name="_Toc7203"/>
      <w:bookmarkStart w:id="3" w:name="_Toc2848"/>
      <w:bookmarkStart w:id="4" w:name="_Toc22058203"/>
      <w:bookmarkStart w:id="5" w:name="_Toc29830703"/>
      <w:bookmarkStart w:id="6" w:name="_Toc7097"/>
      <w:bookmarkStart w:id="7" w:name="_Toc363638409"/>
      <w:bookmarkStart w:id="8" w:name="_Toc385347843"/>
      <w:bookmarkStart w:id="9" w:name="_Toc369007460"/>
      <w:bookmarkStart w:id="10" w:name="_Toc11840"/>
      <w:bookmarkStart w:id="11" w:name="_Toc31651"/>
      <w:bookmarkStart w:id="12" w:name="_Toc390937282"/>
      <w:bookmarkStart w:id="13" w:name="_Toc476210914"/>
      <w:bookmarkStart w:id="14" w:name="_Toc27584832"/>
      <w:bookmarkStart w:id="15" w:name="_Toc23262002"/>
      <w:bookmarkStart w:id="16" w:name="_Toc16703085"/>
      <w:bookmarkStart w:id="17" w:name="_Toc12030"/>
      <w:bookmarkStart w:id="18" w:name="_Toc7761"/>
      <w:bookmarkStart w:id="19" w:name="_Toc32931672"/>
      <w:bookmarkStart w:id="20" w:name="_Toc462127847"/>
      <w:bookmarkStart w:id="21" w:name="_Toc25356"/>
      <w:bookmarkStart w:id="22" w:name="_Toc13214"/>
      <w:bookmarkStart w:id="23" w:name="_Toc462127782"/>
      <w:bookmarkStart w:id="24" w:name="_Toc5776"/>
      <w:bookmarkStart w:id="25" w:name="_Toc477708299"/>
      <w:bookmarkStart w:id="26" w:name="_Toc426039989"/>
      <w:bookmarkStart w:id="27" w:name="_Toc430162615"/>
      <w:bookmarkStart w:id="28" w:name="_Toc382407954"/>
      <w:bookmarkStart w:id="29" w:name="_Toc491093054"/>
      <w:bookmarkStart w:id="30" w:name="_Toc332630963"/>
      <w:bookmarkStart w:id="31" w:name="_Toc427929524"/>
      <w:bookmarkStart w:id="32" w:name="_Toc19759"/>
      <w:bookmarkStart w:id="33" w:name="_Toc423449051"/>
      <w:bookmarkStart w:id="34" w:name="_Toc917"/>
      <w:bookmarkStart w:id="35" w:name="_Toc43118301"/>
      <w:r>
        <w:rPr>
          <w:rFonts w:eastAsiaTheme="minorEastAsia"/>
          <w:b/>
          <w:lang w:val="zh-CN"/>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17"/>
        <w:tabs>
          <w:tab w:val="right" w:leader="dot" w:pos="9070"/>
        </w:tabs>
        <w:rPr>
          <w:szCs w:val="24"/>
        </w:rPr>
      </w:pPr>
      <w:r>
        <w:rPr>
          <w:rFonts w:eastAsia="黑体"/>
          <w:szCs w:val="24"/>
        </w:rPr>
        <w:fldChar w:fldCharType="begin"/>
      </w:r>
      <w:r>
        <w:rPr>
          <w:rFonts w:eastAsia="黑体"/>
          <w:szCs w:val="24"/>
        </w:rPr>
        <w:instrText xml:space="preserve">TOC \o "1-3" \h \u </w:instrText>
      </w:r>
      <w:r>
        <w:rPr>
          <w:rFonts w:eastAsia="黑体"/>
          <w:szCs w:val="24"/>
        </w:rPr>
        <w:fldChar w:fldCharType="separate"/>
      </w:r>
      <w:r>
        <w:fldChar w:fldCharType="begin"/>
      </w:r>
      <w:r>
        <w:instrText xml:space="preserve"> HYPERLINK \l "_Toc8801" </w:instrText>
      </w:r>
      <w:r>
        <w:fldChar w:fldCharType="separate"/>
      </w:r>
      <w:r>
        <w:rPr>
          <w:szCs w:val="24"/>
        </w:rPr>
        <w:t>前言</w:t>
      </w:r>
      <w:r>
        <w:rPr>
          <w:szCs w:val="24"/>
        </w:rPr>
        <w:tab/>
      </w:r>
      <w:r>
        <w:rPr>
          <w:szCs w:val="24"/>
        </w:rPr>
        <w:fldChar w:fldCharType="begin"/>
      </w:r>
      <w:r>
        <w:rPr>
          <w:szCs w:val="24"/>
        </w:rPr>
        <w:instrText xml:space="preserve"> PAGEREF _Toc8801 \h </w:instrText>
      </w:r>
      <w:r>
        <w:rPr>
          <w:szCs w:val="24"/>
        </w:rPr>
        <w:fldChar w:fldCharType="separate"/>
      </w:r>
      <w:r>
        <w:rPr>
          <w:szCs w:val="24"/>
        </w:rPr>
        <w:t>1</w:t>
      </w:r>
      <w:r>
        <w:rPr>
          <w:szCs w:val="24"/>
        </w:rPr>
        <w:fldChar w:fldCharType="end"/>
      </w:r>
      <w:r>
        <w:rPr>
          <w:szCs w:val="24"/>
        </w:rPr>
        <w:fldChar w:fldCharType="end"/>
      </w:r>
    </w:p>
    <w:p>
      <w:pPr>
        <w:pStyle w:val="17"/>
        <w:tabs>
          <w:tab w:val="right" w:leader="dot" w:pos="9070"/>
        </w:tabs>
        <w:rPr>
          <w:szCs w:val="24"/>
        </w:rPr>
      </w:pPr>
      <w:r>
        <w:fldChar w:fldCharType="begin"/>
      </w:r>
      <w:r>
        <w:instrText xml:space="preserve"> HYPERLINK \l "_Toc7397" </w:instrText>
      </w:r>
      <w:r>
        <w:fldChar w:fldCharType="separate"/>
      </w:r>
      <w:r>
        <w:rPr>
          <w:szCs w:val="24"/>
        </w:rPr>
        <w:t>1概述</w:t>
      </w:r>
      <w:r>
        <w:rPr>
          <w:szCs w:val="24"/>
        </w:rPr>
        <w:tab/>
      </w:r>
      <w:r>
        <w:rPr>
          <w:szCs w:val="24"/>
        </w:rPr>
        <w:fldChar w:fldCharType="begin"/>
      </w:r>
      <w:r>
        <w:rPr>
          <w:szCs w:val="24"/>
        </w:rPr>
        <w:instrText xml:space="preserve"> PAGEREF _Toc7397 \h </w:instrText>
      </w:r>
      <w:r>
        <w:rPr>
          <w:szCs w:val="24"/>
        </w:rPr>
        <w:fldChar w:fldCharType="separate"/>
      </w:r>
      <w:r>
        <w:rPr>
          <w:szCs w:val="24"/>
        </w:rPr>
        <w:t>1</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"_Toc21534" </w:instrText>
      </w:r>
      <w:r>
        <w:fldChar w:fldCharType="separate"/>
      </w:r>
      <w:r>
        <w:rPr>
          <w:sz w:val="24"/>
          <w:szCs w:val="24"/>
        </w:rPr>
        <w:t>1.1规划背景</w:t>
      </w:r>
      <w:r>
        <w:rPr>
          <w:sz w:val="24"/>
          <w:szCs w:val="24"/>
        </w:rPr>
        <w:tab/>
      </w:r>
      <w:r>
        <w:rPr>
          <w:sz w:val="24"/>
          <w:szCs w:val="24"/>
        </w:rPr>
        <w:fldChar w:fldCharType="begin"/>
      </w:r>
      <w:r>
        <w:rPr>
          <w:sz w:val="24"/>
          <w:szCs w:val="24"/>
        </w:rPr>
        <w:instrText xml:space="preserve"> PAGEREF _Toc21534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"_Toc17625" </w:instrText>
      </w:r>
      <w:r>
        <w:fldChar w:fldCharType="separate"/>
      </w:r>
      <w:r>
        <w:rPr>
          <w:sz w:val="24"/>
          <w:szCs w:val="24"/>
        </w:rPr>
        <w:t>1.2基本概况</w:t>
      </w:r>
      <w:r>
        <w:rPr>
          <w:sz w:val="24"/>
          <w:szCs w:val="24"/>
        </w:rPr>
        <w:tab/>
      </w:r>
      <w:r>
        <w:rPr>
          <w:sz w:val="24"/>
          <w:szCs w:val="24"/>
        </w:rPr>
        <w:fldChar w:fldCharType="begin"/>
      </w:r>
      <w:r>
        <w:rPr>
          <w:sz w:val="24"/>
          <w:szCs w:val="24"/>
        </w:rPr>
        <w:instrText xml:space="preserve"> PAGEREF _Toc17625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"_Toc20324" </w:instrText>
      </w:r>
      <w:r>
        <w:fldChar w:fldCharType="separate"/>
      </w:r>
      <w:r>
        <w:t>1.2.1自然概况</w:t>
      </w:r>
      <w:r>
        <w:tab/>
      </w:r>
      <w:r>
        <w:fldChar w:fldCharType="begin"/>
      </w:r>
      <w:r>
        <w:instrText xml:space="preserve"> PAGEREF _Toc20324 \h </w:instrText>
      </w:r>
      <w:r>
        <w:fldChar w:fldCharType="separate"/>
      </w:r>
      <w:r>
        <w:t>2</w:t>
      </w:r>
      <w:r>
        <w:fldChar w:fldCharType="end"/>
      </w:r>
      <w:r>
        <w:fldChar w:fldCharType="end"/>
      </w:r>
    </w:p>
    <w:p>
      <w:pPr>
        <w:pStyle w:val="12"/>
        <w:tabs>
          <w:tab w:val="right" w:leader="dot" w:pos="9070"/>
        </w:tabs>
        <w:ind w:left="960" w:firstLine="480"/>
      </w:pPr>
      <w:r>
        <w:fldChar w:fldCharType="begin"/>
      </w:r>
      <w:r>
        <w:instrText xml:space="preserve"> HYPERLINK \l "_Toc31172" </w:instrText>
      </w:r>
      <w:r>
        <w:fldChar w:fldCharType="separate"/>
      </w:r>
      <w:r>
        <w:t>1.2.2社会经济慨况</w:t>
      </w:r>
      <w:r>
        <w:tab/>
      </w:r>
      <w:r>
        <w:fldChar w:fldCharType="begin"/>
      </w:r>
      <w:r>
        <w:instrText xml:space="preserve"> PAGEREF _Toc31172 \h </w:instrText>
      </w:r>
      <w:r>
        <w:fldChar w:fldCharType="separate"/>
      </w:r>
      <w:r>
        <w:t>13</w:t>
      </w:r>
      <w:r>
        <w:fldChar w:fldCharType="end"/>
      </w:r>
      <w:r>
        <w:fldChar w:fldCharType="end"/>
      </w:r>
    </w:p>
    <w:p>
      <w:pPr>
        <w:pStyle w:val="18"/>
        <w:tabs>
          <w:tab w:val="right" w:leader="dot" w:pos="9070"/>
        </w:tabs>
        <w:ind w:firstLine="400"/>
        <w:rPr>
          <w:sz w:val="24"/>
          <w:szCs w:val="24"/>
        </w:rPr>
      </w:pPr>
      <w:r>
        <w:fldChar w:fldCharType="begin"/>
      </w:r>
      <w:r>
        <w:instrText xml:space="preserve"> HYPERLINK \l "_Toc15376" </w:instrText>
      </w:r>
      <w:r>
        <w:fldChar w:fldCharType="separate"/>
      </w:r>
      <w:r>
        <w:rPr>
          <w:sz w:val="24"/>
          <w:szCs w:val="24"/>
        </w:rPr>
        <w:t>1.3水务发展“十三五”规划完成情况</w:t>
      </w:r>
      <w:r>
        <w:rPr>
          <w:sz w:val="24"/>
          <w:szCs w:val="24"/>
        </w:rPr>
        <w:tab/>
      </w:r>
      <w:r>
        <w:rPr>
          <w:sz w:val="24"/>
          <w:szCs w:val="24"/>
        </w:rPr>
        <w:fldChar w:fldCharType="begin"/>
      </w:r>
      <w:r>
        <w:rPr>
          <w:sz w:val="24"/>
          <w:szCs w:val="24"/>
        </w:rPr>
        <w:instrText xml:space="preserve"> PAGEREF _Toc15376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"_Toc4758" </w:instrText>
      </w:r>
      <w:r>
        <w:fldChar w:fldCharType="separate"/>
      </w:r>
      <w:r>
        <w:t>1.3.1水务发展“十三五”取得主要成就</w:t>
      </w:r>
      <w:r>
        <w:tab/>
      </w:r>
      <w:r>
        <w:fldChar w:fldCharType="begin"/>
      </w:r>
      <w:r>
        <w:instrText xml:space="preserve"> PAGEREF _Toc4758 \h </w:instrText>
      </w:r>
      <w:r>
        <w:fldChar w:fldCharType="separate"/>
      </w:r>
      <w:r>
        <w:t>13</w:t>
      </w:r>
      <w:r>
        <w:fldChar w:fldCharType="end"/>
      </w:r>
      <w:r>
        <w:fldChar w:fldCharType="end"/>
      </w:r>
    </w:p>
    <w:p>
      <w:pPr>
        <w:pStyle w:val="18"/>
        <w:tabs>
          <w:tab w:val="right" w:leader="dot" w:pos="9070"/>
        </w:tabs>
        <w:ind w:firstLine="400"/>
        <w:rPr>
          <w:sz w:val="24"/>
          <w:szCs w:val="24"/>
        </w:rPr>
      </w:pPr>
      <w:r>
        <w:fldChar w:fldCharType="begin"/>
      </w:r>
      <w:r>
        <w:instrText xml:space="preserve"> HYPERLINK \l "_Toc20918" </w:instrText>
      </w:r>
      <w:r>
        <w:fldChar w:fldCharType="separate"/>
      </w:r>
      <w:r>
        <w:rPr>
          <w:sz w:val="24"/>
          <w:szCs w:val="24"/>
        </w:rPr>
        <w:t>1.4“十四五”时期面临的形势和问题</w:t>
      </w:r>
      <w:r>
        <w:rPr>
          <w:sz w:val="24"/>
          <w:szCs w:val="24"/>
        </w:rPr>
        <w:tab/>
      </w:r>
      <w:r>
        <w:rPr>
          <w:sz w:val="24"/>
          <w:szCs w:val="24"/>
        </w:rPr>
        <w:fldChar w:fldCharType="begin"/>
      </w:r>
      <w:r>
        <w:rPr>
          <w:sz w:val="24"/>
          <w:szCs w:val="24"/>
        </w:rPr>
        <w:instrText xml:space="preserve"> PAGEREF _Toc20918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"_Toc15216" </w:instrText>
      </w:r>
      <w:r>
        <w:fldChar w:fldCharType="separate"/>
      </w:r>
      <w:r>
        <w:t>1.4.1“十四五”时期的新形势、新机遇及应对举措</w:t>
      </w:r>
      <w:r>
        <w:tab/>
      </w:r>
      <w:r>
        <w:fldChar w:fldCharType="begin"/>
      </w:r>
      <w:r>
        <w:instrText xml:space="preserve"> PAGEREF _Toc15216 \h </w:instrText>
      </w:r>
      <w:r>
        <w:fldChar w:fldCharType="separate"/>
      </w:r>
      <w:r>
        <w:t>20</w:t>
      </w:r>
      <w:r>
        <w:fldChar w:fldCharType="end"/>
      </w:r>
      <w:r>
        <w:fldChar w:fldCharType="end"/>
      </w:r>
    </w:p>
    <w:p>
      <w:pPr>
        <w:pStyle w:val="12"/>
        <w:tabs>
          <w:tab w:val="right" w:leader="dot" w:pos="9070"/>
        </w:tabs>
        <w:ind w:left="960" w:firstLine="480"/>
      </w:pPr>
      <w:r>
        <w:fldChar w:fldCharType="begin"/>
      </w:r>
      <w:r>
        <w:instrText xml:space="preserve"> HYPERLINK \l "_Toc31588" </w:instrText>
      </w:r>
      <w:r>
        <w:fldChar w:fldCharType="separate"/>
      </w:r>
      <w:r>
        <w:t>1.4.2“十四五”时期面临的挑战</w:t>
      </w:r>
      <w:r>
        <w:tab/>
      </w:r>
      <w:r>
        <w:fldChar w:fldCharType="begin"/>
      </w:r>
      <w:r>
        <w:instrText xml:space="preserve"> PAGEREF _Toc31588 \h </w:instrText>
      </w:r>
      <w:r>
        <w:fldChar w:fldCharType="separate"/>
      </w:r>
      <w:r>
        <w:t>23</w:t>
      </w:r>
      <w:r>
        <w:fldChar w:fldCharType="end"/>
      </w:r>
      <w:r>
        <w:fldChar w:fldCharType="end"/>
      </w:r>
    </w:p>
    <w:p>
      <w:pPr>
        <w:pStyle w:val="18"/>
        <w:tabs>
          <w:tab w:val="right" w:leader="dot" w:pos="9070"/>
        </w:tabs>
        <w:ind w:firstLine="400"/>
        <w:rPr>
          <w:sz w:val="24"/>
          <w:szCs w:val="24"/>
        </w:rPr>
      </w:pPr>
      <w:r>
        <w:fldChar w:fldCharType="begin"/>
      </w:r>
      <w:r>
        <w:instrText xml:space="preserve"> HYPERLINK \l "_Toc11473" </w:instrText>
      </w:r>
      <w:r>
        <w:fldChar w:fldCharType="separate"/>
      </w:r>
      <w:r>
        <w:rPr>
          <w:sz w:val="24"/>
          <w:szCs w:val="24"/>
        </w:rPr>
        <w:t>1.5官渡区水务发展存在的主要问题</w:t>
      </w:r>
      <w:r>
        <w:rPr>
          <w:sz w:val="24"/>
          <w:szCs w:val="24"/>
        </w:rPr>
        <w:tab/>
      </w:r>
      <w:r>
        <w:rPr>
          <w:sz w:val="24"/>
          <w:szCs w:val="24"/>
        </w:rPr>
        <w:fldChar w:fldCharType="begin"/>
      </w:r>
      <w:r>
        <w:rPr>
          <w:sz w:val="24"/>
          <w:szCs w:val="24"/>
        </w:rPr>
        <w:instrText xml:space="preserve"> PAGEREF _Toc11473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"_Toc19103" </w:instrText>
      </w:r>
      <w:r>
        <w:fldChar w:fldCharType="separate"/>
      </w:r>
      <w:r>
        <w:t>1.5.1存在的问题</w:t>
      </w:r>
      <w:r>
        <w:tab/>
      </w:r>
      <w:r>
        <w:fldChar w:fldCharType="begin"/>
      </w:r>
      <w:r>
        <w:instrText xml:space="preserve"> PAGEREF _Toc19103 \h </w:instrText>
      </w:r>
      <w:r>
        <w:fldChar w:fldCharType="separate"/>
      </w:r>
      <w:r>
        <w:t>24</w:t>
      </w:r>
      <w:r>
        <w:fldChar w:fldCharType="end"/>
      </w:r>
      <w:r>
        <w:fldChar w:fldCharType="end"/>
      </w:r>
    </w:p>
    <w:p>
      <w:pPr>
        <w:pStyle w:val="12"/>
        <w:tabs>
          <w:tab w:val="right" w:leader="dot" w:pos="9070"/>
        </w:tabs>
        <w:ind w:left="960" w:firstLine="480"/>
      </w:pPr>
      <w:r>
        <w:fldChar w:fldCharType="begin"/>
      </w:r>
      <w:r>
        <w:instrText xml:space="preserve"> HYPERLINK \l "_Toc2338" </w:instrText>
      </w:r>
      <w:r>
        <w:fldChar w:fldCharType="separate"/>
      </w:r>
      <w:r>
        <w:t>1.5.2经验教训及展望</w:t>
      </w:r>
      <w:r>
        <w:tab/>
      </w:r>
      <w:r>
        <w:fldChar w:fldCharType="begin"/>
      </w:r>
      <w:r>
        <w:instrText xml:space="preserve"> PAGEREF _Toc2338 \h </w:instrText>
      </w:r>
      <w:r>
        <w:fldChar w:fldCharType="separate"/>
      </w:r>
      <w:r>
        <w:t>26</w:t>
      </w:r>
      <w:r>
        <w:fldChar w:fldCharType="end"/>
      </w:r>
      <w:r>
        <w:fldChar w:fldCharType="end"/>
      </w:r>
    </w:p>
    <w:p>
      <w:pPr>
        <w:pStyle w:val="17"/>
        <w:tabs>
          <w:tab w:val="right" w:leader="dot" w:pos="9070"/>
        </w:tabs>
        <w:rPr>
          <w:szCs w:val="24"/>
        </w:rPr>
      </w:pPr>
      <w:r>
        <w:fldChar w:fldCharType="begin"/>
      </w:r>
      <w:r>
        <w:instrText xml:space="preserve"> HYPERLINK \l "_Toc15166" </w:instrText>
      </w:r>
      <w:r>
        <w:fldChar w:fldCharType="separate"/>
      </w:r>
      <w:r>
        <w:rPr>
          <w:szCs w:val="24"/>
        </w:rPr>
        <w:t>2规划总体要求</w:t>
      </w:r>
      <w:r>
        <w:rPr>
          <w:szCs w:val="24"/>
        </w:rPr>
        <w:tab/>
      </w:r>
      <w:r>
        <w:rPr>
          <w:szCs w:val="24"/>
        </w:rPr>
        <w:fldChar w:fldCharType="begin"/>
      </w:r>
      <w:r>
        <w:rPr>
          <w:szCs w:val="24"/>
        </w:rPr>
        <w:instrText xml:space="preserve"> PAGEREF _Toc15166 \h </w:instrText>
      </w:r>
      <w:r>
        <w:rPr>
          <w:szCs w:val="24"/>
        </w:rPr>
        <w:fldChar w:fldCharType="separate"/>
      </w:r>
      <w:r>
        <w:rPr>
          <w:szCs w:val="24"/>
        </w:rPr>
        <w:t>27</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"_Toc31663" </w:instrText>
      </w:r>
      <w:r>
        <w:fldChar w:fldCharType="separate"/>
      </w:r>
      <w:r>
        <w:rPr>
          <w:sz w:val="24"/>
          <w:szCs w:val="24"/>
        </w:rPr>
        <w:t>2.1指导思想</w:t>
      </w:r>
      <w:r>
        <w:rPr>
          <w:sz w:val="24"/>
          <w:szCs w:val="24"/>
        </w:rPr>
        <w:tab/>
      </w:r>
      <w:r>
        <w:rPr>
          <w:sz w:val="24"/>
          <w:szCs w:val="24"/>
        </w:rPr>
        <w:fldChar w:fldCharType="begin"/>
      </w:r>
      <w:r>
        <w:rPr>
          <w:sz w:val="24"/>
          <w:szCs w:val="24"/>
        </w:rPr>
        <w:instrText xml:space="preserve"> PAGEREF _Toc31663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"_Toc5890" </w:instrText>
      </w:r>
      <w:r>
        <w:fldChar w:fldCharType="separate"/>
      </w:r>
      <w:r>
        <w:rPr>
          <w:rFonts w:eastAsiaTheme="minorEastAsia"/>
          <w:sz w:val="24"/>
          <w:szCs w:val="24"/>
        </w:rPr>
        <w:t>2.2</w:t>
      </w:r>
      <w:r>
        <w:rPr>
          <w:sz w:val="24"/>
          <w:szCs w:val="24"/>
        </w:rPr>
        <w:t>基本原则</w:t>
      </w:r>
      <w:r>
        <w:rPr>
          <w:sz w:val="24"/>
          <w:szCs w:val="24"/>
        </w:rPr>
        <w:tab/>
      </w:r>
      <w:r>
        <w:rPr>
          <w:sz w:val="24"/>
          <w:szCs w:val="24"/>
        </w:rPr>
        <w:fldChar w:fldCharType="begin"/>
      </w:r>
      <w:r>
        <w:rPr>
          <w:sz w:val="24"/>
          <w:szCs w:val="24"/>
        </w:rPr>
        <w:instrText xml:space="preserve"> PAGEREF _Toc5890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"_Toc19529" </w:instrText>
      </w:r>
      <w:r>
        <w:fldChar w:fldCharType="separate"/>
      </w:r>
      <w:r>
        <w:rPr>
          <w:sz w:val="24"/>
          <w:szCs w:val="24"/>
        </w:rPr>
        <w:t>2.3规划范围、水平年</w:t>
      </w:r>
      <w:r>
        <w:rPr>
          <w:sz w:val="24"/>
          <w:szCs w:val="24"/>
        </w:rPr>
        <w:tab/>
      </w:r>
      <w:r>
        <w:rPr>
          <w:sz w:val="24"/>
          <w:szCs w:val="24"/>
        </w:rPr>
        <w:fldChar w:fldCharType="begin"/>
      </w:r>
      <w:r>
        <w:rPr>
          <w:sz w:val="24"/>
          <w:szCs w:val="24"/>
        </w:rPr>
        <w:instrText xml:space="preserve"> PAGEREF _Toc19529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"_Toc32549" </w:instrText>
      </w:r>
      <w:r>
        <w:fldChar w:fldCharType="separate"/>
      </w:r>
      <w:r>
        <w:t>2.3.1规划范围</w:t>
      </w:r>
      <w:r>
        <w:tab/>
      </w:r>
      <w:r>
        <w:fldChar w:fldCharType="begin"/>
      </w:r>
      <w:r>
        <w:instrText xml:space="preserve"> PAGEREF _Toc32549 \h </w:instrText>
      </w:r>
      <w:r>
        <w:fldChar w:fldCharType="separate"/>
      </w:r>
      <w:r>
        <w:t>29</w:t>
      </w:r>
      <w:r>
        <w:fldChar w:fldCharType="end"/>
      </w:r>
      <w:r>
        <w:fldChar w:fldCharType="end"/>
      </w:r>
    </w:p>
    <w:p>
      <w:pPr>
        <w:pStyle w:val="12"/>
        <w:tabs>
          <w:tab w:val="right" w:leader="dot" w:pos="9070"/>
        </w:tabs>
        <w:ind w:left="960" w:firstLine="480"/>
      </w:pPr>
      <w:r>
        <w:fldChar w:fldCharType="begin"/>
      </w:r>
      <w:r>
        <w:instrText xml:space="preserve"> HYPERLINK \l "_Toc29995" </w:instrText>
      </w:r>
      <w:r>
        <w:fldChar w:fldCharType="separate"/>
      </w:r>
      <w:r>
        <w:t>2.3.2规划水平年</w:t>
      </w:r>
      <w:r>
        <w:tab/>
      </w:r>
      <w:r>
        <w:fldChar w:fldCharType="begin"/>
      </w:r>
      <w:r>
        <w:instrText xml:space="preserve"> PAGEREF _Toc29995 \h </w:instrText>
      </w:r>
      <w:r>
        <w:fldChar w:fldCharType="separate"/>
      </w:r>
      <w:r>
        <w:t>29</w:t>
      </w:r>
      <w:r>
        <w:fldChar w:fldCharType="end"/>
      </w:r>
      <w:r>
        <w:fldChar w:fldCharType="end"/>
      </w:r>
    </w:p>
    <w:p>
      <w:pPr>
        <w:pStyle w:val="18"/>
        <w:tabs>
          <w:tab w:val="right" w:leader="dot" w:pos="9070"/>
        </w:tabs>
        <w:ind w:firstLine="400"/>
        <w:rPr>
          <w:sz w:val="24"/>
          <w:szCs w:val="24"/>
        </w:rPr>
      </w:pPr>
      <w:r>
        <w:fldChar w:fldCharType="begin"/>
      </w:r>
      <w:r>
        <w:instrText xml:space="preserve"> HYPERLINK \l "_Toc4922" </w:instrText>
      </w:r>
      <w:r>
        <w:fldChar w:fldCharType="separate"/>
      </w:r>
      <w:r>
        <w:rPr>
          <w:rFonts w:eastAsiaTheme="minorEastAsia"/>
          <w:sz w:val="24"/>
          <w:szCs w:val="24"/>
        </w:rPr>
        <w:t>2.4主要</w:t>
      </w:r>
      <w:r>
        <w:rPr>
          <w:sz w:val="24"/>
          <w:szCs w:val="24"/>
        </w:rPr>
        <w:t>目标</w:t>
      </w:r>
      <w:r>
        <w:rPr>
          <w:sz w:val="24"/>
          <w:szCs w:val="24"/>
        </w:rPr>
        <w:tab/>
      </w:r>
      <w:r>
        <w:rPr>
          <w:sz w:val="24"/>
          <w:szCs w:val="24"/>
        </w:rPr>
        <w:fldChar w:fldCharType="begin"/>
      </w:r>
      <w:r>
        <w:rPr>
          <w:sz w:val="24"/>
          <w:szCs w:val="24"/>
        </w:rPr>
        <w:instrText xml:space="preserve"> PAGEREF _Toc4922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"_Toc29913" </w:instrText>
      </w:r>
      <w:r>
        <w:fldChar w:fldCharType="separate"/>
      </w:r>
      <w:r>
        <w:rPr>
          <w:rFonts w:eastAsiaTheme="minorEastAsia"/>
        </w:rPr>
        <w:t>2.4.1</w:t>
      </w:r>
      <w:r>
        <w:rPr>
          <w:rFonts w:eastAsiaTheme="majorEastAsia"/>
        </w:rPr>
        <w:t>总体目标</w:t>
      </w:r>
      <w:r>
        <w:tab/>
      </w:r>
      <w:r>
        <w:fldChar w:fldCharType="begin"/>
      </w:r>
      <w:r>
        <w:instrText xml:space="preserve"> PAGEREF _Toc29913 \h </w:instrText>
      </w:r>
      <w:r>
        <w:fldChar w:fldCharType="separate"/>
      </w:r>
      <w:r>
        <w:t>29</w:t>
      </w:r>
      <w:r>
        <w:fldChar w:fldCharType="end"/>
      </w:r>
      <w:r>
        <w:fldChar w:fldCharType="end"/>
      </w:r>
    </w:p>
    <w:p>
      <w:pPr>
        <w:pStyle w:val="12"/>
        <w:tabs>
          <w:tab w:val="right" w:leader="dot" w:pos="9070"/>
        </w:tabs>
        <w:ind w:left="960" w:firstLine="480"/>
      </w:pPr>
      <w:r>
        <w:fldChar w:fldCharType="begin"/>
      </w:r>
      <w:r>
        <w:instrText xml:space="preserve"> HYPERLINK \l "_Toc10247" </w:instrText>
      </w:r>
      <w:r>
        <w:fldChar w:fldCharType="separate"/>
      </w:r>
      <w:r>
        <w:rPr>
          <w:rFonts w:eastAsiaTheme="minorEastAsia"/>
        </w:rPr>
        <w:t>2.4.2</w:t>
      </w:r>
      <w:r>
        <w:rPr>
          <w:rFonts w:eastAsiaTheme="majorEastAsia"/>
        </w:rPr>
        <w:t>主要指标</w:t>
      </w:r>
      <w:r>
        <w:tab/>
      </w:r>
      <w:r>
        <w:fldChar w:fldCharType="begin"/>
      </w:r>
      <w:r>
        <w:instrText xml:space="preserve"> PAGEREF _Toc10247 \h </w:instrText>
      </w:r>
      <w:r>
        <w:fldChar w:fldCharType="separate"/>
      </w:r>
      <w:r>
        <w:t>30</w:t>
      </w:r>
      <w:r>
        <w:fldChar w:fldCharType="end"/>
      </w:r>
      <w:r>
        <w:fldChar w:fldCharType="end"/>
      </w:r>
    </w:p>
    <w:p>
      <w:pPr>
        <w:pStyle w:val="12"/>
        <w:tabs>
          <w:tab w:val="right" w:leader="dot" w:pos="9070"/>
        </w:tabs>
        <w:ind w:left="960" w:firstLine="480"/>
      </w:pPr>
      <w:r>
        <w:fldChar w:fldCharType="begin"/>
      </w:r>
      <w:r>
        <w:instrText xml:space="preserve"> HYPERLINK \l "_Toc9227" </w:instrText>
      </w:r>
      <w:r>
        <w:fldChar w:fldCharType="separate"/>
      </w:r>
      <w:r>
        <w:t>2.4.3指标可达性分析</w:t>
      </w:r>
      <w:r>
        <w:tab/>
      </w:r>
      <w:r>
        <w:fldChar w:fldCharType="begin"/>
      </w:r>
      <w:r>
        <w:instrText xml:space="preserve"> PAGEREF _Toc9227 \h </w:instrText>
      </w:r>
      <w:r>
        <w:fldChar w:fldCharType="separate"/>
      </w:r>
      <w:r>
        <w:t>31</w:t>
      </w:r>
      <w:r>
        <w:fldChar w:fldCharType="end"/>
      </w:r>
      <w:r>
        <w:fldChar w:fldCharType="end"/>
      </w:r>
    </w:p>
    <w:p>
      <w:pPr>
        <w:pStyle w:val="18"/>
        <w:tabs>
          <w:tab w:val="right" w:leader="dot" w:pos="9070"/>
        </w:tabs>
        <w:ind w:firstLine="400"/>
        <w:rPr>
          <w:sz w:val="24"/>
          <w:szCs w:val="24"/>
        </w:rPr>
      </w:pPr>
      <w:r>
        <w:fldChar w:fldCharType="begin"/>
      </w:r>
      <w:r>
        <w:instrText xml:space="preserve"> HYPERLINK \l "_Toc22088" </w:instrText>
      </w:r>
      <w:r>
        <w:fldChar w:fldCharType="separate"/>
      </w:r>
      <w:r>
        <w:rPr>
          <w:sz w:val="24"/>
          <w:szCs w:val="24"/>
        </w:rPr>
        <w:t>2.5发展布局</w:t>
      </w:r>
      <w:r>
        <w:rPr>
          <w:sz w:val="24"/>
          <w:szCs w:val="24"/>
        </w:rPr>
        <w:tab/>
      </w:r>
      <w:r>
        <w:rPr>
          <w:sz w:val="24"/>
          <w:szCs w:val="24"/>
        </w:rPr>
        <w:fldChar w:fldCharType="begin"/>
      </w:r>
      <w:r>
        <w:rPr>
          <w:sz w:val="24"/>
          <w:szCs w:val="24"/>
        </w:rPr>
        <w:instrText xml:space="preserve"> PAGEREF _Toc22088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"_Toc22502" </w:instrText>
      </w:r>
      <w:r>
        <w:fldChar w:fldCharType="separate"/>
      </w:r>
      <w:r>
        <w:rPr>
          <w:sz w:val="24"/>
          <w:szCs w:val="24"/>
        </w:rPr>
        <w:t>2.6实施计划</w:t>
      </w:r>
      <w:r>
        <w:rPr>
          <w:sz w:val="24"/>
          <w:szCs w:val="24"/>
        </w:rPr>
        <w:tab/>
      </w:r>
      <w:r>
        <w:rPr>
          <w:sz w:val="24"/>
          <w:szCs w:val="24"/>
        </w:rPr>
        <w:fldChar w:fldCharType="begin"/>
      </w:r>
      <w:r>
        <w:rPr>
          <w:sz w:val="24"/>
          <w:szCs w:val="24"/>
        </w:rPr>
        <w:instrText xml:space="preserve"> PAGEREF _Toc22502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"_Toc10365" </w:instrText>
      </w:r>
      <w:r>
        <w:fldChar w:fldCharType="separate"/>
      </w:r>
      <w:r>
        <w:t>2.6.1实施计划、安排原则</w:t>
      </w:r>
      <w:r>
        <w:tab/>
      </w:r>
      <w:r>
        <w:fldChar w:fldCharType="begin"/>
      </w:r>
      <w:r>
        <w:instrText xml:space="preserve"> PAGEREF _Toc10365 \h </w:instrText>
      </w:r>
      <w:r>
        <w:fldChar w:fldCharType="separate"/>
      </w:r>
      <w:r>
        <w:t>34</w:t>
      </w:r>
      <w:r>
        <w:fldChar w:fldCharType="end"/>
      </w:r>
      <w:r>
        <w:fldChar w:fldCharType="end"/>
      </w:r>
    </w:p>
    <w:p>
      <w:pPr>
        <w:pStyle w:val="12"/>
        <w:tabs>
          <w:tab w:val="right" w:leader="dot" w:pos="9070"/>
        </w:tabs>
        <w:ind w:left="960" w:firstLine="480"/>
      </w:pPr>
      <w:r>
        <w:fldChar w:fldCharType="begin"/>
      </w:r>
      <w:r>
        <w:instrText xml:space="preserve"> HYPERLINK \l "_Toc6930" </w:instrText>
      </w:r>
      <w:r>
        <w:fldChar w:fldCharType="separate"/>
      </w:r>
      <w:r>
        <w:t>2.6.2实施计划</w:t>
      </w:r>
      <w:r>
        <w:tab/>
      </w:r>
      <w:r>
        <w:fldChar w:fldCharType="begin"/>
      </w:r>
      <w:r>
        <w:instrText xml:space="preserve"> PAGEREF _Toc6930 \h </w:instrText>
      </w:r>
      <w:r>
        <w:fldChar w:fldCharType="separate"/>
      </w:r>
      <w:r>
        <w:t>34</w:t>
      </w:r>
      <w:r>
        <w:fldChar w:fldCharType="end"/>
      </w:r>
      <w:r>
        <w:fldChar w:fldCharType="end"/>
      </w:r>
    </w:p>
    <w:p>
      <w:pPr>
        <w:pStyle w:val="17"/>
        <w:tabs>
          <w:tab w:val="right" w:leader="dot" w:pos="9070"/>
        </w:tabs>
        <w:rPr>
          <w:szCs w:val="24"/>
        </w:rPr>
      </w:pPr>
      <w:r>
        <w:fldChar w:fldCharType="begin"/>
      </w:r>
      <w:r>
        <w:instrText xml:space="preserve"> HYPERLINK \l "_Toc10288" </w:instrText>
      </w:r>
      <w:r>
        <w:fldChar w:fldCharType="separate"/>
      </w:r>
      <w:r>
        <w:rPr>
          <w:szCs w:val="24"/>
        </w:rPr>
        <w:t>3以水定需，全面推进节水型社会建设</w:t>
      </w:r>
      <w:r>
        <w:rPr>
          <w:szCs w:val="24"/>
        </w:rPr>
        <w:tab/>
      </w:r>
      <w:r>
        <w:rPr>
          <w:szCs w:val="24"/>
        </w:rPr>
        <w:fldChar w:fldCharType="begin"/>
      </w:r>
      <w:r>
        <w:rPr>
          <w:szCs w:val="24"/>
        </w:rPr>
        <w:instrText xml:space="preserve"> PAGEREF _Toc10288 \h </w:instrText>
      </w:r>
      <w:r>
        <w:rPr>
          <w:szCs w:val="24"/>
        </w:rPr>
        <w:fldChar w:fldCharType="separate"/>
      </w:r>
      <w:r>
        <w:rPr>
          <w:szCs w:val="24"/>
        </w:rPr>
        <w:t>36</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"_Toc23665" </w:instrText>
      </w:r>
      <w:r>
        <w:fldChar w:fldCharType="separate"/>
      </w:r>
      <w:r>
        <w:rPr>
          <w:sz w:val="24"/>
          <w:szCs w:val="24"/>
        </w:rPr>
        <w:t>3.1大力推进重点领域节水</w:t>
      </w:r>
      <w:r>
        <w:rPr>
          <w:sz w:val="24"/>
          <w:szCs w:val="24"/>
        </w:rPr>
        <w:tab/>
      </w:r>
      <w:r>
        <w:rPr>
          <w:sz w:val="24"/>
          <w:szCs w:val="24"/>
        </w:rPr>
        <w:fldChar w:fldCharType="begin"/>
      </w:r>
      <w:r>
        <w:rPr>
          <w:sz w:val="24"/>
          <w:szCs w:val="24"/>
        </w:rPr>
        <w:instrText xml:space="preserve"> PAGEREF _Toc23665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"_Toc20049" </w:instrText>
      </w:r>
      <w:r>
        <w:fldChar w:fldCharType="separate"/>
      </w:r>
      <w:r>
        <w:t>3.1.1工业及城镇生活节水</w:t>
      </w:r>
      <w:r>
        <w:tab/>
      </w:r>
      <w:r>
        <w:fldChar w:fldCharType="begin"/>
      </w:r>
      <w:r>
        <w:instrText xml:space="preserve"> PAGEREF _Toc20049 \h </w:instrText>
      </w:r>
      <w:r>
        <w:fldChar w:fldCharType="separate"/>
      </w:r>
      <w:r>
        <w:t>36</w:t>
      </w:r>
      <w:r>
        <w:fldChar w:fldCharType="end"/>
      </w:r>
      <w:r>
        <w:fldChar w:fldCharType="end"/>
      </w:r>
    </w:p>
    <w:p>
      <w:pPr>
        <w:pStyle w:val="12"/>
        <w:tabs>
          <w:tab w:val="right" w:leader="dot" w:pos="9070"/>
        </w:tabs>
        <w:ind w:left="960" w:firstLine="480"/>
      </w:pPr>
      <w:r>
        <w:fldChar w:fldCharType="begin"/>
      </w:r>
      <w:r>
        <w:instrText xml:space="preserve"> HYPERLINK \l "_Toc10360" </w:instrText>
      </w:r>
      <w:r>
        <w:fldChar w:fldCharType="separate"/>
      </w:r>
      <w:r>
        <w:t>3.1.2建设节水型社会</w:t>
      </w:r>
      <w:r>
        <w:tab/>
      </w:r>
      <w:r>
        <w:fldChar w:fldCharType="begin"/>
      </w:r>
      <w:r>
        <w:instrText xml:space="preserve"> PAGEREF _Toc10360 \h </w:instrText>
      </w:r>
      <w:r>
        <w:fldChar w:fldCharType="separate"/>
      </w:r>
      <w:r>
        <w:t>36</w:t>
      </w:r>
      <w:r>
        <w:fldChar w:fldCharType="end"/>
      </w:r>
      <w:r>
        <w:fldChar w:fldCharType="end"/>
      </w:r>
    </w:p>
    <w:p>
      <w:pPr>
        <w:pStyle w:val="18"/>
        <w:tabs>
          <w:tab w:val="right" w:leader="dot" w:pos="9070"/>
        </w:tabs>
        <w:ind w:firstLine="400"/>
        <w:rPr>
          <w:sz w:val="24"/>
          <w:szCs w:val="24"/>
        </w:rPr>
      </w:pPr>
      <w:r>
        <w:fldChar w:fldCharType="begin"/>
      </w:r>
      <w:r>
        <w:instrText xml:space="preserve"> HYPERLINK \l "_Toc14240" </w:instrText>
      </w:r>
      <w:r>
        <w:fldChar w:fldCharType="separate"/>
      </w:r>
      <w:r>
        <w:rPr>
          <w:sz w:val="24"/>
          <w:szCs w:val="24"/>
        </w:rPr>
        <w:t>3.2建立健全节水激励机制</w:t>
      </w:r>
      <w:r>
        <w:rPr>
          <w:sz w:val="24"/>
          <w:szCs w:val="24"/>
        </w:rPr>
        <w:tab/>
      </w:r>
      <w:r>
        <w:rPr>
          <w:sz w:val="24"/>
          <w:szCs w:val="24"/>
        </w:rPr>
        <w:fldChar w:fldCharType="begin"/>
      </w:r>
      <w:r>
        <w:rPr>
          <w:sz w:val="24"/>
          <w:szCs w:val="24"/>
        </w:rPr>
        <w:instrText xml:space="preserve"> PAGEREF _Toc14240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"_Toc27266" </w:instrText>
      </w:r>
      <w:r>
        <w:fldChar w:fldCharType="separate"/>
      </w:r>
      <w:r>
        <w:rPr>
          <w:sz w:val="24"/>
          <w:szCs w:val="24"/>
        </w:rPr>
        <w:t>3.3培养公民节水洁水意识</w:t>
      </w:r>
      <w:r>
        <w:rPr>
          <w:sz w:val="24"/>
          <w:szCs w:val="24"/>
        </w:rPr>
        <w:tab/>
      </w:r>
      <w:r>
        <w:rPr>
          <w:sz w:val="24"/>
          <w:szCs w:val="24"/>
        </w:rPr>
        <w:fldChar w:fldCharType="begin"/>
      </w:r>
      <w:r>
        <w:rPr>
          <w:sz w:val="24"/>
          <w:szCs w:val="24"/>
        </w:rPr>
        <w:instrText xml:space="preserve"> PAGEREF _Toc27266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7"/>
        <w:tabs>
          <w:tab w:val="right" w:leader="dot" w:pos="9070"/>
        </w:tabs>
        <w:rPr>
          <w:szCs w:val="24"/>
        </w:rPr>
      </w:pPr>
      <w:r>
        <w:fldChar w:fldCharType="begin"/>
      </w:r>
      <w:r>
        <w:instrText xml:space="preserve"> HYPERLINK \l "_Toc17726" </w:instrText>
      </w:r>
      <w:r>
        <w:fldChar w:fldCharType="separate"/>
      </w:r>
      <w:r>
        <w:rPr>
          <w:szCs w:val="24"/>
        </w:rPr>
        <w:t>4防治并重，完善江河安澜的防洪体系</w:t>
      </w:r>
      <w:r>
        <w:rPr>
          <w:szCs w:val="24"/>
        </w:rPr>
        <w:tab/>
      </w:r>
      <w:r>
        <w:rPr>
          <w:szCs w:val="24"/>
        </w:rPr>
        <w:fldChar w:fldCharType="begin"/>
      </w:r>
      <w:r>
        <w:rPr>
          <w:szCs w:val="24"/>
        </w:rPr>
        <w:instrText xml:space="preserve"> PAGEREF _Toc17726 \h </w:instrText>
      </w:r>
      <w:r>
        <w:rPr>
          <w:szCs w:val="24"/>
        </w:rPr>
        <w:fldChar w:fldCharType="separate"/>
      </w:r>
      <w:r>
        <w:rPr>
          <w:szCs w:val="24"/>
        </w:rPr>
        <w:t>38</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"_Toc23959" </w:instrText>
      </w:r>
      <w:r>
        <w:fldChar w:fldCharType="separate"/>
      </w:r>
      <w:r>
        <w:rPr>
          <w:sz w:val="24"/>
          <w:szCs w:val="24"/>
        </w:rPr>
        <w:t>4.1优化防洪空间布局</w:t>
      </w:r>
      <w:r>
        <w:rPr>
          <w:sz w:val="24"/>
          <w:szCs w:val="24"/>
        </w:rPr>
        <w:tab/>
      </w:r>
      <w:r>
        <w:rPr>
          <w:sz w:val="24"/>
          <w:szCs w:val="24"/>
        </w:rPr>
        <w:fldChar w:fldCharType="begin"/>
      </w:r>
      <w:r>
        <w:rPr>
          <w:sz w:val="24"/>
          <w:szCs w:val="24"/>
        </w:rPr>
        <w:instrText xml:space="preserve"> PAGEREF _Toc23959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"_Toc21203" </w:instrText>
      </w:r>
      <w:r>
        <w:fldChar w:fldCharType="separate"/>
      </w:r>
      <w:r>
        <w:rPr>
          <w:sz w:val="24"/>
          <w:szCs w:val="24"/>
        </w:rPr>
        <w:t>4.2加快防洪薄弱环节建设</w:t>
      </w:r>
      <w:r>
        <w:rPr>
          <w:sz w:val="24"/>
          <w:szCs w:val="24"/>
        </w:rPr>
        <w:tab/>
      </w:r>
      <w:r>
        <w:rPr>
          <w:sz w:val="24"/>
          <w:szCs w:val="24"/>
        </w:rPr>
        <w:fldChar w:fldCharType="begin"/>
      </w:r>
      <w:r>
        <w:rPr>
          <w:sz w:val="24"/>
          <w:szCs w:val="24"/>
        </w:rPr>
        <w:instrText xml:space="preserve"> PAGEREF _Toc21203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"_Toc20599" </w:instrText>
      </w:r>
      <w:r>
        <w:fldChar w:fldCharType="separate"/>
      </w:r>
      <w:r>
        <w:t>4.2.1中小河流治理</w:t>
      </w:r>
      <w:r>
        <w:tab/>
      </w:r>
      <w:r>
        <w:fldChar w:fldCharType="begin"/>
      </w:r>
      <w:r>
        <w:instrText xml:space="preserve"> PAGEREF _Toc20599 \h </w:instrText>
      </w:r>
      <w:r>
        <w:fldChar w:fldCharType="separate"/>
      </w:r>
      <w:r>
        <w:t>38</w:t>
      </w:r>
      <w:r>
        <w:fldChar w:fldCharType="end"/>
      </w:r>
      <w:r>
        <w:fldChar w:fldCharType="end"/>
      </w:r>
    </w:p>
    <w:p>
      <w:pPr>
        <w:pStyle w:val="12"/>
        <w:tabs>
          <w:tab w:val="right" w:leader="dot" w:pos="9070"/>
        </w:tabs>
        <w:ind w:left="960" w:firstLine="480"/>
      </w:pPr>
      <w:r>
        <w:fldChar w:fldCharType="begin"/>
      </w:r>
      <w:r>
        <w:instrText xml:space="preserve"> HYPERLINK \l "_Toc14070" </w:instrText>
      </w:r>
      <w:r>
        <w:fldChar w:fldCharType="separate"/>
      </w:r>
      <w:r>
        <w:t>4.2.2河道安全整治</w:t>
      </w:r>
      <w:r>
        <w:tab/>
      </w:r>
      <w:r>
        <w:fldChar w:fldCharType="begin"/>
      </w:r>
      <w:r>
        <w:instrText xml:space="preserve"> PAGEREF _Toc14070 \h </w:instrText>
      </w:r>
      <w:r>
        <w:fldChar w:fldCharType="separate"/>
      </w:r>
      <w:r>
        <w:t>38</w:t>
      </w:r>
      <w:r>
        <w:fldChar w:fldCharType="end"/>
      </w:r>
      <w:r>
        <w:fldChar w:fldCharType="end"/>
      </w:r>
    </w:p>
    <w:p>
      <w:pPr>
        <w:pStyle w:val="12"/>
        <w:tabs>
          <w:tab w:val="right" w:leader="dot" w:pos="9070"/>
        </w:tabs>
        <w:ind w:left="960" w:firstLine="480"/>
      </w:pPr>
      <w:r>
        <w:fldChar w:fldCharType="begin"/>
      </w:r>
      <w:r>
        <w:instrText xml:space="preserve"> HYPERLINK \l "_Toc16103" </w:instrText>
      </w:r>
      <w:r>
        <w:fldChar w:fldCharType="separate"/>
      </w:r>
      <w:r>
        <w:t>4.2.3淹水点治理</w:t>
      </w:r>
      <w:r>
        <w:tab/>
      </w:r>
      <w:r>
        <w:fldChar w:fldCharType="begin"/>
      </w:r>
      <w:r>
        <w:instrText xml:space="preserve"> PAGEREF _Toc16103 \h </w:instrText>
      </w:r>
      <w:r>
        <w:fldChar w:fldCharType="separate"/>
      </w:r>
      <w:r>
        <w:t>39</w:t>
      </w:r>
      <w:r>
        <w:fldChar w:fldCharType="end"/>
      </w:r>
      <w:r>
        <w:fldChar w:fldCharType="end"/>
      </w:r>
    </w:p>
    <w:p>
      <w:pPr>
        <w:pStyle w:val="12"/>
        <w:tabs>
          <w:tab w:val="right" w:leader="dot" w:pos="9070"/>
        </w:tabs>
        <w:ind w:left="960" w:firstLine="480"/>
      </w:pPr>
      <w:r>
        <w:fldChar w:fldCharType="begin"/>
      </w:r>
      <w:r>
        <w:instrText xml:space="preserve"> HYPERLINK \l "_Toc10165" </w:instrText>
      </w:r>
      <w:r>
        <w:fldChar w:fldCharType="separate"/>
      </w:r>
      <w:r>
        <w:t>4.2.4山洪灾害防治</w:t>
      </w:r>
      <w:r>
        <w:tab/>
      </w:r>
      <w:r>
        <w:fldChar w:fldCharType="begin"/>
      </w:r>
      <w:r>
        <w:instrText xml:space="preserve"> PAGEREF _Toc10165 \h </w:instrText>
      </w:r>
      <w:r>
        <w:fldChar w:fldCharType="separate"/>
      </w:r>
      <w:r>
        <w:t>39</w:t>
      </w:r>
      <w:r>
        <w:fldChar w:fldCharType="end"/>
      </w:r>
      <w:r>
        <w:fldChar w:fldCharType="end"/>
      </w:r>
    </w:p>
    <w:p>
      <w:pPr>
        <w:pStyle w:val="18"/>
        <w:tabs>
          <w:tab w:val="right" w:leader="dot" w:pos="9070"/>
        </w:tabs>
        <w:ind w:firstLine="400"/>
        <w:rPr>
          <w:sz w:val="24"/>
          <w:szCs w:val="24"/>
        </w:rPr>
      </w:pPr>
      <w:r>
        <w:fldChar w:fldCharType="begin"/>
      </w:r>
      <w:r>
        <w:instrText xml:space="preserve"> HYPERLINK \l "_Toc4763" </w:instrText>
      </w:r>
      <w:r>
        <w:fldChar w:fldCharType="separate"/>
      </w:r>
      <w:r>
        <w:rPr>
          <w:sz w:val="24"/>
          <w:szCs w:val="24"/>
        </w:rPr>
        <w:t>4.3加强风险防控能力</w:t>
      </w:r>
      <w:r>
        <w:rPr>
          <w:sz w:val="24"/>
          <w:szCs w:val="24"/>
        </w:rPr>
        <w:tab/>
      </w:r>
      <w:r>
        <w:rPr>
          <w:sz w:val="24"/>
          <w:szCs w:val="24"/>
        </w:rPr>
        <w:fldChar w:fldCharType="begin"/>
      </w:r>
      <w:r>
        <w:rPr>
          <w:sz w:val="24"/>
          <w:szCs w:val="24"/>
        </w:rPr>
        <w:instrText xml:space="preserve"> PAGEREF _Toc4763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7"/>
        <w:tabs>
          <w:tab w:val="right" w:leader="dot" w:pos="9070"/>
        </w:tabs>
        <w:rPr>
          <w:szCs w:val="24"/>
        </w:rPr>
      </w:pPr>
      <w:r>
        <w:fldChar w:fldCharType="begin"/>
      </w:r>
      <w:r>
        <w:instrText xml:space="preserve"> HYPERLINK \l "_Toc11370" </w:instrText>
      </w:r>
      <w:r>
        <w:fldChar w:fldCharType="separate"/>
      </w:r>
      <w:r>
        <w:rPr>
          <w:szCs w:val="24"/>
        </w:rPr>
        <w:t>5质量统筹，构建空间均衡的水资源配置体系</w:t>
      </w:r>
      <w:r>
        <w:rPr>
          <w:szCs w:val="24"/>
        </w:rPr>
        <w:tab/>
      </w:r>
      <w:r>
        <w:rPr>
          <w:szCs w:val="24"/>
        </w:rPr>
        <w:fldChar w:fldCharType="begin"/>
      </w:r>
      <w:r>
        <w:rPr>
          <w:szCs w:val="24"/>
        </w:rPr>
        <w:instrText xml:space="preserve"> PAGEREF _Toc11370 \h </w:instrText>
      </w:r>
      <w:r>
        <w:rPr>
          <w:szCs w:val="24"/>
        </w:rPr>
        <w:fldChar w:fldCharType="separate"/>
      </w:r>
      <w:r>
        <w:rPr>
          <w:szCs w:val="24"/>
        </w:rPr>
        <w:t>41</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"_Toc12332" </w:instrText>
      </w:r>
      <w:r>
        <w:fldChar w:fldCharType="separate"/>
      </w:r>
      <w:r>
        <w:rPr>
          <w:sz w:val="24"/>
          <w:szCs w:val="24"/>
        </w:rPr>
        <w:t>5.1水资源供求状况分析</w:t>
      </w:r>
      <w:r>
        <w:rPr>
          <w:sz w:val="24"/>
          <w:szCs w:val="24"/>
        </w:rPr>
        <w:tab/>
      </w:r>
      <w:r>
        <w:rPr>
          <w:sz w:val="24"/>
          <w:szCs w:val="24"/>
        </w:rPr>
        <w:fldChar w:fldCharType="begin"/>
      </w:r>
      <w:r>
        <w:rPr>
          <w:sz w:val="24"/>
          <w:szCs w:val="24"/>
        </w:rPr>
        <w:instrText xml:space="preserve"> PAGEREF _Toc12332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"_Toc20296" </w:instrText>
      </w:r>
      <w:r>
        <w:fldChar w:fldCharType="separate"/>
      </w:r>
      <w:r>
        <w:t>5.1.1需水预测</w:t>
      </w:r>
      <w:r>
        <w:tab/>
      </w:r>
      <w:r>
        <w:fldChar w:fldCharType="begin"/>
      </w:r>
      <w:r>
        <w:instrText xml:space="preserve"> PAGEREF _Toc20296 \h </w:instrText>
      </w:r>
      <w:r>
        <w:fldChar w:fldCharType="separate"/>
      </w:r>
      <w:r>
        <w:t>41</w:t>
      </w:r>
      <w:r>
        <w:fldChar w:fldCharType="end"/>
      </w:r>
      <w:r>
        <w:fldChar w:fldCharType="end"/>
      </w:r>
    </w:p>
    <w:p>
      <w:pPr>
        <w:pStyle w:val="12"/>
        <w:tabs>
          <w:tab w:val="right" w:leader="dot" w:pos="9070"/>
        </w:tabs>
        <w:ind w:left="960" w:firstLine="480"/>
      </w:pPr>
      <w:r>
        <w:fldChar w:fldCharType="begin"/>
      </w:r>
      <w:r>
        <w:instrText xml:space="preserve"> HYPERLINK \l "_Toc22778" </w:instrText>
      </w:r>
      <w:r>
        <w:fldChar w:fldCharType="separate"/>
      </w:r>
      <w:r>
        <w:t>5.1.2供水能力预测</w:t>
      </w:r>
      <w:r>
        <w:tab/>
      </w:r>
      <w:r>
        <w:fldChar w:fldCharType="begin"/>
      </w:r>
      <w:r>
        <w:instrText xml:space="preserve"> PAGEREF _Toc22778 \h </w:instrText>
      </w:r>
      <w:r>
        <w:fldChar w:fldCharType="separate"/>
      </w:r>
      <w:r>
        <w:t>43</w:t>
      </w:r>
      <w:r>
        <w:fldChar w:fldCharType="end"/>
      </w:r>
      <w:r>
        <w:fldChar w:fldCharType="end"/>
      </w:r>
    </w:p>
    <w:p>
      <w:pPr>
        <w:pStyle w:val="12"/>
        <w:tabs>
          <w:tab w:val="right" w:leader="dot" w:pos="9070"/>
        </w:tabs>
        <w:ind w:left="960" w:firstLine="480"/>
      </w:pPr>
      <w:r>
        <w:fldChar w:fldCharType="begin"/>
      </w:r>
      <w:r>
        <w:instrText xml:space="preserve"> HYPERLINK \l "_Toc5189" </w:instrText>
      </w:r>
      <w:r>
        <w:fldChar w:fldCharType="separate"/>
      </w:r>
      <w:r>
        <w:t>5.1.3供需平衡分析</w:t>
      </w:r>
      <w:r>
        <w:tab/>
      </w:r>
      <w:r>
        <w:fldChar w:fldCharType="begin"/>
      </w:r>
      <w:r>
        <w:instrText xml:space="preserve"> PAGEREF _Toc5189 \h </w:instrText>
      </w:r>
      <w:r>
        <w:fldChar w:fldCharType="separate"/>
      </w:r>
      <w:r>
        <w:t>43</w:t>
      </w:r>
      <w:r>
        <w:fldChar w:fldCharType="end"/>
      </w:r>
      <w:r>
        <w:fldChar w:fldCharType="end"/>
      </w:r>
    </w:p>
    <w:p>
      <w:pPr>
        <w:pStyle w:val="18"/>
        <w:tabs>
          <w:tab w:val="right" w:leader="dot" w:pos="9070"/>
        </w:tabs>
        <w:ind w:firstLine="400"/>
        <w:rPr>
          <w:sz w:val="24"/>
          <w:szCs w:val="24"/>
        </w:rPr>
      </w:pPr>
      <w:r>
        <w:fldChar w:fldCharType="begin"/>
      </w:r>
      <w:r>
        <w:instrText xml:space="preserve"> HYPERLINK \l "_Toc28910" </w:instrText>
      </w:r>
      <w:r>
        <w:fldChar w:fldCharType="separate"/>
      </w:r>
      <w:r>
        <w:rPr>
          <w:sz w:val="24"/>
          <w:szCs w:val="24"/>
        </w:rPr>
        <w:t>5.2落实最严格的水资源管理制度</w:t>
      </w:r>
      <w:r>
        <w:rPr>
          <w:sz w:val="24"/>
          <w:szCs w:val="24"/>
        </w:rPr>
        <w:tab/>
      </w:r>
      <w:r>
        <w:rPr>
          <w:sz w:val="24"/>
          <w:szCs w:val="24"/>
        </w:rPr>
        <w:fldChar w:fldCharType="begin"/>
      </w:r>
      <w:r>
        <w:rPr>
          <w:sz w:val="24"/>
          <w:szCs w:val="24"/>
        </w:rPr>
        <w:instrText xml:space="preserve"> PAGEREF _Toc28910 \h </w:instrText>
      </w:r>
      <w:r>
        <w:rPr>
          <w:sz w:val="24"/>
          <w:szCs w:val="24"/>
        </w:rPr>
        <w:fldChar w:fldCharType="separate"/>
      </w:r>
      <w:r>
        <w:rPr>
          <w:sz w:val="24"/>
          <w:szCs w:val="24"/>
        </w:rPr>
        <w:t>44</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"_Toc10310" </w:instrText>
      </w:r>
      <w:r>
        <w:fldChar w:fldCharType="separate"/>
      </w:r>
      <w:r>
        <w:rPr>
          <w:sz w:val="24"/>
          <w:szCs w:val="24"/>
        </w:rPr>
        <w:t>5.3完善供水格局</w:t>
      </w:r>
      <w:r>
        <w:rPr>
          <w:sz w:val="24"/>
          <w:szCs w:val="24"/>
        </w:rPr>
        <w:tab/>
      </w:r>
      <w:r>
        <w:rPr>
          <w:sz w:val="24"/>
          <w:szCs w:val="24"/>
        </w:rPr>
        <w:fldChar w:fldCharType="begin"/>
      </w:r>
      <w:r>
        <w:rPr>
          <w:sz w:val="24"/>
          <w:szCs w:val="24"/>
        </w:rPr>
        <w:instrText xml:space="preserve"> PAGEREF _Toc10310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"_Toc28532" </w:instrText>
      </w:r>
      <w:r>
        <w:fldChar w:fldCharType="separate"/>
      </w:r>
      <w:r>
        <w:rPr>
          <w:sz w:val="24"/>
          <w:szCs w:val="24"/>
        </w:rPr>
        <w:t>5.4非常规水源利用</w:t>
      </w:r>
      <w:r>
        <w:rPr>
          <w:sz w:val="24"/>
          <w:szCs w:val="24"/>
        </w:rPr>
        <w:tab/>
      </w:r>
      <w:r>
        <w:rPr>
          <w:sz w:val="24"/>
          <w:szCs w:val="24"/>
        </w:rPr>
        <w:fldChar w:fldCharType="begin"/>
      </w:r>
      <w:r>
        <w:rPr>
          <w:sz w:val="24"/>
          <w:szCs w:val="24"/>
        </w:rPr>
        <w:instrText xml:space="preserve"> PAGEREF _Toc28532 \h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"_Toc4793" </w:instrText>
      </w:r>
      <w:r>
        <w:fldChar w:fldCharType="separate"/>
      </w:r>
      <w:r>
        <w:rPr>
          <w:sz w:val="24"/>
          <w:szCs w:val="24"/>
        </w:rPr>
        <w:t>5.5健全水资源配置体系</w:t>
      </w:r>
      <w:r>
        <w:rPr>
          <w:sz w:val="24"/>
          <w:szCs w:val="24"/>
        </w:rPr>
        <w:tab/>
      </w:r>
      <w:r>
        <w:rPr>
          <w:sz w:val="24"/>
          <w:szCs w:val="24"/>
        </w:rPr>
        <w:fldChar w:fldCharType="begin"/>
      </w:r>
      <w:r>
        <w:rPr>
          <w:sz w:val="24"/>
          <w:szCs w:val="24"/>
        </w:rPr>
        <w:instrText xml:space="preserve"> PAGEREF _Toc4793 \h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17"/>
        <w:tabs>
          <w:tab w:val="right" w:leader="dot" w:pos="9070"/>
        </w:tabs>
        <w:rPr>
          <w:szCs w:val="24"/>
        </w:rPr>
      </w:pPr>
      <w:r>
        <w:fldChar w:fldCharType="begin"/>
      </w:r>
      <w:r>
        <w:instrText xml:space="preserve"> HYPERLINK \l "_Toc15658" </w:instrText>
      </w:r>
      <w:r>
        <w:fldChar w:fldCharType="separate"/>
      </w:r>
      <w:r>
        <w:rPr>
          <w:szCs w:val="24"/>
        </w:rPr>
        <w:t>6防治结合，恢复水清岸绿的水生态体系</w:t>
      </w:r>
      <w:r>
        <w:rPr>
          <w:szCs w:val="24"/>
        </w:rPr>
        <w:tab/>
      </w:r>
      <w:r>
        <w:rPr>
          <w:szCs w:val="24"/>
        </w:rPr>
        <w:fldChar w:fldCharType="begin"/>
      </w:r>
      <w:r>
        <w:rPr>
          <w:szCs w:val="24"/>
        </w:rPr>
        <w:instrText xml:space="preserve"> PAGEREF _Toc15658 \h </w:instrText>
      </w:r>
      <w:r>
        <w:rPr>
          <w:szCs w:val="24"/>
        </w:rPr>
        <w:fldChar w:fldCharType="separate"/>
      </w:r>
      <w:r>
        <w:rPr>
          <w:szCs w:val="24"/>
        </w:rPr>
        <w:t>47</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"_Toc17672" </w:instrText>
      </w:r>
      <w:r>
        <w:fldChar w:fldCharType="separate"/>
      </w:r>
      <w:r>
        <w:rPr>
          <w:sz w:val="24"/>
          <w:szCs w:val="24"/>
        </w:rPr>
        <w:t>6.1加强水生态空间保护</w:t>
      </w:r>
      <w:r>
        <w:rPr>
          <w:sz w:val="24"/>
          <w:szCs w:val="24"/>
        </w:rPr>
        <w:tab/>
      </w:r>
      <w:r>
        <w:rPr>
          <w:sz w:val="24"/>
          <w:szCs w:val="24"/>
        </w:rPr>
        <w:fldChar w:fldCharType="begin"/>
      </w:r>
      <w:r>
        <w:rPr>
          <w:sz w:val="24"/>
          <w:szCs w:val="24"/>
        </w:rPr>
        <w:instrText xml:space="preserve"> PAGEREF _Toc17672 \h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"_Toc3089" </w:instrText>
      </w:r>
      <w:r>
        <w:fldChar w:fldCharType="separate"/>
      </w:r>
      <w:r>
        <w:t>6.1.1河湖空间管控和水利空间管控</w:t>
      </w:r>
      <w:r>
        <w:tab/>
      </w:r>
      <w:r>
        <w:fldChar w:fldCharType="begin"/>
      </w:r>
      <w:r>
        <w:instrText xml:space="preserve"> PAGEREF _Toc3089 \h </w:instrText>
      </w:r>
      <w:r>
        <w:fldChar w:fldCharType="separate"/>
      </w:r>
      <w:r>
        <w:t>47</w:t>
      </w:r>
      <w:r>
        <w:fldChar w:fldCharType="end"/>
      </w:r>
      <w:r>
        <w:fldChar w:fldCharType="end"/>
      </w:r>
    </w:p>
    <w:p>
      <w:pPr>
        <w:pStyle w:val="12"/>
        <w:tabs>
          <w:tab w:val="right" w:leader="dot" w:pos="9070"/>
        </w:tabs>
        <w:ind w:left="960" w:firstLine="480"/>
      </w:pPr>
      <w:r>
        <w:fldChar w:fldCharType="begin"/>
      </w:r>
      <w:r>
        <w:instrText xml:space="preserve"> HYPERLINK \l "_Toc32383" </w:instrText>
      </w:r>
      <w:r>
        <w:fldChar w:fldCharType="separate"/>
      </w:r>
      <w:r>
        <w:t>6.1.2重点河湖生态治理与修复项目</w:t>
      </w:r>
      <w:r>
        <w:tab/>
      </w:r>
      <w:r>
        <w:fldChar w:fldCharType="begin"/>
      </w:r>
      <w:r>
        <w:instrText xml:space="preserve"> PAGEREF _Toc32383 \h </w:instrText>
      </w:r>
      <w:r>
        <w:fldChar w:fldCharType="separate"/>
      </w:r>
      <w:r>
        <w:t>47</w:t>
      </w:r>
      <w:r>
        <w:fldChar w:fldCharType="end"/>
      </w:r>
      <w:r>
        <w:fldChar w:fldCharType="end"/>
      </w:r>
    </w:p>
    <w:p>
      <w:pPr>
        <w:pStyle w:val="12"/>
        <w:tabs>
          <w:tab w:val="right" w:leader="dot" w:pos="9070"/>
        </w:tabs>
        <w:ind w:left="960" w:firstLine="480"/>
      </w:pPr>
      <w:r>
        <w:fldChar w:fldCharType="begin"/>
      </w:r>
      <w:r>
        <w:instrText xml:space="preserve"> HYPERLINK \l "_Toc26183" </w:instrText>
      </w:r>
      <w:r>
        <w:fldChar w:fldCharType="separate"/>
      </w:r>
      <w:r>
        <w:t>6.1.3水环境治理任务</w:t>
      </w:r>
      <w:r>
        <w:tab/>
      </w:r>
      <w:r>
        <w:fldChar w:fldCharType="begin"/>
      </w:r>
      <w:r>
        <w:instrText xml:space="preserve"> PAGEREF _Toc26183 \h </w:instrText>
      </w:r>
      <w:r>
        <w:fldChar w:fldCharType="separate"/>
      </w:r>
      <w:r>
        <w:t>48</w:t>
      </w:r>
      <w:r>
        <w:fldChar w:fldCharType="end"/>
      </w:r>
      <w:r>
        <w:fldChar w:fldCharType="end"/>
      </w:r>
    </w:p>
    <w:p>
      <w:pPr>
        <w:pStyle w:val="18"/>
        <w:tabs>
          <w:tab w:val="right" w:leader="dot" w:pos="9070"/>
        </w:tabs>
        <w:ind w:firstLine="400"/>
        <w:rPr>
          <w:sz w:val="24"/>
          <w:szCs w:val="24"/>
        </w:rPr>
      </w:pPr>
      <w:r>
        <w:fldChar w:fldCharType="begin"/>
      </w:r>
      <w:r>
        <w:instrText xml:space="preserve"> HYPERLINK \l "_Toc28838" </w:instrText>
      </w:r>
      <w:r>
        <w:fldChar w:fldCharType="separate"/>
      </w:r>
      <w:r>
        <w:rPr>
          <w:sz w:val="24"/>
          <w:szCs w:val="24"/>
        </w:rPr>
        <w:t>6.2推进水生态治理及保护修复</w:t>
      </w:r>
      <w:r>
        <w:rPr>
          <w:sz w:val="24"/>
          <w:szCs w:val="24"/>
        </w:rPr>
        <w:tab/>
      </w:r>
      <w:r>
        <w:rPr>
          <w:sz w:val="24"/>
          <w:szCs w:val="24"/>
        </w:rPr>
        <w:fldChar w:fldCharType="begin"/>
      </w:r>
      <w:r>
        <w:rPr>
          <w:sz w:val="24"/>
          <w:szCs w:val="24"/>
        </w:rPr>
        <w:instrText xml:space="preserve"> PAGEREF _Toc28838 \h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"_Toc20372" </w:instrText>
      </w:r>
      <w:r>
        <w:fldChar w:fldCharType="separate"/>
      </w:r>
      <w:r>
        <w:t>6.2.1水土保持生态建设任务</w:t>
      </w:r>
      <w:r>
        <w:tab/>
      </w:r>
      <w:r>
        <w:fldChar w:fldCharType="begin"/>
      </w:r>
      <w:r>
        <w:instrText xml:space="preserve"> PAGEREF _Toc20372 \h </w:instrText>
      </w:r>
      <w:r>
        <w:fldChar w:fldCharType="separate"/>
      </w:r>
      <w:r>
        <w:t>50</w:t>
      </w:r>
      <w:r>
        <w:fldChar w:fldCharType="end"/>
      </w:r>
      <w:r>
        <w:fldChar w:fldCharType="end"/>
      </w:r>
    </w:p>
    <w:p>
      <w:pPr>
        <w:pStyle w:val="12"/>
        <w:tabs>
          <w:tab w:val="right" w:leader="dot" w:pos="9070"/>
        </w:tabs>
        <w:ind w:left="960" w:firstLine="480"/>
      </w:pPr>
      <w:r>
        <w:fldChar w:fldCharType="begin"/>
      </w:r>
      <w:r>
        <w:instrText xml:space="preserve"> HYPERLINK \l "_Toc12057" </w:instrText>
      </w:r>
      <w:r>
        <w:fldChar w:fldCharType="separate"/>
      </w:r>
      <w:r>
        <w:t>6.2.2强化水环境监管</w:t>
      </w:r>
      <w:r>
        <w:tab/>
      </w:r>
      <w:r>
        <w:fldChar w:fldCharType="begin"/>
      </w:r>
      <w:r>
        <w:instrText xml:space="preserve"> PAGEREF _Toc12057 \h </w:instrText>
      </w:r>
      <w:r>
        <w:fldChar w:fldCharType="separate"/>
      </w:r>
      <w:r>
        <w:t>50</w:t>
      </w:r>
      <w:r>
        <w:fldChar w:fldCharType="end"/>
      </w:r>
      <w:r>
        <w:fldChar w:fldCharType="end"/>
      </w:r>
    </w:p>
    <w:p>
      <w:pPr>
        <w:pStyle w:val="18"/>
        <w:tabs>
          <w:tab w:val="right" w:leader="dot" w:pos="9070"/>
        </w:tabs>
        <w:ind w:firstLine="400"/>
        <w:rPr>
          <w:sz w:val="24"/>
          <w:szCs w:val="24"/>
        </w:rPr>
      </w:pPr>
      <w:r>
        <w:fldChar w:fldCharType="begin"/>
      </w:r>
      <w:r>
        <w:instrText xml:space="preserve"> HYPERLINK \l "_Toc30795" </w:instrText>
      </w:r>
      <w:r>
        <w:fldChar w:fldCharType="separate"/>
      </w:r>
      <w:r>
        <w:rPr>
          <w:sz w:val="24"/>
          <w:szCs w:val="24"/>
        </w:rPr>
        <w:t>6.3加强河湖生态流量保障</w:t>
      </w:r>
      <w:r>
        <w:rPr>
          <w:sz w:val="24"/>
          <w:szCs w:val="24"/>
        </w:rPr>
        <w:tab/>
      </w:r>
      <w:r>
        <w:rPr>
          <w:sz w:val="24"/>
          <w:szCs w:val="24"/>
        </w:rPr>
        <w:fldChar w:fldCharType="begin"/>
      </w:r>
      <w:r>
        <w:rPr>
          <w:sz w:val="24"/>
          <w:szCs w:val="24"/>
        </w:rPr>
        <w:instrText xml:space="preserve"> PAGEREF _Toc30795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"_Toc3936" </w:instrText>
      </w:r>
      <w:r>
        <w:fldChar w:fldCharType="separate"/>
      </w:r>
      <w:r>
        <w:rPr>
          <w:sz w:val="24"/>
          <w:szCs w:val="24"/>
        </w:rPr>
        <w:t>6.4水文化保障</w:t>
      </w:r>
      <w:r>
        <w:rPr>
          <w:sz w:val="24"/>
          <w:szCs w:val="24"/>
        </w:rPr>
        <w:tab/>
      </w:r>
      <w:r>
        <w:rPr>
          <w:sz w:val="24"/>
          <w:szCs w:val="24"/>
        </w:rPr>
        <w:fldChar w:fldCharType="begin"/>
      </w:r>
      <w:r>
        <w:rPr>
          <w:sz w:val="24"/>
          <w:szCs w:val="24"/>
        </w:rPr>
        <w:instrText xml:space="preserve"> PAGEREF _Toc3936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"_Toc13395" </w:instrText>
      </w:r>
      <w:r>
        <w:fldChar w:fldCharType="separate"/>
      </w:r>
      <w:r>
        <w:t>6.4.1水文化建设内容</w:t>
      </w:r>
      <w:r>
        <w:tab/>
      </w:r>
      <w:r>
        <w:fldChar w:fldCharType="begin"/>
      </w:r>
      <w:r>
        <w:instrText xml:space="preserve"> PAGEREF _Toc13395 \h </w:instrText>
      </w:r>
      <w:r>
        <w:fldChar w:fldCharType="separate"/>
      </w:r>
      <w:r>
        <w:t>52</w:t>
      </w:r>
      <w:r>
        <w:fldChar w:fldCharType="end"/>
      </w:r>
      <w:r>
        <w:fldChar w:fldCharType="end"/>
      </w:r>
    </w:p>
    <w:p>
      <w:pPr>
        <w:pStyle w:val="17"/>
        <w:tabs>
          <w:tab w:val="right" w:leader="dot" w:pos="9070"/>
        </w:tabs>
        <w:rPr>
          <w:szCs w:val="24"/>
        </w:rPr>
      </w:pPr>
      <w:r>
        <w:fldChar w:fldCharType="begin"/>
      </w:r>
      <w:r>
        <w:instrText xml:space="preserve"> HYPERLINK \l "_Toc91" </w:instrText>
      </w:r>
      <w:r>
        <w:fldChar w:fldCharType="separate"/>
      </w:r>
      <w:r>
        <w:rPr>
          <w:szCs w:val="24"/>
        </w:rPr>
        <w:t>7多措并举，加强城乡一体的供水体系建设</w:t>
      </w:r>
      <w:r>
        <w:rPr>
          <w:szCs w:val="24"/>
        </w:rPr>
        <w:tab/>
      </w:r>
      <w:r>
        <w:rPr>
          <w:szCs w:val="24"/>
        </w:rPr>
        <w:fldChar w:fldCharType="begin"/>
      </w:r>
      <w:r>
        <w:rPr>
          <w:szCs w:val="24"/>
        </w:rPr>
        <w:instrText xml:space="preserve"> PAGEREF _Toc91 \h </w:instrText>
      </w:r>
      <w:r>
        <w:rPr>
          <w:szCs w:val="24"/>
        </w:rPr>
        <w:fldChar w:fldCharType="separate"/>
      </w:r>
      <w:r>
        <w:rPr>
          <w:szCs w:val="24"/>
        </w:rPr>
        <w:t>53</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"_Toc16207" </w:instrText>
      </w:r>
      <w:r>
        <w:fldChar w:fldCharType="separate"/>
      </w:r>
      <w:r>
        <w:rPr>
          <w:sz w:val="24"/>
          <w:szCs w:val="24"/>
        </w:rPr>
        <w:t>7.1完善城市供水系统</w:t>
      </w:r>
      <w:r>
        <w:rPr>
          <w:sz w:val="24"/>
          <w:szCs w:val="24"/>
        </w:rPr>
        <w:tab/>
      </w:r>
      <w:r>
        <w:rPr>
          <w:sz w:val="24"/>
          <w:szCs w:val="24"/>
        </w:rPr>
        <w:fldChar w:fldCharType="begin"/>
      </w:r>
      <w:r>
        <w:rPr>
          <w:sz w:val="24"/>
          <w:szCs w:val="24"/>
        </w:rPr>
        <w:instrText xml:space="preserve"> PAGEREF _Toc16207 \h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"_Toc24124" </w:instrText>
      </w:r>
      <w:r>
        <w:fldChar w:fldCharType="separate"/>
      </w:r>
      <w:r>
        <w:t>7.1.1筹集改造资金，升级供水设施</w:t>
      </w:r>
      <w:r>
        <w:tab/>
      </w:r>
      <w:r>
        <w:fldChar w:fldCharType="begin"/>
      </w:r>
      <w:r>
        <w:instrText xml:space="preserve"> PAGEREF _Toc24124 \h </w:instrText>
      </w:r>
      <w:r>
        <w:fldChar w:fldCharType="separate"/>
      </w:r>
      <w:r>
        <w:t>53</w:t>
      </w:r>
      <w:r>
        <w:fldChar w:fldCharType="end"/>
      </w:r>
      <w:r>
        <w:fldChar w:fldCharType="end"/>
      </w:r>
    </w:p>
    <w:p>
      <w:pPr>
        <w:pStyle w:val="12"/>
        <w:tabs>
          <w:tab w:val="right" w:leader="dot" w:pos="9070"/>
        </w:tabs>
        <w:ind w:left="960" w:firstLine="480"/>
      </w:pPr>
      <w:r>
        <w:fldChar w:fldCharType="begin"/>
      </w:r>
      <w:r>
        <w:instrText xml:space="preserve"> HYPERLINK \l "_Toc24389" </w:instrText>
      </w:r>
      <w:r>
        <w:fldChar w:fldCharType="separate"/>
      </w:r>
      <w:r>
        <w:t>7.1.2提高水处理技术和自动化水平</w:t>
      </w:r>
      <w:r>
        <w:tab/>
      </w:r>
      <w:r>
        <w:fldChar w:fldCharType="begin"/>
      </w:r>
      <w:r>
        <w:instrText xml:space="preserve"> PAGEREF _Toc24389 \h </w:instrText>
      </w:r>
      <w:r>
        <w:fldChar w:fldCharType="separate"/>
      </w:r>
      <w:r>
        <w:t>53</w:t>
      </w:r>
      <w:r>
        <w:fldChar w:fldCharType="end"/>
      </w:r>
      <w:r>
        <w:fldChar w:fldCharType="end"/>
      </w:r>
    </w:p>
    <w:p>
      <w:pPr>
        <w:pStyle w:val="12"/>
        <w:tabs>
          <w:tab w:val="right" w:leader="dot" w:pos="9070"/>
        </w:tabs>
        <w:ind w:left="960" w:firstLine="480"/>
      </w:pPr>
      <w:r>
        <w:fldChar w:fldCharType="begin"/>
      </w:r>
      <w:r>
        <w:instrText xml:space="preserve"> HYPERLINK \l "_Toc12073" </w:instrText>
      </w:r>
      <w:r>
        <w:fldChar w:fldCharType="separate"/>
      </w:r>
      <w:r>
        <w:t>7.1.3 优化供水布局</w:t>
      </w:r>
      <w:r>
        <w:tab/>
      </w:r>
      <w:r>
        <w:fldChar w:fldCharType="begin"/>
      </w:r>
      <w:r>
        <w:instrText xml:space="preserve"> PAGEREF _Toc12073 \h </w:instrText>
      </w:r>
      <w:r>
        <w:fldChar w:fldCharType="separate"/>
      </w:r>
      <w:r>
        <w:t>53</w:t>
      </w:r>
      <w:r>
        <w:fldChar w:fldCharType="end"/>
      </w:r>
      <w:r>
        <w:fldChar w:fldCharType="end"/>
      </w:r>
    </w:p>
    <w:p>
      <w:pPr>
        <w:pStyle w:val="12"/>
        <w:tabs>
          <w:tab w:val="right" w:leader="dot" w:pos="9070"/>
        </w:tabs>
        <w:ind w:left="960" w:firstLine="480"/>
      </w:pPr>
      <w:r>
        <w:fldChar w:fldCharType="begin"/>
      </w:r>
      <w:r>
        <w:instrText xml:space="preserve"> HYPERLINK \l "_Toc16689" </w:instrText>
      </w:r>
      <w:r>
        <w:fldChar w:fldCharType="separate"/>
      </w:r>
      <w:r>
        <w:t>7.1.4 强化管网监测</w:t>
      </w:r>
      <w:r>
        <w:tab/>
      </w:r>
      <w:r>
        <w:fldChar w:fldCharType="begin"/>
      </w:r>
      <w:r>
        <w:instrText xml:space="preserve"> PAGEREF _Toc16689 \h </w:instrText>
      </w:r>
      <w:r>
        <w:fldChar w:fldCharType="separate"/>
      </w:r>
      <w:r>
        <w:t>53</w:t>
      </w:r>
      <w:r>
        <w:fldChar w:fldCharType="end"/>
      </w:r>
      <w:r>
        <w:fldChar w:fldCharType="end"/>
      </w:r>
    </w:p>
    <w:p>
      <w:pPr>
        <w:pStyle w:val="18"/>
        <w:tabs>
          <w:tab w:val="right" w:leader="dot" w:pos="9070"/>
        </w:tabs>
        <w:ind w:firstLine="400"/>
        <w:rPr>
          <w:sz w:val="24"/>
          <w:szCs w:val="24"/>
        </w:rPr>
      </w:pPr>
      <w:r>
        <w:fldChar w:fldCharType="begin"/>
      </w:r>
      <w:r>
        <w:instrText xml:space="preserve"> HYPERLINK \l "_Toc22001" </w:instrText>
      </w:r>
      <w:r>
        <w:fldChar w:fldCharType="separate"/>
      </w:r>
      <w:r>
        <w:rPr>
          <w:sz w:val="24"/>
          <w:szCs w:val="24"/>
        </w:rPr>
        <w:t>7.2提升乡村供水水平</w:t>
      </w:r>
      <w:r>
        <w:rPr>
          <w:sz w:val="24"/>
          <w:szCs w:val="24"/>
        </w:rPr>
        <w:tab/>
      </w:r>
      <w:r>
        <w:rPr>
          <w:sz w:val="24"/>
          <w:szCs w:val="24"/>
        </w:rPr>
        <w:fldChar w:fldCharType="begin"/>
      </w:r>
      <w:r>
        <w:rPr>
          <w:sz w:val="24"/>
          <w:szCs w:val="24"/>
        </w:rPr>
        <w:instrText xml:space="preserve"> PAGEREF _Toc22001 \h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"_Toc1885" </w:instrText>
      </w:r>
      <w:r>
        <w:fldChar w:fldCharType="separate"/>
      </w:r>
      <w:r>
        <w:t>7.2.1健全管理机制，提升运行管理水平</w:t>
      </w:r>
      <w:r>
        <w:tab/>
      </w:r>
      <w:r>
        <w:fldChar w:fldCharType="begin"/>
      </w:r>
      <w:r>
        <w:instrText xml:space="preserve"> PAGEREF _Toc1885 \h </w:instrText>
      </w:r>
      <w:r>
        <w:fldChar w:fldCharType="separate"/>
      </w:r>
      <w:r>
        <w:t>54</w:t>
      </w:r>
      <w:r>
        <w:fldChar w:fldCharType="end"/>
      </w:r>
      <w:r>
        <w:fldChar w:fldCharType="end"/>
      </w:r>
    </w:p>
    <w:p>
      <w:pPr>
        <w:pStyle w:val="12"/>
        <w:tabs>
          <w:tab w:val="right" w:leader="dot" w:pos="9070"/>
        </w:tabs>
        <w:ind w:left="960" w:firstLine="480"/>
      </w:pPr>
      <w:r>
        <w:fldChar w:fldCharType="begin"/>
      </w:r>
      <w:r>
        <w:instrText xml:space="preserve"> HYPERLINK \l "_Toc29570" </w:instrText>
      </w:r>
      <w:r>
        <w:fldChar w:fldCharType="separate"/>
      </w:r>
      <w:r>
        <w:t>7.2.2提升水质检测能力</w:t>
      </w:r>
      <w:r>
        <w:tab/>
      </w:r>
      <w:r>
        <w:fldChar w:fldCharType="begin"/>
      </w:r>
      <w:r>
        <w:instrText xml:space="preserve"> PAGEREF _Toc29570 \h </w:instrText>
      </w:r>
      <w:r>
        <w:fldChar w:fldCharType="separate"/>
      </w:r>
      <w:r>
        <w:t>54</w:t>
      </w:r>
      <w:r>
        <w:fldChar w:fldCharType="end"/>
      </w:r>
      <w:r>
        <w:fldChar w:fldCharType="end"/>
      </w:r>
    </w:p>
    <w:p>
      <w:pPr>
        <w:pStyle w:val="18"/>
        <w:tabs>
          <w:tab w:val="right" w:leader="dot" w:pos="9070"/>
        </w:tabs>
        <w:ind w:firstLine="400"/>
        <w:rPr>
          <w:sz w:val="24"/>
          <w:szCs w:val="24"/>
        </w:rPr>
      </w:pPr>
      <w:r>
        <w:fldChar w:fldCharType="begin"/>
      </w:r>
      <w:r>
        <w:instrText xml:space="preserve"> HYPERLINK \l "_Toc32648" </w:instrText>
      </w:r>
      <w:r>
        <w:fldChar w:fldCharType="separate"/>
      </w:r>
      <w:r>
        <w:rPr>
          <w:sz w:val="24"/>
          <w:szCs w:val="24"/>
        </w:rPr>
        <w:t>7.3加快防洪抗旱薄弱环节建设</w:t>
      </w:r>
      <w:r>
        <w:rPr>
          <w:sz w:val="24"/>
          <w:szCs w:val="24"/>
        </w:rPr>
        <w:tab/>
      </w:r>
      <w:r>
        <w:rPr>
          <w:sz w:val="24"/>
          <w:szCs w:val="24"/>
        </w:rPr>
        <w:fldChar w:fldCharType="begin"/>
      </w:r>
      <w:r>
        <w:rPr>
          <w:sz w:val="24"/>
          <w:szCs w:val="24"/>
        </w:rPr>
        <w:instrText xml:space="preserve"> PAGEREF _Toc32648 \h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17"/>
        <w:tabs>
          <w:tab w:val="right" w:leader="dot" w:pos="9070"/>
        </w:tabs>
        <w:rPr>
          <w:szCs w:val="24"/>
        </w:rPr>
      </w:pPr>
      <w:r>
        <w:fldChar w:fldCharType="begin"/>
      </w:r>
      <w:r>
        <w:instrText xml:space="preserve"> HYPERLINK \l "_Toc13572" </w:instrText>
      </w:r>
      <w:r>
        <w:fldChar w:fldCharType="separate"/>
      </w:r>
      <w:r>
        <w:rPr>
          <w:szCs w:val="24"/>
        </w:rPr>
        <w:t>8稳步推进，健全调控精准的智慧水利体系</w:t>
      </w:r>
      <w:r>
        <w:rPr>
          <w:szCs w:val="24"/>
        </w:rPr>
        <w:tab/>
      </w:r>
      <w:r>
        <w:rPr>
          <w:szCs w:val="24"/>
        </w:rPr>
        <w:fldChar w:fldCharType="begin"/>
      </w:r>
      <w:r>
        <w:rPr>
          <w:szCs w:val="24"/>
        </w:rPr>
        <w:instrText xml:space="preserve"> PAGEREF _Toc13572 \h </w:instrText>
      </w:r>
      <w:r>
        <w:rPr>
          <w:szCs w:val="24"/>
        </w:rPr>
        <w:fldChar w:fldCharType="separate"/>
      </w:r>
      <w:r>
        <w:rPr>
          <w:szCs w:val="24"/>
        </w:rPr>
        <w:t>55</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"_Toc26390" </w:instrText>
      </w:r>
      <w:r>
        <w:fldChar w:fldCharType="separate"/>
      </w:r>
      <w:r>
        <w:rPr>
          <w:sz w:val="24"/>
          <w:szCs w:val="24"/>
        </w:rPr>
        <w:t>8.1水利信息采集系统建设</w:t>
      </w:r>
      <w:r>
        <w:rPr>
          <w:sz w:val="24"/>
          <w:szCs w:val="24"/>
        </w:rPr>
        <w:tab/>
      </w:r>
      <w:r>
        <w:rPr>
          <w:sz w:val="24"/>
          <w:szCs w:val="24"/>
        </w:rPr>
        <w:fldChar w:fldCharType="begin"/>
      </w:r>
      <w:r>
        <w:rPr>
          <w:sz w:val="24"/>
          <w:szCs w:val="24"/>
        </w:rPr>
        <w:instrText xml:space="preserve"> PAGEREF _Toc26390 \h </w:instrText>
      </w:r>
      <w:r>
        <w:rPr>
          <w:sz w:val="24"/>
          <w:szCs w:val="24"/>
        </w:rPr>
        <w:fldChar w:fldCharType="separate"/>
      </w:r>
      <w:r>
        <w:rPr>
          <w:sz w:val="24"/>
          <w:szCs w:val="24"/>
        </w:rPr>
        <w:t>55</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"_Toc31678" </w:instrText>
      </w:r>
      <w:r>
        <w:fldChar w:fldCharType="separate"/>
      </w:r>
      <w:r>
        <w:rPr>
          <w:sz w:val="24"/>
          <w:szCs w:val="24"/>
        </w:rPr>
        <w:t>8.2加快数据中心的建设</w:t>
      </w:r>
      <w:r>
        <w:rPr>
          <w:sz w:val="24"/>
          <w:szCs w:val="24"/>
        </w:rPr>
        <w:tab/>
      </w:r>
      <w:r>
        <w:rPr>
          <w:sz w:val="24"/>
          <w:szCs w:val="24"/>
        </w:rPr>
        <w:fldChar w:fldCharType="begin"/>
      </w:r>
      <w:r>
        <w:rPr>
          <w:sz w:val="24"/>
          <w:szCs w:val="24"/>
        </w:rPr>
        <w:instrText xml:space="preserve"> PAGEREF _Toc31678 \h </w:instrText>
      </w:r>
      <w:r>
        <w:rPr>
          <w:sz w:val="24"/>
          <w:szCs w:val="24"/>
        </w:rPr>
        <w:fldChar w:fldCharType="separate"/>
      </w:r>
      <w:r>
        <w:rPr>
          <w:sz w:val="24"/>
          <w:szCs w:val="24"/>
        </w:rPr>
        <w:t>55</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"_Toc5597" </w:instrText>
      </w:r>
      <w:r>
        <w:fldChar w:fldCharType="separate"/>
      </w:r>
      <w:r>
        <w:rPr>
          <w:sz w:val="24"/>
          <w:szCs w:val="24"/>
        </w:rPr>
        <w:t>8.3完善信息监测系统</w:t>
      </w:r>
      <w:r>
        <w:rPr>
          <w:sz w:val="24"/>
          <w:szCs w:val="24"/>
        </w:rPr>
        <w:tab/>
      </w:r>
      <w:r>
        <w:rPr>
          <w:sz w:val="24"/>
          <w:szCs w:val="24"/>
        </w:rPr>
        <w:fldChar w:fldCharType="begin"/>
      </w:r>
      <w:r>
        <w:rPr>
          <w:sz w:val="24"/>
          <w:szCs w:val="24"/>
        </w:rPr>
        <w:instrText xml:space="preserve"> PAGEREF _Toc5597 \h </w:instrText>
      </w:r>
      <w:r>
        <w:rPr>
          <w:sz w:val="24"/>
          <w:szCs w:val="24"/>
        </w:rPr>
        <w:fldChar w:fldCharType="separate"/>
      </w:r>
      <w:r>
        <w:rPr>
          <w:sz w:val="24"/>
          <w:szCs w:val="24"/>
        </w:rPr>
        <w:t>55</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"_Toc30001" </w:instrText>
      </w:r>
      <w:r>
        <w:fldChar w:fldCharType="separate"/>
      </w:r>
      <w:r>
        <w:rPr>
          <w:sz w:val="24"/>
          <w:szCs w:val="24"/>
        </w:rPr>
        <w:t>8.4完善应用服务系统</w:t>
      </w:r>
      <w:r>
        <w:rPr>
          <w:sz w:val="24"/>
          <w:szCs w:val="24"/>
        </w:rPr>
        <w:tab/>
      </w:r>
      <w:r>
        <w:rPr>
          <w:sz w:val="24"/>
          <w:szCs w:val="24"/>
        </w:rPr>
        <w:fldChar w:fldCharType="begin"/>
      </w:r>
      <w:r>
        <w:rPr>
          <w:sz w:val="24"/>
          <w:szCs w:val="24"/>
        </w:rPr>
        <w:instrText xml:space="preserve"> PAGEREF _Toc30001 \h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17"/>
        <w:tabs>
          <w:tab w:val="right" w:leader="dot" w:pos="9070"/>
        </w:tabs>
        <w:rPr>
          <w:szCs w:val="24"/>
        </w:rPr>
      </w:pPr>
      <w:r>
        <w:fldChar w:fldCharType="begin"/>
      </w:r>
      <w:r>
        <w:instrText xml:space="preserve"> HYPERLINK \l "_Toc27728" </w:instrText>
      </w:r>
      <w:r>
        <w:fldChar w:fldCharType="separate"/>
      </w:r>
      <w:r>
        <w:rPr>
          <w:szCs w:val="24"/>
        </w:rPr>
        <w:t>9提质增效，保障水工程安全</w:t>
      </w:r>
      <w:r>
        <w:rPr>
          <w:szCs w:val="24"/>
        </w:rPr>
        <w:tab/>
      </w:r>
      <w:r>
        <w:rPr>
          <w:szCs w:val="24"/>
        </w:rPr>
        <w:fldChar w:fldCharType="begin"/>
      </w:r>
      <w:r>
        <w:rPr>
          <w:szCs w:val="24"/>
        </w:rPr>
        <w:instrText xml:space="preserve"> PAGEREF _Toc27728 \h </w:instrText>
      </w:r>
      <w:r>
        <w:rPr>
          <w:szCs w:val="24"/>
        </w:rPr>
        <w:fldChar w:fldCharType="separate"/>
      </w:r>
      <w:r>
        <w:rPr>
          <w:szCs w:val="24"/>
        </w:rPr>
        <w:t>58</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"_Toc11539" </w:instrText>
      </w:r>
      <w:r>
        <w:fldChar w:fldCharType="separate"/>
      </w:r>
      <w:r>
        <w:rPr>
          <w:rFonts w:eastAsiaTheme="minorEastAsia"/>
          <w:sz w:val="24"/>
          <w:szCs w:val="24"/>
        </w:rPr>
        <w:t>9.1高质量建设水利基础设施网络</w:t>
      </w:r>
      <w:r>
        <w:rPr>
          <w:sz w:val="24"/>
          <w:szCs w:val="24"/>
        </w:rPr>
        <w:tab/>
      </w:r>
      <w:r>
        <w:rPr>
          <w:sz w:val="24"/>
          <w:szCs w:val="24"/>
        </w:rPr>
        <w:fldChar w:fldCharType="begin"/>
      </w:r>
      <w:r>
        <w:rPr>
          <w:sz w:val="24"/>
          <w:szCs w:val="24"/>
        </w:rPr>
        <w:instrText xml:space="preserve"> PAGEREF _Toc11539 \h </w:instrText>
      </w:r>
      <w:r>
        <w:rPr>
          <w:sz w:val="24"/>
          <w:szCs w:val="24"/>
        </w:rPr>
        <w:fldChar w:fldCharType="separate"/>
      </w:r>
      <w:r>
        <w:rPr>
          <w:sz w:val="24"/>
          <w:szCs w:val="24"/>
        </w:rPr>
        <w:t>58</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"_Toc2072" </w:instrText>
      </w:r>
      <w:r>
        <w:fldChar w:fldCharType="separate"/>
      </w:r>
      <w:r>
        <w:t>9.1.1统筹做好空间布局顶层设计</w:t>
      </w:r>
      <w:r>
        <w:tab/>
      </w:r>
      <w:r>
        <w:fldChar w:fldCharType="begin"/>
      </w:r>
      <w:r>
        <w:instrText xml:space="preserve"> PAGEREF _Toc2072 \h </w:instrText>
      </w:r>
      <w:r>
        <w:fldChar w:fldCharType="separate"/>
      </w:r>
      <w:r>
        <w:t>58</w:t>
      </w:r>
      <w:r>
        <w:fldChar w:fldCharType="end"/>
      </w:r>
      <w:r>
        <w:fldChar w:fldCharType="end"/>
      </w:r>
    </w:p>
    <w:p>
      <w:pPr>
        <w:pStyle w:val="18"/>
        <w:tabs>
          <w:tab w:val="right" w:leader="dot" w:pos="9070"/>
        </w:tabs>
        <w:ind w:firstLine="400"/>
        <w:rPr>
          <w:sz w:val="24"/>
          <w:szCs w:val="24"/>
        </w:rPr>
      </w:pPr>
      <w:r>
        <w:fldChar w:fldCharType="begin"/>
      </w:r>
      <w:r>
        <w:instrText xml:space="preserve"> HYPERLINK \l "_Toc12300" </w:instrText>
      </w:r>
      <w:r>
        <w:fldChar w:fldCharType="separate"/>
      </w:r>
      <w:r>
        <w:rPr>
          <w:sz w:val="24"/>
          <w:szCs w:val="24"/>
        </w:rPr>
        <w:t>9.2推进工程调度运行管理现代化</w:t>
      </w:r>
      <w:r>
        <w:rPr>
          <w:sz w:val="24"/>
          <w:szCs w:val="24"/>
        </w:rPr>
        <w:tab/>
      </w:r>
      <w:r>
        <w:rPr>
          <w:sz w:val="24"/>
          <w:szCs w:val="24"/>
        </w:rPr>
        <w:fldChar w:fldCharType="begin"/>
      </w:r>
      <w:r>
        <w:rPr>
          <w:sz w:val="24"/>
          <w:szCs w:val="24"/>
        </w:rPr>
        <w:instrText xml:space="preserve"> PAGEREF _Toc12300 \h </w:instrText>
      </w:r>
      <w:r>
        <w:rPr>
          <w:sz w:val="24"/>
          <w:szCs w:val="24"/>
        </w:rPr>
        <w:fldChar w:fldCharType="separate"/>
      </w:r>
      <w:r>
        <w:rPr>
          <w:sz w:val="24"/>
          <w:szCs w:val="24"/>
        </w:rPr>
        <w:t>58</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"_Toc6746" </w:instrText>
      </w:r>
      <w:r>
        <w:fldChar w:fldCharType="separate"/>
      </w:r>
      <w:r>
        <w:t>9.2.1提升水利工程运行管理信息化水平</w:t>
      </w:r>
      <w:r>
        <w:tab/>
      </w:r>
      <w:r>
        <w:fldChar w:fldCharType="begin"/>
      </w:r>
      <w:r>
        <w:instrText xml:space="preserve"> PAGEREF _Toc6746 \h </w:instrText>
      </w:r>
      <w:r>
        <w:fldChar w:fldCharType="separate"/>
      </w:r>
      <w:r>
        <w:t>59</w:t>
      </w:r>
      <w:r>
        <w:fldChar w:fldCharType="end"/>
      </w:r>
      <w:r>
        <w:fldChar w:fldCharType="end"/>
      </w:r>
    </w:p>
    <w:p>
      <w:pPr>
        <w:pStyle w:val="12"/>
        <w:tabs>
          <w:tab w:val="right" w:leader="dot" w:pos="9070"/>
        </w:tabs>
        <w:ind w:left="960" w:firstLine="480"/>
      </w:pPr>
      <w:r>
        <w:fldChar w:fldCharType="begin"/>
      </w:r>
      <w:r>
        <w:instrText xml:space="preserve"> HYPERLINK \l "_Toc19806" </w:instrText>
      </w:r>
      <w:r>
        <w:fldChar w:fldCharType="separate"/>
      </w:r>
      <w:r>
        <w:t>9.2.2加快建设江河湖库管理信息系统</w:t>
      </w:r>
      <w:r>
        <w:tab/>
      </w:r>
      <w:r>
        <w:fldChar w:fldCharType="begin"/>
      </w:r>
      <w:r>
        <w:instrText xml:space="preserve"> PAGEREF _Toc19806 \h </w:instrText>
      </w:r>
      <w:r>
        <w:fldChar w:fldCharType="separate"/>
      </w:r>
      <w:r>
        <w:t>59</w:t>
      </w:r>
      <w:r>
        <w:fldChar w:fldCharType="end"/>
      </w:r>
      <w:r>
        <w:fldChar w:fldCharType="end"/>
      </w:r>
    </w:p>
    <w:p>
      <w:pPr>
        <w:pStyle w:val="12"/>
        <w:tabs>
          <w:tab w:val="right" w:leader="dot" w:pos="9070"/>
        </w:tabs>
        <w:ind w:left="960" w:firstLine="480"/>
      </w:pPr>
      <w:r>
        <w:fldChar w:fldCharType="begin"/>
      </w:r>
      <w:r>
        <w:instrText xml:space="preserve"> HYPERLINK \l "_Toc21816" </w:instrText>
      </w:r>
      <w:r>
        <w:fldChar w:fldCharType="separate"/>
      </w:r>
      <w:r>
        <w:t>9.2.3加快完善工程管理信息系统</w:t>
      </w:r>
      <w:r>
        <w:tab/>
      </w:r>
      <w:r>
        <w:fldChar w:fldCharType="begin"/>
      </w:r>
      <w:r>
        <w:instrText xml:space="preserve"> PAGEREF _Toc21816 \h </w:instrText>
      </w:r>
      <w:r>
        <w:fldChar w:fldCharType="separate"/>
      </w:r>
      <w:r>
        <w:t>59</w:t>
      </w:r>
      <w:r>
        <w:fldChar w:fldCharType="end"/>
      </w:r>
      <w:r>
        <w:fldChar w:fldCharType="end"/>
      </w:r>
    </w:p>
    <w:p>
      <w:pPr>
        <w:pStyle w:val="18"/>
        <w:tabs>
          <w:tab w:val="right" w:leader="dot" w:pos="9070"/>
        </w:tabs>
        <w:ind w:firstLine="400"/>
        <w:rPr>
          <w:sz w:val="24"/>
          <w:szCs w:val="24"/>
        </w:rPr>
      </w:pPr>
      <w:r>
        <w:fldChar w:fldCharType="begin"/>
      </w:r>
      <w:r>
        <w:instrText xml:space="preserve"> HYPERLINK \l "_Toc14056" </w:instrText>
      </w:r>
      <w:r>
        <w:fldChar w:fldCharType="separate"/>
      </w:r>
      <w:r>
        <w:rPr>
          <w:sz w:val="24"/>
          <w:szCs w:val="24"/>
        </w:rPr>
        <w:t>9.3提高工程安全风险防御能力</w:t>
      </w:r>
      <w:r>
        <w:rPr>
          <w:sz w:val="24"/>
          <w:szCs w:val="24"/>
        </w:rPr>
        <w:tab/>
      </w:r>
      <w:r>
        <w:rPr>
          <w:sz w:val="24"/>
          <w:szCs w:val="24"/>
        </w:rPr>
        <w:fldChar w:fldCharType="begin"/>
      </w:r>
      <w:r>
        <w:rPr>
          <w:sz w:val="24"/>
          <w:szCs w:val="24"/>
        </w:rPr>
        <w:instrText xml:space="preserve"> PAGEREF _Toc14056 \h </w:instrText>
      </w:r>
      <w:r>
        <w:rPr>
          <w:sz w:val="24"/>
          <w:szCs w:val="24"/>
        </w:rPr>
        <w:fldChar w:fldCharType="separate"/>
      </w:r>
      <w:r>
        <w:rPr>
          <w:sz w:val="24"/>
          <w:szCs w:val="24"/>
        </w:rPr>
        <w:t>59</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"_Toc21072" </w:instrText>
      </w:r>
      <w:r>
        <w:fldChar w:fldCharType="separate"/>
      </w:r>
      <w:r>
        <w:t>9.3.1进一步加强供水应急保障体系建设</w:t>
      </w:r>
      <w:r>
        <w:tab/>
      </w:r>
      <w:r>
        <w:fldChar w:fldCharType="begin"/>
      </w:r>
      <w:r>
        <w:instrText xml:space="preserve"> PAGEREF _Toc21072 \h </w:instrText>
      </w:r>
      <w:r>
        <w:fldChar w:fldCharType="separate"/>
      </w:r>
      <w:r>
        <w:t>59</w:t>
      </w:r>
      <w:r>
        <w:fldChar w:fldCharType="end"/>
      </w:r>
      <w:r>
        <w:fldChar w:fldCharType="end"/>
      </w:r>
    </w:p>
    <w:p>
      <w:pPr>
        <w:pStyle w:val="12"/>
        <w:tabs>
          <w:tab w:val="right" w:leader="dot" w:pos="9070"/>
        </w:tabs>
        <w:ind w:left="960" w:firstLine="480"/>
      </w:pPr>
      <w:r>
        <w:fldChar w:fldCharType="begin"/>
      </w:r>
      <w:r>
        <w:instrText xml:space="preserve"> HYPERLINK \l "_Toc31264" </w:instrText>
      </w:r>
      <w:r>
        <w:fldChar w:fldCharType="separate"/>
      </w:r>
      <w:r>
        <w:t>9.3.2定期开展应急保障体系演练</w:t>
      </w:r>
      <w:r>
        <w:tab/>
      </w:r>
      <w:r>
        <w:fldChar w:fldCharType="begin"/>
      </w:r>
      <w:r>
        <w:instrText xml:space="preserve"> PAGEREF _Toc31264 \h </w:instrText>
      </w:r>
      <w:r>
        <w:fldChar w:fldCharType="separate"/>
      </w:r>
      <w:r>
        <w:t>59</w:t>
      </w:r>
      <w:r>
        <w:fldChar w:fldCharType="end"/>
      </w:r>
      <w:r>
        <w:fldChar w:fldCharType="end"/>
      </w:r>
    </w:p>
    <w:p>
      <w:pPr>
        <w:pStyle w:val="12"/>
        <w:tabs>
          <w:tab w:val="right" w:leader="dot" w:pos="9070"/>
        </w:tabs>
        <w:ind w:left="960" w:firstLine="480"/>
      </w:pPr>
      <w:r>
        <w:fldChar w:fldCharType="begin"/>
      </w:r>
      <w:r>
        <w:instrText xml:space="preserve"> HYPERLINK \l "_Toc8775" </w:instrText>
      </w:r>
      <w:r>
        <w:fldChar w:fldCharType="separate"/>
      </w:r>
      <w:r>
        <w:t>9.3.3工程管养维护长效运行机制建设</w:t>
      </w:r>
      <w:r>
        <w:tab/>
      </w:r>
      <w:r>
        <w:fldChar w:fldCharType="begin"/>
      </w:r>
      <w:r>
        <w:instrText xml:space="preserve"> PAGEREF _Toc8775 \h </w:instrText>
      </w:r>
      <w:r>
        <w:fldChar w:fldCharType="separate"/>
      </w:r>
      <w:r>
        <w:t>59</w:t>
      </w:r>
      <w:r>
        <w:fldChar w:fldCharType="end"/>
      </w:r>
      <w:r>
        <w:fldChar w:fldCharType="end"/>
      </w:r>
    </w:p>
    <w:p>
      <w:pPr>
        <w:pStyle w:val="12"/>
        <w:tabs>
          <w:tab w:val="right" w:leader="dot" w:pos="9070"/>
        </w:tabs>
        <w:ind w:left="960" w:firstLine="480"/>
      </w:pPr>
      <w:r>
        <w:fldChar w:fldCharType="begin"/>
      </w:r>
      <w:r>
        <w:instrText xml:space="preserve"> HYPERLINK \l "_Toc25080" </w:instrText>
      </w:r>
      <w:r>
        <w:fldChar w:fldCharType="separate"/>
      </w:r>
      <w:r>
        <w:t>9.3.4强化水利工程监管</w:t>
      </w:r>
      <w:r>
        <w:tab/>
      </w:r>
      <w:r>
        <w:fldChar w:fldCharType="begin"/>
      </w:r>
      <w:r>
        <w:instrText xml:space="preserve"> PAGEREF _Toc25080 \h </w:instrText>
      </w:r>
      <w:r>
        <w:fldChar w:fldCharType="separate"/>
      </w:r>
      <w:r>
        <w:t>60</w:t>
      </w:r>
      <w:r>
        <w:fldChar w:fldCharType="end"/>
      </w:r>
      <w:r>
        <w:fldChar w:fldCharType="end"/>
      </w:r>
    </w:p>
    <w:p>
      <w:pPr>
        <w:pStyle w:val="17"/>
        <w:tabs>
          <w:tab w:val="right" w:leader="dot" w:pos="9070"/>
        </w:tabs>
        <w:rPr>
          <w:szCs w:val="24"/>
        </w:rPr>
      </w:pPr>
      <w:r>
        <w:fldChar w:fldCharType="begin"/>
      </w:r>
      <w:r>
        <w:instrText xml:space="preserve"> HYPERLINK \l "_Toc30119" </w:instrText>
      </w:r>
      <w:r>
        <w:fldChar w:fldCharType="separate"/>
      </w:r>
      <w:r>
        <w:rPr>
          <w:szCs w:val="24"/>
        </w:rPr>
        <w:t>10改革创新，推进水治理能力现代化</w:t>
      </w:r>
      <w:r>
        <w:rPr>
          <w:szCs w:val="24"/>
        </w:rPr>
        <w:tab/>
      </w:r>
      <w:r>
        <w:rPr>
          <w:szCs w:val="24"/>
        </w:rPr>
        <w:fldChar w:fldCharType="begin"/>
      </w:r>
      <w:r>
        <w:rPr>
          <w:szCs w:val="24"/>
        </w:rPr>
        <w:instrText xml:space="preserve"> PAGEREF _Toc30119 \h </w:instrText>
      </w:r>
      <w:r>
        <w:rPr>
          <w:szCs w:val="24"/>
        </w:rPr>
        <w:fldChar w:fldCharType="separate"/>
      </w:r>
      <w:r>
        <w:rPr>
          <w:szCs w:val="24"/>
        </w:rPr>
        <w:t>61</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"_Toc4295" </w:instrText>
      </w:r>
      <w:r>
        <w:fldChar w:fldCharType="separate"/>
      </w:r>
      <w:r>
        <w:rPr>
          <w:sz w:val="24"/>
          <w:szCs w:val="24"/>
        </w:rPr>
        <w:t>10.1全面推进依法治水</w:t>
      </w:r>
      <w:r>
        <w:rPr>
          <w:sz w:val="24"/>
          <w:szCs w:val="24"/>
        </w:rPr>
        <w:tab/>
      </w:r>
      <w:r>
        <w:rPr>
          <w:sz w:val="24"/>
          <w:szCs w:val="24"/>
        </w:rPr>
        <w:fldChar w:fldCharType="begin"/>
      </w:r>
      <w:r>
        <w:rPr>
          <w:sz w:val="24"/>
          <w:szCs w:val="24"/>
        </w:rPr>
        <w:instrText xml:space="preserve"> PAGEREF _Toc4295 \h </w:instrText>
      </w:r>
      <w:r>
        <w:rPr>
          <w:sz w:val="24"/>
          <w:szCs w:val="24"/>
        </w:rPr>
        <w:fldChar w:fldCharType="separate"/>
      </w:r>
      <w:r>
        <w:rPr>
          <w:sz w:val="24"/>
          <w:szCs w:val="24"/>
        </w:rPr>
        <w:t>61</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"_Toc4493" </w:instrText>
      </w:r>
      <w:r>
        <w:fldChar w:fldCharType="separate"/>
      </w:r>
      <w:r>
        <w:rPr>
          <w:sz w:val="24"/>
          <w:szCs w:val="24"/>
        </w:rPr>
        <w:t>10.2落实政府水安全保障责任</w:t>
      </w:r>
      <w:r>
        <w:rPr>
          <w:sz w:val="24"/>
          <w:szCs w:val="24"/>
        </w:rPr>
        <w:tab/>
      </w:r>
      <w:r>
        <w:rPr>
          <w:sz w:val="24"/>
          <w:szCs w:val="24"/>
        </w:rPr>
        <w:fldChar w:fldCharType="begin"/>
      </w:r>
      <w:r>
        <w:rPr>
          <w:sz w:val="24"/>
          <w:szCs w:val="24"/>
        </w:rPr>
        <w:instrText xml:space="preserve"> PAGEREF _Toc4493 \h </w:instrText>
      </w:r>
      <w:r>
        <w:rPr>
          <w:sz w:val="24"/>
          <w:szCs w:val="24"/>
        </w:rPr>
        <w:fldChar w:fldCharType="separate"/>
      </w:r>
      <w:r>
        <w:rPr>
          <w:sz w:val="24"/>
          <w:szCs w:val="24"/>
        </w:rPr>
        <w:t>61</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"_Toc23220" </w:instrText>
      </w:r>
      <w:r>
        <w:fldChar w:fldCharType="separate"/>
      </w:r>
      <w:r>
        <w:t>10.2.1强化组织领导</w:t>
      </w:r>
      <w:r>
        <w:tab/>
      </w:r>
      <w:r>
        <w:fldChar w:fldCharType="begin"/>
      </w:r>
      <w:r>
        <w:instrText xml:space="preserve"> PAGEREF _Toc23220 \h </w:instrText>
      </w:r>
      <w:r>
        <w:fldChar w:fldCharType="separate"/>
      </w:r>
      <w:r>
        <w:t>61</w:t>
      </w:r>
      <w:r>
        <w:fldChar w:fldCharType="end"/>
      </w:r>
      <w:r>
        <w:fldChar w:fldCharType="end"/>
      </w:r>
    </w:p>
    <w:p>
      <w:pPr>
        <w:pStyle w:val="12"/>
        <w:tabs>
          <w:tab w:val="right" w:leader="dot" w:pos="9070"/>
        </w:tabs>
        <w:ind w:left="960" w:firstLine="480"/>
      </w:pPr>
      <w:r>
        <w:fldChar w:fldCharType="begin"/>
      </w:r>
      <w:r>
        <w:instrText xml:space="preserve"> HYPERLINK \l "_Toc5894" </w:instrText>
      </w:r>
      <w:r>
        <w:fldChar w:fldCharType="separate"/>
      </w:r>
      <w:r>
        <w:t>10.2.2明确工作职责</w:t>
      </w:r>
      <w:r>
        <w:tab/>
      </w:r>
      <w:r>
        <w:fldChar w:fldCharType="begin"/>
      </w:r>
      <w:r>
        <w:instrText xml:space="preserve"> PAGEREF _Toc5894 \h </w:instrText>
      </w:r>
      <w:r>
        <w:fldChar w:fldCharType="separate"/>
      </w:r>
      <w:r>
        <w:t>62</w:t>
      </w:r>
      <w:r>
        <w:fldChar w:fldCharType="end"/>
      </w:r>
      <w:r>
        <w:fldChar w:fldCharType="end"/>
      </w:r>
    </w:p>
    <w:p>
      <w:pPr>
        <w:pStyle w:val="18"/>
        <w:tabs>
          <w:tab w:val="right" w:leader="dot" w:pos="9070"/>
        </w:tabs>
        <w:ind w:firstLine="400"/>
        <w:rPr>
          <w:sz w:val="24"/>
          <w:szCs w:val="24"/>
        </w:rPr>
      </w:pPr>
      <w:r>
        <w:fldChar w:fldCharType="begin"/>
      </w:r>
      <w:r>
        <w:instrText xml:space="preserve"> HYPERLINK \l "_Toc27696" </w:instrText>
      </w:r>
      <w:r>
        <w:fldChar w:fldCharType="separate"/>
      </w:r>
      <w:r>
        <w:rPr>
          <w:sz w:val="24"/>
          <w:szCs w:val="24"/>
        </w:rPr>
        <w:t>10.3充分发挥市场机制作用</w:t>
      </w:r>
      <w:r>
        <w:rPr>
          <w:sz w:val="24"/>
          <w:szCs w:val="24"/>
        </w:rPr>
        <w:tab/>
      </w:r>
      <w:r>
        <w:rPr>
          <w:sz w:val="24"/>
          <w:szCs w:val="24"/>
        </w:rPr>
        <w:fldChar w:fldCharType="begin"/>
      </w:r>
      <w:r>
        <w:rPr>
          <w:sz w:val="24"/>
          <w:szCs w:val="24"/>
        </w:rPr>
        <w:instrText xml:space="preserve"> PAGEREF _Toc27696 \h </w:instrText>
      </w:r>
      <w:r>
        <w:rPr>
          <w:sz w:val="24"/>
          <w:szCs w:val="24"/>
        </w:rPr>
        <w:fldChar w:fldCharType="separate"/>
      </w:r>
      <w:r>
        <w:rPr>
          <w:sz w:val="24"/>
          <w:szCs w:val="24"/>
        </w:rPr>
        <w:t>62</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"_Toc6661" </w:instrText>
      </w:r>
      <w:r>
        <w:fldChar w:fldCharType="separate"/>
      </w:r>
      <w:r>
        <w:t>10.3.1健全水务投融资体制</w:t>
      </w:r>
      <w:r>
        <w:tab/>
      </w:r>
      <w:r>
        <w:fldChar w:fldCharType="begin"/>
      </w:r>
      <w:r>
        <w:instrText xml:space="preserve"> PAGEREF _Toc6661 \h </w:instrText>
      </w:r>
      <w:r>
        <w:fldChar w:fldCharType="separate"/>
      </w:r>
      <w:r>
        <w:t>62</w:t>
      </w:r>
      <w:r>
        <w:fldChar w:fldCharType="end"/>
      </w:r>
      <w:r>
        <w:fldChar w:fldCharType="end"/>
      </w:r>
    </w:p>
    <w:p>
      <w:pPr>
        <w:pStyle w:val="12"/>
        <w:tabs>
          <w:tab w:val="right" w:leader="dot" w:pos="9070"/>
        </w:tabs>
        <w:ind w:left="960" w:firstLine="480"/>
      </w:pPr>
      <w:r>
        <w:fldChar w:fldCharType="begin"/>
      </w:r>
      <w:r>
        <w:instrText xml:space="preserve"> HYPERLINK \l "_Toc25982" </w:instrText>
      </w:r>
      <w:r>
        <w:fldChar w:fldCharType="separate"/>
      </w:r>
      <w:r>
        <w:t>10.3.2推动水务市场产业化发展</w:t>
      </w:r>
      <w:r>
        <w:tab/>
      </w:r>
      <w:r>
        <w:fldChar w:fldCharType="begin"/>
      </w:r>
      <w:r>
        <w:instrText xml:space="preserve"> PAGEREF _Toc25982 \h </w:instrText>
      </w:r>
      <w:r>
        <w:fldChar w:fldCharType="separate"/>
      </w:r>
      <w:r>
        <w:t>62</w:t>
      </w:r>
      <w:r>
        <w:fldChar w:fldCharType="end"/>
      </w:r>
      <w:r>
        <w:fldChar w:fldCharType="end"/>
      </w:r>
    </w:p>
    <w:p>
      <w:pPr>
        <w:pStyle w:val="12"/>
        <w:tabs>
          <w:tab w:val="right" w:leader="dot" w:pos="9070"/>
        </w:tabs>
        <w:ind w:left="960" w:firstLine="480"/>
      </w:pPr>
      <w:r>
        <w:fldChar w:fldCharType="begin"/>
      </w:r>
      <w:r>
        <w:instrText xml:space="preserve"> HYPERLINK \l "_Toc11607" </w:instrText>
      </w:r>
      <w:r>
        <w:fldChar w:fldCharType="separate"/>
      </w:r>
      <w:r>
        <w:t>10.3.3同步推进水价改革，增强水管单位自身造血功能</w:t>
      </w:r>
      <w:r>
        <w:tab/>
      </w:r>
      <w:r>
        <w:fldChar w:fldCharType="begin"/>
      </w:r>
      <w:r>
        <w:instrText xml:space="preserve"> PAGEREF _Toc11607 \h </w:instrText>
      </w:r>
      <w:r>
        <w:fldChar w:fldCharType="separate"/>
      </w:r>
      <w:r>
        <w:t>63</w:t>
      </w:r>
      <w:r>
        <w:fldChar w:fldCharType="end"/>
      </w:r>
      <w:r>
        <w:fldChar w:fldCharType="end"/>
      </w:r>
    </w:p>
    <w:p>
      <w:pPr>
        <w:pStyle w:val="12"/>
        <w:tabs>
          <w:tab w:val="right" w:leader="dot" w:pos="9070"/>
        </w:tabs>
        <w:ind w:left="960" w:firstLine="480"/>
      </w:pPr>
      <w:r>
        <w:fldChar w:fldCharType="begin"/>
      </w:r>
      <w:r>
        <w:instrText xml:space="preserve"> HYPERLINK \l "_Toc7017" </w:instrText>
      </w:r>
      <w:r>
        <w:fldChar w:fldCharType="separate"/>
      </w:r>
      <w:r>
        <w:t>10.3.4推进水利设施管养市场化运作</w:t>
      </w:r>
      <w:r>
        <w:tab/>
      </w:r>
      <w:r>
        <w:fldChar w:fldCharType="begin"/>
      </w:r>
      <w:r>
        <w:instrText xml:space="preserve"> PAGEREF _Toc7017 \h </w:instrText>
      </w:r>
      <w:r>
        <w:fldChar w:fldCharType="separate"/>
      </w:r>
      <w:r>
        <w:t>63</w:t>
      </w:r>
      <w:r>
        <w:fldChar w:fldCharType="end"/>
      </w:r>
      <w:r>
        <w:fldChar w:fldCharType="end"/>
      </w:r>
    </w:p>
    <w:p>
      <w:pPr>
        <w:pStyle w:val="18"/>
        <w:tabs>
          <w:tab w:val="right" w:leader="dot" w:pos="9070"/>
        </w:tabs>
        <w:ind w:firstLine="400"/>
        <w:rPr>
          <w:sz w:val="24"/>
          <w:szCs w:val="24"/>
        </w:rPr>
      </w:pPr>
      <w:r>
        <w:fldChar w:fldCharType="begin"/>
      </w:r>
      <w:r>
        <w:instrText xml:space="preserve"> HYPERLINK \l "_Toc29453" </w:instrText>
      </w:r>
      <w:r>
        <w:fldChar w:fldCharType="separate"/>
      </w:r>
      <w:r>
        <w:rPr>
          <w:sz w:val="24"/>
          <w:szCs w:val="24"/>
        </w:rPr>
        <w:t>10.4持续提升水利行业能力</w:t>
      </w:r>
      <w:r>
        <w:rPr>
          <w:sz w:val="24"/>
          <w:szCs w:val="24"/>
        </w:rPr>
        <w:tab/>
      </w:r>
      <w:r>
        <w:rPr>
          <w:sz w:val="24"/>
          <w:szCs w:val="24"/>
        </w:rPr>
        <w:fldChar w:fldCharType="begin"/>
      </w:r>
      <w:r>
        <w:rPr>
          <w:sz w:val="24"/>
          <w:szCs w:val="24"/>
        </w:rPr>
        <w:instrText xml:space="preserve"> PAGEREF _Toc29453 \h </w:instrText>
      </w:r>
      <w:r>
        <w:rPr>
          <w:sz w:val="24"/>
          <w:szCs w:val="24"/>
        </w:rPr>
        <w:fldChar w:fldCharType="separate"/>
      </w:r>
      <w:r>
        <w:rPr>
          <w:sz w:val="24"/>
          <w:szCs w:val="24"/>
        </w:rPr>
        <w:t>63</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"_Toc28294" </w:instrText>
      </w:r>
      <w:r>
        <w:fldChar w:fldCharType="separate"/>
      </w:r>
      <w:r>
        <w:t>10.4.1抓好干部教育培训工作</w:t>
      </w:r>
      <w:r>
        <w:tab/>
      </w:r>
      <w:r>
        <w:fldChar w:fldCharType="begin"/>
      </w:r>
      <w:r>
        <w:instrText xml:space="preserve"> PAGEREF _Toc28294 \h </w:instrText>
      </w:r>
      <w:r>
        <w:fldChar w:fldCharType="separate"/>
      </w:r>
      <w:r>
        <w:t>63</w:t>
      </w:r>
      <w:r>
        <w:fldChar w:fldCharType="end"/>
      </w:r>
      <w:r>
        <w:fldChar w:fldCharType="end"/>
      </w:r>
    </w:p>
    <w:p>
      <w:pPr>
        <w:pStyle w:val="12"/>
        <w:tabs>
          <w:tab w:val="right" w:leader="dot" w:pos="9070"/>
        </w:tabs>
        <w:ind w:left="960" w:firstLine="480"/>
      </w:pPr>
      <w:r>
        <w:fldChar w:fldCharType="begin"/>
      </w:r>
      <w:r>
        <w:instrText xml:space="preserve"> HYPERLINK \l "_Toc32031" </w:instrText>
      </w:r>
      <w:r>
        <w:fldChar w:fldCharType="separate"/>
      </w:r>
      <w:r>
        <w:t>10.4.2做好人才引进、培养工作</w:t>
      </w:r>
      <w:r>
        <w:tab/>
      </w:r>
      <w:r>
        <w:fldChar w:fldCharType="begin"/>
      </w:r>
      <w:r>
        <w:instrText xml:space="preserve"> PAGEREF _Toc32031 \h </w:instrText>
      </w:r>
      <w:r>
        <w:fldChar w:fldCharType="separate"/>
      </w:r>
      <w:r>
        <w:t>63</w:t>
      </w:r>
      <w:r>
        <w:fldChar w:fldCharType="end"/>
      </w:r>
      <w:r>
        <w:fldChar w:fldCharType="end"/>
      </w:r>
    </w:p>
    <w:p>
      <w:pPr>
        <w:pStyle w:val="12"/>
        <w:tabs>
          <w:tab w:val="right" w:leader="dot" w:pos="9070"/>
        </w:tabs>
        <w:ind w:left="960" w:firstLine="480"/>
      </w:pPr>
      <w:r>
        <w:fldChar w:fldCharType="begin"/>
      </w:r>
      <w:r>
        <w:instrText xml:space="preserve"> HYPERLINK \l "_Toc30139" </w:instrText>
      </w:r>
      <w:r>
        <w:fldChar w:fldCharType="separate"/>
      </w:r>
      <w:r>
        <w:t>10.4.3建立科学的人才评价机制</w:t>
      </w:r>
      <w:r>
        <w:tab/>
      </w:r>
      <w:r>
        <w:fldChar w:fldCharType="begin"/>
      </w:r>
      <w:r>
        <w:instrText xml:space="preserve"> PAGEREF _Toc30139 \h </w:instrText>
      </w:r>
      <w:r>
        <w:fldChar w:fldCharType="separate"/>
      </w:r>
      <w:r>
        <w:t>64</w:t>
      </w:r>
      <w:r>
        <w:fldChar w:fldCharType="end"/>
      </w:r>
      <w:r>
        <w:fldChar w:fldCharType="end"/>
      </w:r>
    </w:p>
    <w:p>
      <w:pPr>
        <w:pStyle w:val="12"/>
        <w:tabs>
          <w:tab w:val="right" w:leader="dot" w:pos="9070"/>
        </w:tabs>
        <w:ind w:left="960" w:firstLine="480"/>
      </w:pPr>
      <w:r>
        <w:fldChar w:fldCharType="begin"/>
      </w:r>
      <w:r>
        <w:instrText xml:space="preserve"> HYPERLINK \l "_Toc26721" </w:instrText>
      </w:r>
      <w:r>
        <w:fldChar w:fldCharType="separate"/>
      </w:r>
      <w:r>
        <w:t>10.4.4完善人才激励机制</w:t>
      </w:r>
      <w:r>
        <w:tab/>
      </w:r>
      <w:r>
        <w:fldChar w:fldCharType="begin"/>
      </w:r>
      <w:r>
        <w:instrText xml:space="preserve"> PAGEREF _Toc26721 \h </w:instrText>
      </w:r>
      <w:r>
        <w:fldChar w:fldCharType="separate"/>
      </w:r>
      <w:r>
        <w:t>64</w:t>
      </w:r>
      <w:r>
        <w:fldChar w:fldCharType="end"/>
      </w:r>
      <w:r>
        <w:fldChar w:fldCharType="end"/>
      </w:r>
    </w:p>
    <w:p>
      <w:pPr>
        <w:pStyle w:val="12"/>
        <w:tabs>
          <w:tab w:val="right" w:leader="dot" w:pos="9070"/>
        </w:tabs>
        <w:ind w:left="960" w:firstLine="480"/>
      </w:pPr>
      <w:r>
        <w:fldChar w:fldCharType="begin"/>
      </w:r>
      <w:r>
        <w:instrText xml:space="preserve"> HYPERLINK \l "_Toc24043" </w:instrText>
      </w:r>
      <w:r>
        <w:fldChar w:fldCharType="separate"/>
      </w:r>
      <w:r>
        <w:t>10.4.5建立健全基层水务管理和服务体系</w:t>
      </w:r>
      <w:r>
        <w:tab/>
      </w:r>
      <w:r>
        <w:fldChar w:fldCharType="begin"/>
      </w:r>
      <w:r>
        <w:instrText xml:space="preserve"> PAGEREF _Toc24043 \h </w:instrText>
      </w:r>
      <w:r>
        <w:fldChar w:fldCharType="separate"/>
      </w:r>
      <w:r>
        <w:t>64</w:t>
      </w:r>
      <w:r>
        <w:fldChar w:fldCharType="end"/>
      </w:r>
      <w:r>
        <w:fldChar w:fldCharType="end"/>
      </w:r>
    </w:p>
    <w:p>
      <w:pPr>
        <w:pStyle w:val="18"/>
        <w:tabs>
          <w:tab w:val="right" w:leader="dot" w:pos="9070"/>
        </w:tabs>
        <w:ind w:firstLine="400"/>
        <w:rPr>
          <w:sz w:val="24"/>
          <w:szCs w:val="24"/>
        </w:rPr>
      </w:pPr>
      <w:r>
        <w:fldChar w:fldCharType="begin"/>
      </w:r>
      <w:r>
        <w:instrText xml:space="preserve"> HYPERLINK \l "_Toc11274" </w:instrText>
      </w:r>
      <w:r>
        <w:fldChar w:fldCharType="separate"/>
      </w:r>
      <w:r>
        <w:rPr>
          <w:sz w:val="24"/>
          <w:szCs w:val="24"/>
        </w:rPr>
        <w:t>10.5推进智慧水利建设</w:t>
      </w:r>
      <w:r>
        <w:rPr>
          <w:sz w:val="24"/>
          <w:szCs w:val="24"/>
        </w:rPr>
        <w:tab/>
      </w:r>
      <w:r>
        <w:rPr>
          <w:sz w:val="24"/>
          <w:szCs w:val="24"/>
        </w:rPr>
        <w:fldChar w:fldCharType="begin"/>
      </w:r>
      <w:r>
        <w:rPr>
          <w:sz w:val="24"/>
          <w:szCs w:val="24"/>
        </w:rPr>
        <w:instrText xml:space="preserve"> PAGEREF _Toc11274 \h </w:instrText>
      </w:r>
      <w:r>
        <w:rPr>
          <w:sz w:val="24"/>
          <w:szCs w:val="24"/>
        </w:rPr>
        <w:fldChar w:fldCharType="separate"/>
      </w:r>
      <w:r>
        <w:rPr>
          <w:sz w:val="24"/>
          <w:szCs w:val="24"/>
        </w:rPr>
        <w:t>64</w:t>
      </w:r>
      <w:r>
        <w:rPr>
          <w:sz w:val="24"/>
          <w:szCs w:val="24"/>
        </w:rPr>
        <w:fldChar w:fldCharType="end"/>
      </w:r>
      <w:r>
        <w:rPr>
          <w:sz w:val="24"/>
          <w:szCs w:val="24"/>
        </w:rPr>
        <w:fldChar w:fldCharType="end"/>
      </w:r>
    </w:p>
    <w:p>
      <w:pPr>
        <w:pStyle w:val="17"/>
        <w:tabs>
          <w:tab w:val="right" w:leader="dot" w:pos="9070"/>
        </w:tabs>
        <w:rPr>
          <w:szCs w:val="24"/>
        </w:rPr>
      </w:pPr>
      <w:r>
        <w:fldChar w:fldCharType="begin"/>
      </w:r>
      <w:r>
        <w:instrText xml:space="preserve"> HYPERLINK \l "_Toc12264" </w:instrText>
      </w:r>
      <w:r>
        <w:fldChar w:fldCharType="separate"/>
      </w:r>
      <w:r>
        <w:rPr>
          <w:szCs w:val="24"/>
        </w:rPr>
        <w:t>11 规划项目环境影响评价</w:t>
      </w:r>
      <w:r>
        <w:rPr>
          <w:szCs w:val="24"/>
        </w:rPr>
        <w:tab/>
      </w:r>
      <w:r>
        <w:rPr>
          <w:szCs w:val="24"/>
        </w:rPr>
        <w:fldChar w:fldCharType="begin"/>
      </w:r>
      <w:r>
        <w:rPr>
          <w:szCs w:val="24"/>
        </w:rPr>
        <w:instrText xml:space="preserve"> PAGEREF _Toc12264 \h </w:instrText>
      </w:r>
      <w:r>
        <w:rPr>
          <w:szCs w:val="24"/>
        </w:rPr>
        <w:fldChar w:fldCharType="separate"/>
      </w:r>
      <w:r>
        <w:rPr>
          <w:szCs w:val="24"/>
        </w:rPr>
        <w:t>65</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"_Toc10826" </w:instrText>
      </w:r>
      <w:r>
        <w:fldChar w:fldCharType="separate"/>
      </w:r>
      <w:r>
        <w:rPr>
          <w:sz w:val="24"/>
          <w:szCs w:val="24"/>
        </w:rPr>
        <w:t>11.1规划协调性分析</w:t>
      </w:r>
      <w:r>
        <w:rPr>
          <w:sz w:val="24"/>
          <w:szCs w:val="24"/>
        </w:rPr>
        <w:tab/>
      </w:r>
      <w:r>
        <w:rPr>
          <w:sz w:val="24"/>
          <w:szCs w:val="24"/>
        </w:rPr>
        <w:fldChar w:fldCharType="begin"/>
      </w:r>
      <w:r>
        <w:rPr>
          <w:sz w:val="24"/>
          <w:szCs w:val="24"/>
        </w:rPr>
        <w:instrText xml:space="preserve"> PAGEREF _Toc10826 \h </w:instrText>
      </w:r>
      <w:r>
        <w:rPr>
          <w:sz w:val="24"/>
          <w:szCs w:val="24"/>
        </w:rPr>
        <w:fldChar w:fldCharType="separate"/>
      </w:r>
      <w:r>
        <w:rPr>
          <w:sz w:val="24"/>
          <w:szCs w:val="24"/>
        </w:rPr>
        <w:t>65</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"_Toc30499" </w:instrText>
      </w:r>
      <w:r>
        <w:fldChar w:fldCharType="separate"/>
      </w:r>
      <w:r>
        <w:rPr>
          <w:sz w:val="24"/>
          <w:szCs w:val="24"/>
        </w:rPr>
        <w:t>11.2环境影响分析与评价</w:t>
      </w:r>
      <w:r>
        <w:rPr>
          <w:sz w:val="24"/>
          <w:szCs w:val="24"/>
        </w:rPr>
        <w:tab/>
      </w:r>
      <w:r>
        <w:rPr>
          <w:sz w:val="24"/>
          <w:szCs w:val="24"/>
        </w:rPr>
        <w:fldChar w:fldCharType="begin"/>
      </w:r>
      <w:r>
        <w:rPr>
          <w:sz w:val="24"/>
          <w:szCs w:val="24"/>
        </w:rPr>
        <w:instrText xml:space="preserve"> PAGEREF _Toc30499 \h </w:instrText>
      </w:r>
      <w:r>
        <w:rPr>
          <w:sz w:val="24"/>
          <w:szCs w:val="24"/>
        </w:rPr>
        <w:fldChar w:fldCharType="separate"/>
      </w:r>
      <w:r>
        <w:rPr>
          <w:sz w:val="24"/>
          <w:szCs w:val="24"/>
        </w:rPr>
        <w:t>66</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"_Toc13003" </w:instrText>
      </w:r>
      <w:r>
        <w:fldChar w:fldCharType="separate"/>
      </w:r>
      <w:r>
        <w:rPr>
          <w:sz w:val="24"/>
          <w:szCs w:val="24"/>
        </w:rPr>
        <w:t>11.3环境保护对策</w:t>
      </w:r>
      <w:r>
        <w:rPr>
          <w:sz w:val="24"/>
          <w:szCs w:val="24"/>
        </w:rPr>
        <w:tab/>
      </w:r>
      <w:r>
        <w:rPr>
          <w:sz w:val="24"/>
          <w:szCs w:val="24"/>
        </w:rPr>
        <w:fldChar w:fldCharType="begin"/>
      </w:r>
      <w:r>
        <w:rPr>
          <w:sz w:val="24"/>
          <w:szCs w:val="24"/>
        </w:rPr>
        <w:instrText xml:space="preserve"> PAGEREF _Toc13003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"_Toc22193" </w:instrText>
      </w:r>
      <w:r>
        <w:fldChar w:fldCharType="separate"/>
      </w:r>
      <w:r>
        <w:rPr>
          <w:sz w:val="24"/>
          <w:szCs w:val="24"/>
        </w:rPr>
        <w:t>11.4评价结论及建议</w:t>
      </w:r>
      <w:r>
        <w:rPr>
          <w:sz w:val="24"/>
          <w:szCs w:val="24"/>
        </w:rPr>
        <w:tab/>
      </w:r>
      <w:r>
        <w:rPr>
          <w:sz w:val="24"/>
          <w:szCs w:val="24"/>
        </w:rPr>
        <w:fldChar w:fldCharType="begin"/>
      </w:r>
      <w:r>
        <w:rPr>
          <w:sz w:val="24"/>
          <w:szCs w:val="24"/>
        </w:rPr>
        <w:instrText xml:space="preserve"> PAGEREF _Toc22193 \h </w:instrText>
      </w:r>
      <w:r>
        <w:rPr>
          <w:sz w:val="24"/>
          <w:szCs w:val="24"/>
        </w:rPr>
        <w:fldChar w:fldCharType="separate"/>
      </w:r>
      <w:r>
        <w:rPr>
          <w:sz w:val="24"/>
          <w:szCs w:val="24"/>
        </w:rPr>
        <w:t>68</w:t>
      </w:r>
      <w:r>
        <w:rPr>
          <w:sz w:val="24"/>
          <w:szCs w:val="24"/>
        </w:rPr>
        <w:fldChar w:fldCharType="end"/>
      </w:r>
      <w:r>
        <w:rPr>
          <w:sz w:val="24"/>
          <w:szCs w:val="24"/>
        </w:rPr>
        <w:fldChar w:fldCharType="end"/>
      </w:r>
    </w:p>
    <w:p>
      <w:pPr>
        <w:pStyle w:val="17"/>
        <w:tabs>
          <w:tab w:val="right" w:leader="dot" w:pos="9070"/>
        </w:tabs>
        <w:rPr>
          <w:szCs w:val="24"/>
        </w:rPr>
      </w:pPr>
      <w:r>
        <w:fldChar w:fldCharType="begin"/>
      </w:r>
      <w:r>
        <w:instrText xml:space="preserve"> HYPERLINK \l "_Toc28179" </w:instrText>
      </w:r>
      <w:r>
        <w:fldChar w:fldCharType="separate"/>
      </w:r>
      <w:r>
        <w:rPr>
          <w:szCs w:val="24"/>
        </w:rPr>
        <w:t>12投资匡算</w:t>
      </w:r>
      <w:r>
        <w:rPr>
          <w:szCs w:val="24"/>
        </w:rPr>
        <w:tab/>
      </w:r>
      <w:r>
        <w:rPr>
          <w:szCs w:val="24"/>
        </w:rPr>
        <w:fldChar w:fldCharType="begin"/>
      </w:r>
      <w:r>
        <w:rPr>
          <w:szCs w:val="24"/>
        </w:rPr>
        <w:instrText xml:space="preserve"> PAGEREF _Toc28179 \h </w:instrText>
      </w:r>
      <w:r>
        <w:rPr>
          <w:szCs w:val="24"/>
        </w:rPr>
        <w:fldChar w:fldCharType="separate"/>
      </w:r>
      <w:r>
        <w:rPr>
          <w:szCs w:val="24"/>
        </w:rPr>
        <w:t>69</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"_Toc18332" </w:instrText>
      </w:r>
      <w:r>
        <w:fldChar w:fldCharType="separate"/>
      </w:r>
      <w:r>
        <w:rPr>
          <w:sz w:val="24"/>
          <w:szCs w:val="24"/>
        </w:rPr>
        <w:t>12.1投资匡算</w:t>
      </w:r>
      <w:r>
        <w:rPr>
          <w:sz w:val="24"/>
          <w:szCs w:val="24"/>
        </w:rPr>
        <w:tab/>
      </w:r>
      <w:r>
        <w:rPr>
          <w:sz w:val="24"/>
          <w:szCs w:val="24"/>
        </w:rPr>
        <w:fldChar w:fldCharType="begin"/>
      </w:r>
      <w:r>
        <w:rPr>
          <w:sz w:val="24"/>
          <w:szCs w:val="24"/>
        </w:rPr>
        <w:instrText xml:space="preserve"> PAGEREF _Toc18332 \h </w:instrText>
      </w:r>
      <w:r>
        <w:rPr>
          <w:sz w:val="24"/>
          <w:szCs w:val="24"/>
        </w:rPr>
        <w:fldChar w:fldCharType="separate"/>
      </w:r>
      <w:r>
        <w:rPr>
          <w:sz w:val="24"/>
          <w:szCs w:val="24"/>
        </w:rPr>
        <w:t>69</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"_Toc8482" </w:instrText>
      </w:r>
      <w:r>
        <w:fldChar w:fldCharType="separate"/>
      </w:r>
      <w:r>
        <w:rPr>
          <w:rFonts w:eastAsiaTheme="minorEastAsia"/>
        </w:rPr>
        <w:t>12</w:t>
      </w:r>
      <w:r>
        <w:t>.1.1编制依据</w:t>
      </w:r>
      <w:r>
        <w:tab/>
      </w:r>
      <w:r>
        <w:fldChar w:fldCharType="begin"/>
      </w:r>
      <w:r>
        <w:instrText xml:space="preserve"> PAGEREF _Toc8482 \h </w:instrText>
      </w:r>
      <w:r>
        <w:fldChar w:fldCharType="separate"/>
      </w:r>
      <w:r>
        <w:t>69</w:t>
      </w:r>
      <w:r>
        <w:fldChar w:fldCharType="end"/>
      </w:r>
      <w:r>
        <w:fldChar w:fldCharType="end"/>
      </w:r>
    </w:p>
    <w:p>
      <w:pPr>
        <w:pStyle w:val="12"/>
        <w:tabs>
          <w:tab w:val="right" w:leader="dot" w:pos="9070"/>
        </w:tabs>
        <w:ind w:left="960" w:firstLine="480"/>
      </w:pPr>
      <w:r>
        <w:fldChar w:fldCharType="begin"/>
      </w:r>
      <w:r>
        <w:instrText xml:space="preserve"> HYPERLINK \l "_Toc21147" </w:instrText>
      </w:r>
      <w:r>
        <w:fldChar w:fldCharType="separate"/>
      </w:r>
      <w:r>
        <w:rPr>
          <w:rFonts w:eastAsiaTheme="minorEastAsia"/>
        </w:rPr>
        <w:t>12</w:t>
      </w:r>
      <w:r>
        <w:t>.1.2工程投资匡算</w:t>
      </w:r>
      <w:r>
        <w:tab/>
      </w:r>
      <w:r>
        <w:fldChar w:fldCharType="begin"/>
      </w:r>
      <w:r>
        <w:instrText xml:space="preserve"> PAGEREF _Toc21147 \h </w:instrText>
      </w:r>
      <w:r>
        <w:fldChar w:fldCharType="separate"/>
      </w:r>
      <w:r>
        <w:t>69</w:t>
      </w:r>
      <w:r>
        <w:fldChar w:fldCharType="end"/>
      </w:r>
      <w:r>
        <w:fldChar w:fldCharType="end"/>
      </w:r>
    </w:p>
    <w:p>
      <w:pPr>
        <w:pStyle w:val="18"/>
        <w:tabs>
          <w:tab w:val="right" w:leader="dot" w:pos="9070"/>
        </w:tabs>
        <w:ind w:firstLine="400"/>
        <w:rPr>
          <w:sz w:val="24"/>
          <w:szCs w:val="24"/>
        </w:rPr>
      </w:pPr>
      <w:r>
        <w:fldChar w:fldCharType="begin"/>
      </w:r>
      <w:r>
        <w:instrText xml:space="preserve"> HYPERLINK \l "_Toc29373" </w:instrText>
      </w:r>
      <w:r>
        <w:fldChar w:fldCharType="separate"/>
      </w:r>
      <w:r>
        <w:rPr>
          <w:sz w:val="24"/>
          <w:szCs w:val="24"/>
        </w:rPr>
        <w:t>12.2资金筹措</w:t>
      </w:r>
      <w:r>
        <w:rPr>
          <w:sz w:val="24"/>
          <w:szCs w:val="24"/>
        </w:rPr>
        <w:tab/>
      </w:r>
      <w:r>
        <w:rPr>
          <w:sz w:val="24"/>
          <w:szCs w:val="24"/>
        </w:rPr>
        <w:fldChar w:fldCharType="begin"/>
      </w:r>
      <w:r>
        <w:rPr>
          <w:sz w:val="24"/>
          <w:szCs w:val="24"/>
        </w:rPr>
        <w:instrText xml:space="preserve"> PAGEREF _Toc29373 \h </w:instrText>
      </w:r>
      <w:r>
        <w:rPr>
          <w:sz w:val="24"/>
          <w:szCs w:val="24"/>
        </w:rPr>
        <w:fldChar w:fldCharType="separate"/>
      </w:r>
      <w:r>
        <w:rPr>
          <w:sz w:val="24"/>
          <w:szCs w:val="24"/>
        </w:rPr>
        <w:t>75</w:t>
      </w:r>
      <w:r>
        <w:rPr>
          <w:sz w:val="24"/>
          <w:szCs w:val="24"/>
        </w:rPr>
        <w:fldChar w:fldCharType="end"/>
      </w:r>
      <w:r>
        <w:rPr>
          <w:sz w:val="24"/>
          <w:szCs w:val="24"/>
        </w:rPr>
        <w:fldChar w:fldCharType="end"/>
      </w:r>
    </w:p>
    <w:p>
      <w:pPr>
        <w:pStyle w:val="17"/>
        <w:tabs>
          <w:tab w:val="right" w:leader="dot" w:pos="9070"/>
        </w:tabs>
        <w:rPr>
          <w:szCs w:val="24"/>
        </w:rPr>
      </w:pPr>
      <w:r>
        <w:fldChar w:fldCharType="begin"/>
      </w:r>
      <w:r>
        <w:instrText xml:space="preserve"> HYPERLINK \l "_Toc26787" </w:instrText>
      </w:r>
      <w:r>
        <w:fldChar w:fldCharType="separate"/>
      </w:r>
      <w:r>
        <w:rPr>
          <w:szCs w:val="24"/>
        </w:rPr>
        <w:t>13风险评估</w:t>
      </w:r>
      <w:r>
        <w:rPr>
          <w:szCs w:val="24"/>
        </w:rPr>
        <w:tab/>
      </w:r>
      <w:r>
        <w:rPr>
          <w:szCs w:val="24"/>
        </w:rPr>
        <w:fldChar w:fldCharType="begin"/>
      </w:r>
      <w:r>
        <w:rPr>
          <w:szCs w:val="24"/>
        </w:rPr>
        <w:instrText xml:space="preserve"> PAGEREF _Toc26787 \h </w:instrText>
      </w:r>
      <w:r>
        <w:rPr>
          <w:szCs w:val="24"/>
        </w:rPr>
        <w:fldChar w:fldCharType="separate"/>
      </w:r>
      <w:r>
        <w:rPr>
          <w:szCs w:val="24"/>
        </w:rPr>
        <w:t>76</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"_Toc26686" </w:instrText>
      </w:r>
      <w:r>
        <w:fldChar w:fldCharType="separate"/>
      </w:r>
      <w:r>
        <w:rPr>
          <w:sz w:val="24"/>
          <w:szCs w:val="24"/>
        </w:rPr>
        <w:t>13.1风险因素</w:t>
      </w:r>
      <w:r>
        <w:rPr>
          <w:sz w:val="24"/>
          <w:szCs w:val="24"/>
        </w:rPr>
        <w:tab/>
      </w:r>
      <w:r>
        <w:rPr>
          <w:sz w:val="24"/>
          <w:szCs w:val="24"/>
        </w:rPr>
        <w:fldChar w:fldCharType="begin"/>
      </w:r>
      <w:r>
        <w:rPr>
          <w:sz w:val="24"/>
          <w:szCs w:val="24"/>
        </w:rPr>
        <w:instrText xml:space="preserve"> PAGEREF _Toc26686 \h </w:instrText>
      </w:r>
      <w:r>
        <w:rPr>
          <w:sz w:val="24"/>
          <w:szCs w:val="24"/>
        </w:rPr>
        <w:fldChar w:fldCharType="separate"/>
      </w:r>
      <w:r>
        <w:rPr>
          <w:sz w:val="24"/>
          <w:szCs w:val="24"/>
        </w:rPr>
        <w:t>76</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"_Toc22771" </w:instrText>
      </w:r>
      <w:r>
        <w:fldChar w:fldCharType="separate"/>
      </w:r>
      <w:r>
        <w:rPr>
          <w:sz w:val="24"/>
          <w:szCs w:val="24"/>
        </w:rPr>
        <w:t>13.2风险应对措施</w:t>
      </w:r>
      <w:r>
        <w:rPr>
          <w:sz w:val="24"/>
          <w:szCs w:val="24"/>
        </w:rPr>
        <w:tab/>
      </w:r>
      <w:r>
        <w:rPr>
          <w:sz w:val="24"/>
          <w:szCs w:val="24"/>
        </w:rPr>
        <w:fldChar w:fldCharType="begin"/>
      </w:r>
      <w:r>
        <w:rPr>
          <w:sz w:val="24"/>
          <w:szCs w:val="24"/>
        </w:rPr>
        <w:instrText xml:space="preserve"> PAGEREF _Toc22771 \h </w:instrText>
      </w:r>
      <w:r>
        <w:rPr>
          <w:sz w:val="24"/>
          <w:szCs w:val="24"/>
        </w:rPr>
        <w:fldChar w:fldCharType="separate"/>
      </w:r>
      <w:r>
        <w:rPr>
          <w:sz w:val="24"/>
          <w:szCs w:val="24"/>
        </w:rPr>
        <w:t>77</w:t>
      </w:r>
      <w:r>
        <w:rPr>
          <w:sz w:val="24"/>
          <w:szCs w:val="24"/>
        </w:rPr>
        <w:fldChar w:fldCharType="end"/>
      </w:r>
      <w:r>
        <w:rPr>
          <w:sz w:val="24"/>
          <w:szCs w:val="24"/>
        </w:rPr>
        <w:fldChar w:fldCharType="end"/>
      </w:r>
    </w:p>
    <w:p>
      <w:pPr>
        <w:pStyle w:val="12"/>
        <w:tabs>
          <w:tab w:val="right" w:leader="dot" w:pos="9070"/>
        </w:tabs>
        <w:ind w:left="960" w:firstLine="480"/>
      </w:pPr>
      <w:r>
        <w:fldChar w:fldCharType="begin"/>
      </w:r>
      <w:r>
        <w:instrText xml:space="preserve"> HYPERLINK \l "_Toc15860" </w:instrText>
      </w:r>
      <w:r>
        <w:fldChar w:fldCharType="separate"/>
      </w:r>
      <w:r>
        <w:rPr>
          <w:rFonts w:eastAsiaTheme="majorEastAsia"/>
        </w:rPr>
        <w:t>13.2.1应急处置方案</w:t>
      </w:r>
      <w:r>
        <w:tab/>
      </w:r>
      <w:r>
        <w:fldChar w:fldCharType="begin"/>
      </w:r>
      <w:r>
        <w:instrText xml:space="preserve"> PAGEREF _Toc15860 \h </w:instrText>
      </w:r>
      <w:r>
        <w:fldChar w:fldCharType="separate"/>
      </w:r>
      <w:r>
        <w:t>77</w:t>
      </w:r>
      <w:r>
        <w:fldChar w:fldCharType="end"/>
      </w:r>
      <w:r>
        <w:fldChar w:fldCharType="end"/>
      </w:r>
    </w:p>
    <w:p>
      <w:pPr>
        <w:pStyle w:val="12"/>
        <w:tabs>
          <w:tab w:val="right" w:leader="dot" w:pos="9070"/>
        </w:tabs>
        <w:ind w:left="960" w:firstLine="480"/>
      </w:pPr>
      <w:r>
        <w:fldChar w:fldCharType="begin"/>
      </w:r>
      <w:r>
        <w:instrText xml:space="preserve"> HYPERLINK \l "_Toc6278" </w:instrText>
      </w:r>
      <w:r>
        <w:fldChar w:fldCharType="separate"/>
      </w:r>
      <w:r>
        <w:t>13.2.2</w:t>
      </w:r>
      <w:r>
        <w:rPr>
          <w:rFonts w:eastAsiaTheme="majorEastAsia"/>
        </w:rPr>
        <w:t>风险防范化解措施</w:t>
      </w:r>
      <w:r>
        <w:tab/>
      </w:r>
      <w:r>
        <w:fldChar w:fldCharType="begin"/>
      </w:r>
      <w:r>
        <w:instrText xml:space="preserve"> PAGEREF _Toc6278 \h </w:instrText>
      </w:r>
      <w:r>
        <w:fldChar w:fldCharType="separate"/>
      </w:r>
      <w:r>
        <w:t>78</w:t>
      </w:r>
      <w:r>
        <w:fldChar w:fldCharType="end"/>
      </w:r>
      <w:r>
        <w:fldChar w:fldCharType="end"/>
      </w:r>
    </w:p>
    <w:p>
      <w:pPr>
        <w:pStyle w:val="17"/>
        <w:tabs>
          <w:tab w:val="right" w:leader="dot" w:pos="9070"/>
        </w:tabs>
        <w:rPr>
          <w:szCs w:val="24"/>
        </w:rPr>
      </w:pPr>
      <w:r>
        <w:fldChar w:fldCharType="begin"/>
      </w:r>
      <w:r>
        <w:instrText xml:space="preserve"> HYPERLINK \l "_Toc8006" </w:instrText>
      </w:r>
      <w:r>
        <w:fldChar w:fldCharType="separate"/>
      </w:r>
      <w:r>
        <w:rPr>
          <w:szCs w:val="24"/>
        </w:rPr>
        <w:t>14保障措施</w:t>
      </w:r>
      <w:r>
        <w:rPr>
          <w:szCs w:val="24"/>
        </w:rPr>
        <w:tab/>
      </w:r>
      <w:r>
        <w:rPr>
          <w:szCs w:val="24"/>
        </w:rPr>
        <w:fldChar w:fldCharType="begin"/>
      </w:r>
      <w:r>
        <w:rPr>
          <w:szCs w:val="24"/>
        </w:rPr>
        <w:instrText xml:space="preserve"> PAGEREF _Toc8006 \h </w:instrText>
      </w:r>
      <w:r>
        <w:rPr>
          <w:szCs w:val="24"/>
        </w:rPr>
        <w:fldChar w:fldCharType="separate"/>
      </w:r>
      <w:r>
        <w:rPr>
          <w:szCs w:val="24"/>
        </w:rPr>
        <w:t>80</w:t>
      </w:r>
      <w:r>
        <w:rPr>
          <w:szCs w:val="24"/>
        </w:rPr>
        <w:fldChar w:fldCharType="end"/>
      </w:r>
      <w:r>
        <w:rPr>
          <w:szCs w:val="24"/>
        </w:rPr>
        <w:fldChar w:fldCharType="end"/>
      </w:r>
    </w:p>
    <w:p>
      <w:pPr>
        <w:pStyle w:val="18"/>
        <w:tabs>
          <w:tab w:val="right" w:leader="dot" w:pos="9070"/>
        </w:tabs>
        <w:ind w:firstLine="400"/>
        <w:rPr>
          <w:sz w:val="24"/>
          <w:szCs w:val="24"/>
        </w:rPr>
      </w:pPr>
      <w:r>
        <w:fldChar w:fldCharType="begin"/>
      </w:r>
      <w:r>
        <w:instrText xml:space="preserve"> HYPERLINK \l "_Toc28176" </w:instrText>
      </w:r>
      <w:r>
        <w:fldChar w:fldCharType="separate"/>
      </w:r>
      <w:r>
        <w:rPr>
          <w:sz w:val="24"/>
          <w:szCs w:val="24"/>
        </w:rPr>
        <w:t>14.1加强水法制宣传教育</w:t>
      </w:r>
      <w:r>
        <w:rPr>
          <w:sz w:val="24"/>
          <w:szCs w:val="24"/>
        </w:rPr>
        <w:tab/>
      </w:r>
      <w:r>
        <w:rPr>
          <w:sz w:val="24"/>
          <w:szCs w:val="24"/>
        </w:rPr>
        <w:fldChar w:fldCharType="begin"/>
      </w:r>
      <w:r>
        <w:rPr>
          <w:sz w:val="24"/>
          <w:szCs w:val="24"/>
        </w:rPr>
        <w:instrText xml:space="preserve"> PAGEREF _Toc28176 \h </w:instrText>
      </w:r>
      <w:r>
        <w:rPr>
          <w:sz w:val="24"/>
          <w:szCs w:val="24"/>
        </w:rPr>
        <w:fldChar w:fldCharType="separate"/>
      </w:r>
      <w:r>
        <w:rPr>
          <w:sz w:val="24"/>
          <w:szCs w:val="24"/>
        </w:rPr>
        <w:t>80</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"_Toc9537" </w:instrText>
      </w:r>
      <w:r>
        <w:fldChar w:fldCharType="separate"/>
      </w:r>
      <w:r>
        <w:rPr>
          <w:sz w:val="24"/>
          <w:szCs w:val="24"/>
        </w:rPr>
        <w:t>14.2建立健全水务发展机制</w:t>
      </w:r>
      <w:r>
        <w:rPr>
          <w:sz w:val="24"/>
          <w:szCs w:val="24"/>
        </w:rPr>
        <w:tab/>
      </w:r>
      <w:r>
        <w:rPr>
          <w:sz w:val="24"/>
          <w:szCs w:val="24"/>
        </w:rPr>
        <w:fldChar w:fldCharType="begin"/>
      </w:r>
      <w:r>
        <w:rPr>
          <w:sz w:val="24"/>
          <w:szCs w:val="24"/>
        </w:rPr>
        <w:instrText xml:space="preserve"> PAGEREF _Toc9537 \h </w:instrText>
      </w:r>
      <w:r>
        <w:rPr>
          <w:sz w:val="24"/>
          <w:szCs w:val="24"/>
        </w:rPr>
        <w:fldChar w:fldCharType="separate"/>
      </w:r>
      <w:r>
        <w:rPr>
          <w:sz w:val="24"/>
          <w:szCs w:val="24"/>
        </w:rPr>
        <w:t>80</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"_Toc28405" </w:instrText>
      </w:r>
      <w:r>
        <w:fldChar w:fldCharType="separate"/>
      </w:r>
      <w:r>
        <w:rPr>
          <w:sz w:val="24"/>
          <w:szCs w:val="24"/>
        </w:rPr>
        <w:t>14.3 建立巡视督察机制</w:t>
      </w:r>
      <w:r>
        <w:rPr>
          <w:sz w:val="24"/>
          <w:szCs w:val="24"/>
        </w:rPr>
        <w:tab/>
      </w:r>
      <w:r>
        <w:rPr>
          <w:sz w:val="24"/>
          <w:szCs w:val="24"/>
        </w:rPr>
        <w:fldChar w:fldCharType="begin"/>
      </w:r>
      <w:r>
        <w:rPr>
          <w:sz w:val="24"/>
          <w:szCs w:val="24"/>
        </w:rPr>
        <w:instrText xml:space="preserve"> PAGEREF _Toc28405 \h </w:instrText>
      </w:r>
      <w:r>
        <w:rPr>
          <w:sz w:val="24"/>
          <w:szCs w:val="24"/>
        </w:rPr>
        <w:fldChar w:fldCharType="separate"/>
      </w:r>
      <w:r>
        <w:rPr>
          <w:sz w:val="24"/>
          <w:szCs w:val="24"/>
        </w:rPr>
        <w:t>80</w:t>
      </w:r>
      <w:r>
        <w:rPr>
          <w:sz w:val="24"/>
          <w:szCs w:val="24"/>
        </w:rPr>
        <w:fldChar w:fldCharType="end"/>
      </w:r>
      <w:r>
        <w:rPr>
          <w:sz w:val="24"/>
          <w:szCs w:val="24"/>
        </w:rPr>
        <w:fldChar w:fldCharType="end"/>
      </w:r>
    </w:p>
    <w:p>
      <w:pPr>
        <w:pStyle w:val="18"/>
        <w:tabs>
          <w:tab w:val="right" w:leader="dot" w:pos="9070"/>
        </w:tabs>
        <w:ind w:firstLine="400"/>
        <w:rPr>
          <w:sz w:val="24"/>
          <w:szCs w:val="24"/>
        </w:rPr>
      </w:pPr>
      <w:r>
        <w:fldChar w:fldCharType="begin"/>
      </w:r>
      <w:r>
        <w:instrText xml:space="preserve"> HYPERLINK \l "_Toc30259" </w:instrText>
      </w:r>
      <w:r>
        <w:fldChar w:fldCharType="separate"/>
      </w:r>
      <w:r>
        <w:rPr>
          <w:sz w:val="24"/>
          <w:szCs w:val="24"/>
        </w:rPr>
        <w:t>14.4强化执法、依法治水</w:t>
      </w:r>
      <w:r>
        <w:rPr>
          <w:sz w:val="24"/>
          <w:szCs w:val="24"/>
        </w:rPr>
        <w:tab/>
      </w:r>
      <w:r>
        <w:rPr>
          <w:sz w:val="24"/>
          <w:szCs w:val="24"/>
        </w:rPr>
        <w:fldChar w:fldCharType="begin"/>
      </w:r>
      <w:r>
        <w:rPr>
          <w:sz w:val="24"/>
          <w:szCs w:val="24"/>
        </w:rPr>
        <w:instrText xml:space="preserve"> PAGEREF _Toc30259 \h </w:instrText>
      </w:r>
      <w:r>
        <w:rPr>
          <w:sz w:val="24"/>
          <w:szCs w:val="24"/>
        </w:rPr>
        <w:fldChar w:fldCharType="separate"/>
      </w:r>
      <w:r>
        <w:rPr>
          <w:sz w:val="24"/>
          <w:szCs w:val="24"/>
        </w:rPr>
        <w:t>81</w:t>
      </w:r>
      <w:r>
        <w:rPr>
          <w:sz w:val="24"/>
          <w:szCs w:val="24"/>
        </w:rPr>
        <w:fldChar w:fldCharType="end"/>
      </w:r>
      <w:r>
        <w:rPr>
          <w:sz w:val="24"/>
          <w:szCs w:val="24"/>
        </w:rPr>
        <w:fldChar w:fldCharType="end"/>
      </w:r>
    </w:p>
    <w:p>
      <w:pPr>
        <w:pStyle w:val="18"/>
        <w:tabs>
          <w:tab w:val="right" w:leader="dot" w:pos="9070"/>
        </w:tabs>
        <w:ind w:firstLine="400"/>
      </w:pPr>
      <w:r>
        <w:fldChar w:fldCharType="begin"/>
      </w:r>
      <w:r>
        <w:instrText xml:space="preserve"> HYPERLINK \l "_Toc23768" </w:instrText>
      </w:r>
      <w:r>
        <w:fldChar w:fldCharType="separate"/>
      </w:r>
      <w:r>
        <w:rPr>
          <w:sz w:val="24"/>
          <w:szCs w:val="24"/>
        </w:rPr>
        <w:t>14.5强化基层水务管理队伍建设</w:t>
      </w:r>
      <w:r>
        <w:rPr>
          <w:sz w:val="24"/>
          <w:szCs w:val="24"/>
        </w:rPr>
        <w:tab/>
      </w:r>
      <w:r>
        <w:rPr>
          <w:sz w:val="24"/>
          <w:szCs w:val="24"/>
        </w:rPr>
        <w:fldChar w:fldCharType="begin"/>
      </w:r>
      <w:r>
        <w:rPr>
          <w:sz w:val="24"/>
          <w:szCs w:val="24"/>
        </w:rPr>
        <w:instrText xml:space="preserve"> PAGEREF _Toc23768 \h </w:instrText>
      </w:r>
      <w:r>
        <w:rPr>
          <w:sz w:val="24"/>
          <w:szCs w:val="24"/>
        </w:rPr>
        <w:fldChar w:fldCharType="separate"/>
      </w:r>
      <w:r>
        <w:rPr>
          <w:sz w:val="24"/>
          <w:szCs w:val="24"/>
        </w:rPr>
        <w:t>82</w:t>
      </w:r>
      <w:r>
        <w:rPr>
          <w:sz w:val="24"/>
          <w:szCs w:val="24"/>
        </w:rPr>
        <w:fldChar w:fldCharType="end"/>
      </w:r>
      <w:r>
        <w:rPr>
          <w:sz w:val="24"/>
          <w:szCs w:val="24"/>
        </w:rPr>
        <w:fldChar w:fldCharType="end"/>
      </w:r>
    </w:p>
    <w:p>
      <w:pPr>
        <w:spacing w:line="240" w:lineRule="auto"/>
        <w:ind w:firstLine="480"/>
        <w:rPr>
          <w:rFonts w:eastAsia="黑体"/>
        </w:rPr>
      </w:pPr>
      <w:r>
        <w:rPr>
          <w:rFonts w:eastAsia="黑体"/>
        </w:rPr>
        <w:fldChar w:fldCharType="end"/>
      </w:r>
    </w:p>
    <w:p>
      <w:pPr>
        <w:ind w:firstLine="480"/>
      </w:pPr>
    </w:p>
    <w:p>
      <w:pPr>
        <w:spacing w:line="360" w:lineRule="auto"/>
        <w:ind w:firstLine="480"/>
        <w:rPr>
          <w:rFonts w:eastAsia="黑体"/>
        </w:rPr>
      </w:pPr>
    </w:p>
    <w:p>
      <w:pPr>
        <w:spacing w:line="360" w:lineRule="auto"/>
        <w:ind w:firstLine="480"/>
        <w:rPr>
          <w:rFonts w:eastAsiaTheme="minorEastAsia"/>
        </w:rPr>
        <w:sectPr>
          <w:headerReference r:id="rId11" w:type="default"/>
          <w:footerReference r:id="rId12" w:type="default"/>
          <w:pgSz w:w="11906" w:h="16838"/>
          <w:pgMar w:top="1418" w:right="1418" w:bottom="1418" w:left="1418" w:header="851" w:footer="992" w:gutter="0"/>
          <w:pgNumType w:start="1"/>
          <w:cols w:space="720" w:num="1"/>
          <w:docGrid w:linePitch="312" w:charSpace="0"/>
        </w:sectPr>
      </w:pPr>
    </w:p>
    <w:p>
      <w:pPr>
        <w:pStyle w:val="5"/>
        <w:ind w:firstLine="0" w:firstLineChars="0"/>
        <w:rPr>
          <w:rStyle w:val="32"/>
          <w:rFonts w:ascii="Times New Roman" w:hAnsi="Times New Roman"/>
          <w:b w:val="0"/>
          <w:bCs w:val="0"/>
          <w:kern w:val="2"/>
          <w:sz w:val="24"/>
          <w:szCs w:val="24"/>
        </w:rPr>
      </w:pPr>
      <w:bookmarkStart w:id="36" w:name="_Toc29984"/>
      <w:bookmarkStart w:id="37" w:name="_Toc20549"/>
      <w:bookmarkStart w:id="38" w:name="_Toc5568"/>
      <w:bookmarkStart w:id="39" w:name="_Toc8801"/>
      <w:r>
        <w:rPr>
          <w:rStyle w:val="32"/>
          <w:rFonts w:ascii="Times New Roman" w:hAnsi="Times New Roman"/>
          <w:sz w:val="24"/>
          <w:szCs w:val="24"/>
        </w:rPr>
        <w:t>前言</w:t>
      </w:r>
      <w:bookmarkEnd w:id="36"/>
      <w:bookmarkEnd w:id="37"/>
      <w:bookmarkEnd w:id="38"/>
      <w:bookmarkEnd w:id="39"/>
    </w:p>
    <w:p>
      <w:pPr>
        <w:ind w:firstLine="480"/>
      </w:pPr>
      <w:r>
        <w:rPr>
          <w:rFonts w:hint="eastAsia"/>
        </w:rPr>
        <w:t>2019年</w:t>
      </w:r>
      <w:r>
        <w:t>水利部规计司下发</w:t>
      </w:r>
      <w:r>
        <w:rPr>
          <w:rFonts w:hint="eastAsia"/>
        </w:rPr>
        <w:t>了</w:t>
      </w:r>
      <w:r>
        <w:t>《关于抓紧做好水利改革发展“十四五”规划思路报告编制工作的预通知》</w:t>
      </w:r>
      <w:r>
        <w:rPr>
          <w:rFonts w:hint="eastAsia"/>
        </w:rPr>
        <w:t>，对</w:t>
      </w:r>
      <w:r>
        <w:t>“十四五”规划报告的编制工作</w:t>
      </w:r>
      <w:r>
        <w:rPr>
          <w:rFonts w:hint="eastAsia"/>
        </w:rPr>
        <w:t>提前进行安排部署</w:t>
      </w:r>
      <w:r>
        <w:t>，</w:t>
      </w:r>
      <w:r>
        <w:rPr>
          <w:rFonts w:hint="eastAsia"/>
        </w:rPr>
        <w:t>也</w:t>
      </w:r>
      <w:r>
        <w:t>为“十四五”及今后一个时期的水利发展方向指明方向，要求各省、自治区、直辖市水利（水务）厅（局）等单位，按照国家关于“十四五”规划的总体部署，组织提前做好“十四五”规划报告的编制工作，昆明市按照有关要求开展市级水利改革发展“十四五”规划工作，同时要求各县区在配合市级水利改革发展“十四五”规划工作的同时，也要做好各县区县级水利改革发展“十四五”规划工作。</w:t>
      </w:r>
    </w:p>
    <w:p>
      <w:pPr>
        <w:ind w:firstLine="480"/>
      </w:pPr>
      <w:r>
        <w:rPr>
          <w:rFonts w:hint="eastAsia"/>
        </w:rPr>
        <w:t>根据</w:t>
      </w:r>
      <w:r>
        <w:t>2020年4月云南省水利水电勘测设计研究院印发的“十四五”水安全保障规划编制提纲，本次昆明市官渡区”十四五”水安全保障规划共划分为</w:t>
      </w:r>
      <w:r>
        <w:rPr>
          <w:rFonts w:hint="eastAsia"/>
        </w:rPr>
        <w:t>8</w:t>
      </w:r>
      <w:r>
        <w:t>个领域，即：以水定需，全面推进节水型社会建设；防治并重，完善江河安澜的防洪体系；质量统筹，构建空间均衡的水资源配置体系；防治结合，恢复水清岸绿的水生态体系；多措并举，加强城乡一体的供水体系</w:t>
      </w:r>
      <w:r>
        <w:rPr>
          <w:rFonts w:hint="eastAsia"/>
        </w:rPr>
        <w:t>建设</w:t>
      </w:r>
      <w:r>
        <w:t>；稳步推进，健全调控精准的智慧水利体系；提质增效，保障水工程安全；改革创新，推进水治理能力现代化</w:t>
      </w:r>
      <w:r>
        <w:rPr>
          <w:rFonts w:hint="eastAsia"/>
        </w:rPr>
        <w:t>。</w:t>
      </w:r>
    </w:p>
    <w:p>
      <w:pPr>
        <w:ind w:firstLine="480"/>
      </w:pPr>
      <w:r>
        <w:t>昆明市官渡区“十四五”水安全保障规划共计规划实施项目4类</w:t>
      </w:r>
      <w:r>
        <w:rPr>
          <w:rFonts w:hint="eastAsia"/>
        </w:rPr>
        <w:t>25</w:t>
      </w:r>
      <w:r>
        <w:t>件，估算工程总投资</w:t>
      </w:r>
      <w:r>
        <w:rPr>
          <w:rFonts w:hint="eastAsia"/>
        </w:rPr>
        <w:t>约92.50</w:t>
      </w:r>
      <w:r>
        <w:t>亿元。</w:t>
      </w:r>
    </w:p>
    <w:p>
      <w:pPr>
        <w:pStyle w:val="5"/>
        <w:ind w:firstLine="602"/>
        <w:sectPr>
          <w:footerReference r:id="rId13" w:type="default"/>
          <w:pgSz w:w="11906" w:h="16838"/>
          <w:pgMar w:top="1440" w:right="1803" w:bottom="1440" w:left="1803" w:header="851" w:footer="992" w:gutter="0"/>
          <w:pgNumType w:start="1"/>
          <w:cols w:space="0" w:num="1"/>
          <w:docGrid w:type="lines" w:linePitch="395" w:charSpace="0"/>
        </w:sectPr>
      </w:pPr>
      <w:bookmarkStart w:id="40" w:name="_Toc7397"/>
      <w:bookmarkStart w:id="41" w:name="_Toc27109"/>
    </w:p>
    <w:p>
      <w:pPr>
        <w:pStyle w:val="5"/>
        <w:ind w:firstLine="602"/>
      </w:pPr>
      <w:r>
        <w:t>1概述</w:t>
      </w:r>
      <w:bookmarkEnd w:id="40"/>
      <w:bookmarkEnd w:id="41"/>
    </w:p>
    <w:p>
      <w:pPr>
        <w:pStyle w:val="6"/>
        <w:rPr>
          <w:szCs w:val="24"/>
        </w:rPr>
      </w:pPr>
      <w:bookmarkStart w:id="42" w:name="_Toc21534"/>
      <w:bookmarkStart w:id="43" w:name="_Toc1080"/>
      <w:r>
        <w:rPr>
          <w:szCs w:val="24"/>
        </w:rPr>
        <w:t>1.1规划背景</w:t>
      </w:r>
      <w:bookmarkEnd w:id="42"/>
      <w:bookmarkEnd w:id="43"/>
    </w:p>
    <w:p>
      <w:pPr>
        <w:ind w:firstLine="480"/>
      </w:pPr>
      <w:r>
        <w:t>党的十九大提出，要深化供给侧结构性改革，加强水利、铁路、公路、水运、航空、管道、电网、信息、物流等基础设施网络建设；要坚决破除一切不合时宜的思想观念和体制机制弊端，突破利益固化的藩篱，吸收人类文明有益成果，不断推进国家治理体系和治理能力现代化。</w:t>
      </w:r>
    </w:p>
    <w:p>
      <w:pPr>
        <w:ind w:firstLine="480"/>
      </w:pPr>
      <w:r>
        <w:t>水利作为国民经济的基础和命脉，要按照十九大的要求，巩固提升已有水利基础设施网络，按“确有需要、生态安全、可以持续”的要求，新建一批“打基础、管长远、惠民生”的重大水利工程，打造“标准较高、工程配套、功能完备、调度科学”的水利基础设施网络，要按照“体制顺畅、制度健全、运行高效、智能精细”的要求，贯彻水资源、水生态、水环境、水灾害统筹治理的治水新思路，推进水治理体系和治理能力现代化。</w:t>
      </w:r>
    </w:p>
    <w:p>
      <w:pPr>
        <w:ind w:firstLine="480"/>
      </w:pPr>
      <w:r>
        <w:t>党的十九大指出，农业农村农民问题是关系国计民生的根本性问题，必须始终把解决好“三农”问题作为全党工作的重中之重，实施乡村振兴战略。水利不仅是农业的命脉，更是乡村振兴战略的命脉。</w:t>
      </w:r>
    </w:p>
    <w:p>
      <w:pPr>
        <w:ind w:firstLine="480"/>
      </w:pPr>
      <w:r>
        <w:t>习近平总书记“3.14”讲话强调指出：水安全是涉及国家长治久安的大事，全党要大力增强水忧患意识、水危机意识，从全面建成小康社会、实现中华民族永续发展的战略高度，重视解决好水的问题。</w:t>
      </w:r>
    </w:p>
    <w:p>
      <w:pPr>
        <w:ind w:firstLine="480"/>
      </w:pPr>
      <w:r>
        <w:t>习近平总书记提出的“节水优先、空间均衡、系统治理、两手发力”的新时期治水方针，为“十四五”及今后一个时期水务发展保障指明了方向，水利部规计司下发了《关于抓紧做好水利改革发展“十四五”规划思路报告编制工作的预通知》，要求各省、自治区、直辖市水利（水务）厅（局）等单位，按照国家关于“十四五”规划的总体部署，组织提前做好“十四五”规划报告的编制工作，2020年3月云南省水利厅成立“十四五”水安全保障规划编制工作领导小组，并下发《云南省水利厅关于印发云南省“十四五”水安全保障规划编制工作方案的通知》（云水规计〔2020〕12号），明确规划工作的主要任务，并牵头组织省内各州市、各县区进行集中培训和交流，正式开展“十四五”水安全保障规划编制工作。“十四五”水安全保障规划期限为2021-2025年。昆明市按照有关要求开展市级水利改革发展“十四五”规划工作，同时要求各县区在配合市级水利改革发展“十四五”规划工作的同时，也要做好各县区县级水利改革发展“十四五”规划工作。</w:t>
      </w:r>
    </w:p>
    <w:p>
      <w:pPr>
        <w:ind w:firstLine="480"/>
      </w:pPr>
      <w:r>
        <w:t>2020年5月</w:t>
      </w:r>
      <w:r>
        <w:rPr>
          <w:rFonts w:hint="eastAsia"/>
        </w:rPr>
        <w:t>官渡区</w:t>
      </w:r>
      <w:r>
        <w:t>委托昆明市水利水电勘测设计研究院有限责任公司承担官渡区“十四五”水安全保障相关规划工作。作为指导“十四五”时期水务发展的纲领性文件，《昆明市官渡区“十四五”水安全保障规划》在治水思路上坚决贯彻“节水优先、空间均衡、系统治理、两手发力”的新时期中央治水方针，逐步构建完善的水务发展体系的重大水利项目建设要求，坚持“四个结合”，为的社会经济健康快速发展提供坚强有力的水利保障。</w:t>
      </w:r>
    </w:p>
    <w:p>
      <w:pPr>
        <w:ind w:firstLine="480"/>
      </w:pPr>
      <w:r>
        <w:t>2020年4月云南省水利水电勘测设计研究院印发的“十四五”水安全保障规划编制提纲，本报告根据编制提纲对报告进行相关编制工作。</w:t>
      </w:r>
    </w:p>
    <w:p>
      <w:pPr>
        <w:pStyle w:val="6"/>
        <w:rPr>
          <w:szCs w:val="24"/>
        </w:rPr>
      </w:pPr>
      <w:bookmarkStart w:id="44" w:name="_Toc17625"/>
      <w:bookmarkStart w:id="45" w:name="_Toc7642"/>
      <w:r>
        <w:rPr>
          <w:szCs w:val="24"/>
        </w:rPr>
        <w:t>1.2基本概况</w:t>
      </w:r>
      <w:bookmarkEnd w:id="44"/>
      <w:bookmarkEnd w:id="45"/>
    </w:p>
    <w:p>
      <w:pPr>
        <w:pStyle w:val="2"/>
        <w:rPr>
          <w:rFonts w:cs="Times New Roman"/>
          <w:szCs w:val="24"/>
        </w:rPr>
      </w:pPr>
      <w:bookmarkStart w:id="46" w:name="_Toc20324"/>
      <w:r>
        <w:rPr>
          <w:rFonts w:cs="Times New Roman"/>
          <w:szCs w:val="24"/>
        </w:rPr>
        <w:t>1.2.1自然概况</w:t>
      </w:r>
      <w:bookmarkEnd w:id="46"/>
    </w:p>
    <w:p>
      <w:pPr>
        <w:pStyle w:val="3"/>
        <w:rPr>
          <w:rStyle w:val="32"/>
          <w:rFonts w:ascii="Times New Roman" w:hAnsi="Times New Roman" w:eastAsia="宋体" w:cs="Times New Roman"/>
          <w:sz w:val="24"/>
          <w:szCs w:val="24"/>
        </w:rPr>
      </w:pPr>
      <w:r>
        <w:rPr>
          <w:rStyle w:val="32"/>
          <w:rFonts w:ascii="Times New Roman" w:hAnsi="Times New Roman" w:eastAsia="宋体" w:cs="Times New Roman"/>
          <w:sz w:val="24"/>
          <w:szCs w:val="24"/>
        </w:rPr>
        <w:t>1.2.1.1地理位置、人口</w:t>
      </w:r>
    </w:p>
    <w:p>
      <w:pPr>
        <w:ind w:firstLine="480"/>
        <w:rPr>
          <w:kern w:val="0"/>
        </w:rPr>
      </w:pPr>
      <w:r>
        <w:t>官渡区因官渡古渡口而得名，位于云南省中部偏北，是昆明市四个主城区之一，位于昆明主城东南、滇池北岸，东邻宜良县，南接呈贡区，东北与嵩明县交界，西南濒临滇池，西北与盘龙区相接，西与西山区相连。东西宽39.8km，南北长38.7km，全区土地总面积632.91km</w:t>
      </w:r>
      <w:r>
        <w:rPr>
          <w:vertAlign w:val="superscript"/>
        </w:rPr>
        <w:t>2</w:t>
      </w:r>
      <w:r>
        <w:t>，辖10个街道办事处。2008年阿拉街道托管至经开区，2014年大板桥街道托管至空港经济区，目前实际管辖8个街道办事处（关上、太和、吴井、金马、官渡、小板桥、六甲和矣六），国土总面积128.85km</w:t>
      </w:r>
      <w:r>
        <w:rPr>
          <w:vertAlign w:val="superscript"/>
        </w:rPr>
        <w:t>2</w:t>
      </w:r>
      <w:r>
        <w:t>，另辖滇池水域35.18km</w:t>
      </w:r>
      <w:r>
        <w:rPr>
          <w:vertAlign w:val="superscript"/>
        </w:rPr>
        <w:t>2</w:t>
      </w:r>
      <w:r>
        <w:t>。</w:t>
      </w:r>
    </w:p>
    <w:p>
      <w:pPr>
        <w:ind w:firstLine="480"/>
      </w:pPr>
      <w:r>
        <w:rPr>
          <w:kern w:val="0"/>
        </w:rPr>
        <w:t>2020年末总人口160.23万人。</w:t>
      </w:r>
    </w:p>
    <w:p>
      <w:pPr>
        <w:pStyle w:val="3"/>
        <w:rPr>
          <w:rFonts w:cs="Times New Roman"/>
          <w:szCs w:val="24"/>
        </w:rPr>
      </w:pPr>
      <w:r>
        <w:rPr>
          <w:rFonts w:cs="Times New Roman"/>
          <w:szCs w:val="24"/>
        </w:rPr>
        <w:t>1.2.</w:t>
      </w:r>
      <w:r>
        <w:rPr>
          <w:rFonts w:eastAsia="宋体" w:cs="Times New Roman"/>
          <w:szCs w:val="24"/>
        </w:rPr>
        <w:t>1.</w:t>
      </w:r>
      <w:r>
        <w:rPr>
          <w:rFonts w:cs="Times New Roman"/>
          <w:szCs w:val="24"/>
        </w:rPr>
        <w:t>2地形、地貌</w:t>
      </w:r>
    </w:p>
    <w:p>
      <w:pPr>
        <w:ind w:firstLine="480"/>
      </w:pPr>
      <w:r>
        <w:t>官渡区境内地貌由高原盆地、丘陵和中、低山构成；地势东北高、西南低，由东北呈阶梯状逐渐向西南倾斜，东北部属中山地区，中部属低山丘陵地区，南部、东南部和西南部为平坝区，与滇池相连。中山区在北、东部和东南部，低山丘陵区分布在中部，全区海拔在1886.6～2731m之间，平坝地区海拔为1900～2000m之间，属于低纬度高海拔地区。</w:t>
      </w:r>
    </w:p>
    <w:p>
      <w:pPr>
        <w:pStyle w:val="3"/>
        <w:rPr>
          <w:rFonts w:cs="Times New Roman"/>
          <w:kern w:val="0"/>
          <w:szCs w:val="24"/>
        </w:rPr>
      </w:pPr>
      <w:r>
        <w:rPr>
          <w:rFonts w:cs="Times New Roman"/>
          <w:szCs w:val="24"/>
        </w:rPr>
        <w:t>1.2.</w:t>
      </w:r>
      <w:r>
        <w:rPr>
          <w:rFonts w:eastAsia="宋体" w:cs="Times New Roman"/>
          <w:szCs w:val="24"/>
        </w:rPr>
        <w:t>1.</w:t>
      </w:r>
      <w:r>
        <w:rPr>
          <w:rFonts w:cs="Times New Roman"/>
          <w:szCs w:val="24"/>
        </w:rPr>
        <w:t>3</w:t>
      </w:r>
      <w:r>
        <w:rPr>
          <w:rFonts w:cs="Times New Roman"/>
          <w:kern w:val="0"/>
          <w:szCs w:val="24"/>
        </w:rPr>
        <w:t>水资源</w:t>
      </w:r>
    </w:p>
    <w:p>
      <w:pPr>
        <w:ind w:firstLine="480"/>
      </w:pPr>
      <w:r>
        <w:t>现辖区面积128.85km</w:t>
      </w:r>
      <w:r>
        <w:rPr>
          <w:vertAlign w:val="superscript"/>
        </w:rPr>
        <w:t>2</w:t>
      </w:r>
      <w:r>
        <w:t>，均属滇池流域。根据《云南省水资源调查评价专题报告（水资源四级区）》，滇池流域多年平均径流深245.6mm，则多年平均径流量约为0.3165亿m</w:t>
      </w:r>
      <w:r>
        <w:rPr>
          <w:vertAlign w:val="superscript"/>
        </w:rPr>
        <w:t>3</w:t>
      </w:r>
      <w:r>
        <w:t>。</w:t>
      </w:r>
      <w:r>
        <w:rPr>
          <w:rFonts w:hint="eastAsia"/>
        </w:rPr>
        <w:t>官渡区</w:t>
      </w:r>
      <w:r>
        <w:t>人均水资源量远低于全省4771m</w:t>
      </w:r>
      <w:r>
        <w:rPr>
          <w:vertAlign w:val="superscript"/>
        </w:rPr>
        <w:t>3</w:t>
      </w:r>
      <w:r>
        <w:t>/年•人、全国约2200m</w:t>
      </w:r>
      <w:r>
        <w:rPr>
          <w:vertAlign w:val="superscript"/>
        </w:rPr>
        <w:t>3</w:t>
      </w:r>
      <w:r>
        <w:t>/年•人的水平和国际公认的1700m</w:t>
      </w:r>
      <w:r>
        <w:rPr>
          <w:vertAlign w:val="superscript"/>
        </w:rPr>
        <w:t>3</w:t>
      </w:r>
      <w:r>
        <w:t>/年•人的紧张警戒线，缺水问题相当严峻。</w:t>
      </w:r>
    </w:p>
    <w:p>
      <w:pPr>
        <w:ind w:firstLine="480"/>
      </w:pPr>
      <w:r>
        <w:t>地下水资源模数7.0万m³/km².a，则地下水资源量约为0.0902亿m</w:t>
      </w:r>
      <w:r>
        <w:rPr>
          <w:vertAlign w:val="superscript"/>
        </w:rPr>
        <w:t>3</w:t>
      </w:r>
      <w:r>
        <w:t>。</w:t>
      </w:r>
    </w:p>
    <w:p>
      <w:pPr>
        <w:ind w:firstLine="480"/>
      </w:pPr>
      <w:r>
        <w:t>现状官渡区内无管辖水库、坝塘，没有中型及以上的骨干供水工程，城市供水全部由昆明市清源自来水公司和昆明市通用自来水公司提供。</w:t>
      </w:r>
    </w:p>
    <w:p>
      <w:pPr>
        <w:pStyle w:val="3"/>
        <w:rPr>
          <w:rFonts w:cs="Times New Roman"/>
          <w:szCs w:val="24"/>
        </w:rPr>
      </w:pPr>
      <w:r>
        <w:rPr>
          <w:rFonts w:cs="Times New Roman"/>
          <w:szCs w:val="24"/>
        </w:rPr>
        <w:t>1.2.1.4水</w:t>
      </w:r>
      <w:r>
        <w:rPr>
          <w:rFonts w:eastAsia="宋体" w:cs="Times New Roman"/>
          <w:szCs w:val="24"/>
        </w:rPr>
        <w:t>文、气象</w:t>
      </w:r>
    </w:p>
    <w:p>
      <w:pPr>
        <w:ind w:firstLine="480"/>
      </w:pPr>
      <w:r>
        <w:t>官渡区属北纬低纬度亚热带-高原山地季风气候，由于受印度洋</w:t>
      </w:r>
      <w:r>
        <w:fldChar w:fldCharType="begin"/>
      </w:r>
      <w:r>
        <w:instrText xml:space="preserve"> HYPERLINK "http://baike.baidu.com/view/1357775.htm" \t "_blank" </w:instrText>
      </w:r>
      <w:r>
        <w:fldChar w:fldCharType="separate"/>
      </w:r>
      <w:r>
        <w:t>西南暖湿气流</w:t>
      </w:r>
      <w:r>
        <w:fldChar w:fldCharType="end"/>
      </w:r>
      <w:r>
        <w:t>的影响，日照长、霜期短、具有气候温和，夏无酷暑，冬无严寒，</w:t>
      </w:r>
      <w:r>
        <w:fldChar w:fldCharType="begin"/>
      </w:r>
      <w:r>
        <w:instrText xml:space="preserve"> HYPERLINK "http://baike.baidu.com/view/333279.htm" \t "_blank" </w:instrText>
      </w:r>
      <w:r>
        <w:fldChar w:fldCharType="separate"/>
      </w:r>
      <w:r>
        <w:t>四季如春</w:t>
      </w:r>
      <w:r>
        <w:fldChar w:fldCharType="end"/>
      </w:r>
      <w:r>
        <w:t>，气候宜人的</w:t>
      </w:r>
      <w:r>
        <w:fldChar w:fldCharType="begin"/>
      </w:r>
      <w:r>
        <w:instrText xml:space="preserve"> HYPERLINK "http://baike.baidu.com/view/208402.htm" \t "_blank" </w:instrText>
      </w:r>
      <w:r>
        <w:fldChar w:fldCharType="separate"/>
      </w:r>
      <w:r>
        <w:t>温带气候</w:t>
      </w:r>
      <w:r>
        <w:fldChar w:fldCharType="end"/>
      </w:r>
      <w:r>
        <w:t>特点。年平均气温15℃，极端最高气温31.5℃，极端最低气温-7.8℃。年均日照2200小时左右，无霜期240天以上，年降水量1035mm，月最大降雨量208.3mm，日最大降雨量153.3mm，降雨主要集中在5～9月，年蒸发量1856.4mm。最大风速40m/s，多西南风。</w:t>
      </w:r>
    </w:p>
    <w:p>
      <w:pPr>
        <w:pStyle w:val="3"/>
        <w:rPr>
          <w:rFonts w:cs="Times New Roman"/>
          <w:szCs w:val="24"/>
        </w:rPr>
      </w:pPr>
      <w:r>
        <w:rPr>
          <w:rFonts w:cs="Times New Roman"/>
          <w:szCs w:val="24"/>
        </w:rPr>
        <w:t>1.2.</w:t>
      </w:r>
      <w:r>
        <w:rPr>
          <w:rFonts w:eastAsia="宋体" w:cs="Times New Roman"/>
          <w:szCs w:val="24"/>
        </w:rPr>
        <w:t>1.5河流、水系</w:t>
      </w:r>
    </w:p>
    <w:p>
      <w:pPr>
        <w:numPr>
          <w:ilvl w:val="0"/>
          <w:numId w:val="1"/>
        </w:numPr>
        <w:ind w:firstLineChars="0"/>
      </w:pPr>
      <w:r>
        <w:rPr>
          <w:b/>
          <w:bCs/>
        </w:rPr>
        <w:t>主要河流</w:t>
      </w:r>
    </w:p>
    <w:p>
      <w:pPr>
        <w:ind w:firstLine="480"/>
      </w:pPr>
      <w:r>
        <w:t>滇池流域河流均属金沙江水系，其中位于实际管辖范围的主要有盘龙江、大清河、东白沙河、宝象河、广普大沟、马料河等共计15条，分别由东北方向西南方流汇入滇池。除盘龙江和宝象河有源头水补给外，其余均为季节性河流。盘龙江、宝象河两大河，主源头相距65</w:t>
      </w:r>
      <w:r>
        <w:rPr>
          <w:rFonts w:hint="eastAsia"/>
        </w:rPr>
        <w:t>.0</w:t>
      </w:r>
      <w:r>
        <w:t>km，中间夹着大清河、海河。两河的割切与输泥沙作用造就了夹谷、河槽台地及西南部连片的湖积平坝，是人们赖以繁衍生息的、十分宝贵的水土资源。</w:t>
      </w:r>
    </w:p>
    <w:p>
      <w:pPr>
        <w:ind w:firstLine="480"/>
      </w:pPr>
      <w:r>
        <w:t>根据2013年8月21日昆明市城乡规划委员会第六次主任办公会议纪要，原则同意《昆明主城东南片区整体规划方案》。根据规划方案，规委会原则同意对片区内马料河、广普大沟、新宝象河、大清河、盘龙江等河道予以保留，同意调整片区内姚安河、五甲宝象河、小清河、六甲宝象河及海河。水系调整河道（姚安河、五甲宝象河、小清河、六甲宝象河及海河）涉及五甲塘分区。因此昆明理工大学和中国市政工程中南设计研究总院有限公司共同编制了《昆明主城东南片区（五甲塘分区）水系调整规划》，规划于2014年1月22日获得昆明市水务局批复。2014年10月10日，昆明市水务局再次提出补充意见，最终决定一是保留盘龙江、大清河、老宝象河及新宝象河；二是通过广福路南侧截洪沟，将广福路以南段五甲宝象河、六甲宝象河及虾坝河并入海河；三是在片区内新开挖东、西两侧防洪沟，分别接入姚安河、小清河入湖；海河经广福路沿飞虎大道止于官渡3号路，分两条向东侧为虾坝河、西侧为小清河，分别入湖。</w:t>
      </w:r>
    </w:p>
    <w:p>
      <w:pPr>
        <w:ind w:firstLine="480"/>
      </w:pPr>
      <w:r>
        <w:t>①盘龙江：发源于嵩明县梁王山北麓喳啦箐白沙坡（高程2600m），自北向南经牧羊、阿子营、黄石岩、小河等地，在岔河嘴与右支甸尾河汇合后入松华坝水库，出库后进入昆明盆地，穿越主城区后于洪家村注入滇池。河道全长94</w:t>
      </w:r>
      <w:r>
        <w:rPr>
          <w:rFonts w:hint="eastAsia"/>
        </w:rPr>
        <w:t>.0</w:t>
      </w:r>
      <w:r>
        <w:t>km，总落差约714</w:t>
      </w:r>
      <w:r>
        <w:rPr>
          <w:rFonts w:hint="eastAsia"/>
        </w:rPr>
        <w:t>.0</w:t>
      </w:r>
      <w:r>
        <w:t>m，河床平均坡度7.6‰，面积735km</w:t>
      </w:r>
      <w:r>
        <w:rPr>
          <w:vertAlign w:val="superscript"/>
        </w:rPr>
        <w:t>2</w:t>
      </w:r>
      <w:r>
        <w:t>。水库以上为山区，夹有山间盆地，河道呈树枝状，河长67.5km，河床坡降10.1‰，面积593km</w:t>
      </w:r>
      <w:r>
        <w:rPr>
          <w:vertAlign w:val="superscript"/>
        </w:rPr>
        <w:t>2</w:t>
      </w:r>
      <w:r>
        <w:t>，多年平均流量6.57m</w:t>
      </w:r>
      <w:r>
        <w:rPr>
          <w:vertAlign w:val="superscript"/>
        </w:rPr>
        <w:t>3</w:t>
      </w:r>
      <w:r>
        <w:t>/s，实测最大流量（1966年）222m</w:t>
      </w:r>
      <w:r>
        <w:rPr>
          <w:vertAlign w:val="superscript"/>
        </w:rPr>
        <w:t>3</w:t>
      </w:r>
      <w:r>
        <w:t>/s。水库以下为滇池盆地，河道较顺直，长26.53km，区间面积142km</w:t>
      </w:r>
      <w:r>
        <w:rPr>
          <w:vertAlign w:val="superscript"/>
        </w:rPr>
        <w:t>2</w:t>
      </w:r>
      <w:r>
        <w:t>，其中城区面积为75.5km</w:t>
      </w:r>
      <w:r>
        <w:rPr>
          <w:vertAlign w:val="superscript"/>
        </w:rPr>
        <w:t>2</w:t>
      </w:r>
      <w:r>
        <w:t>，不透水或弱透水面积比重为53.2%，盘龙江为官渡与西山两区界河，得胜桥至入滇池口河段顺流左岸属</w:t>
      </w:r>
      <w:r>
        <w:rPr>
          <w:rFonts w:hint="eastAsia"/>
        </w:rPr>
        <w:t>官渡区</w:t>
      </w:r>
      <w:r>
        <w:t>，全长10.8km，河宽28～33m。</w:t>
      </w:r>
    </w:p>
    <w:p>
      <w:pPr>
        <w:ind w:firstLine="480"/>
      </w:pPr>
      <w:r>
        <w:t>②老盘龙江：起点洪家村大闸，河道终点至新河村入滇池，河长2.8km，河宽8～12m，汇水面积1.02km</w:t>
      </w:r>
      <w:r>
        <w:rPr>
          <w:vertAlign w:val="superscript"/>
        </w:rPr>
        <w:t>2</w:t>
      </w:r>
      <w:r>
        <w:t>。</w:t>
      </w:r>
    </w:p>
    <w:p>
      <w:pPr>
        <w:ind w:firstLine="480"/>
      </w:pPr>
      <w:r>
        <w:t>③金汁河：为盘龙江</w:t>
      </w:r>
      <w:r>
        <w:rPr>
          <w:rFonts w:hint="eastAsia"/>
        </w:rPr>
        <w:t>左岸</w:t>
      </w:r>
      <w:r>
        <w:t>引水灌溉河道，是昆明古</w:t>
      </w:r>
      <w:r>
        <w:rPr>
          <w:rFonts w:hint="eastAsia"/>
        </w:rPr>
        <w:t>“</w:t>
      </w:r>
      <w:r>
        <w:t>六河</w:t>
      </w:r>
      <w:r>
        <w:rPr>
          <w:rFonts w:hint="eastAsia"/>
        </w:rPr>
        <w:t>”</w:t>
      </w:r>
      <w:r>
        <w:t>之一，始建于宋代，经元、明、清至今历代整修治理。松华坝水库建成后，</w:t>
      </w:r>
      <w:r>
        <w:rPr>
          <w:rFonts w:hint="eastAsia"/>
        </w:rPr>
        <w:t>放水至沟渠</w:t>
      </w:r>
      <w:r>
        <w:t>顺东面山麓南流，经龙头街、波罗村、金马寺，下穿昆河铁路，在</w:t>
      </w:r>
      <w:r>
        <w:rPr>
          <w:rFonts w:hint="eastAsia"/>
        </w:rPr>
        <w:t>菊花</w:t>
      </w:r>
      <w:r>
        <w:t>村分为</w:t>
      </w:r>
      <w:r>
        <w:rPr>
          <w:rFonts w:hint="eastAsia"/>
        </w:rPr>
        <w:t>左右两支</w:t>
      </w:r>
      <w:r>
        <w:t>，</w:t>
      </w:r>
      <w:r>
        <w:rPr>
          <w:rFonts w:hint="eastAsia"/>
        </w:rPr>
        <w:t>左支</w:t>
      </w:r>
      <w:r>
        <w:t>为</w:t>
      </w:r>
      <w:r>
        <w:rPr>
          <w:rFonts w:hint="eastAsia"/>
        </w:rPr>
        <w:t>清水河</w:t>
      </w:r>
      <w:r>
        <w:t>，</w:t>
      </w:r>
      <w:r>
        <w:rPr>
          <w:rFonts w:hint="eastAsia"/>
        </w:rPr>
        <w:t>于宝海公园汇入枧槽河；右支为老金汁河，过拓东体育馆后往南，穿拓东路、环城南路、二环南路、日新路，于水映长岛小区东北角向化桥汇入枧槽河</w:t>
      </w:r>
      <w:r>
        <w:t>。</w:t>
      </w:r>
      <w:r>
        <w:rPr>
          <w:rFonts w:hint="eastAsia"/>
        </w:rPr>
        <w:t>自</w:t>
      </w:r>
      <w:r>
        <w:t>取水</w:t>
      </w:r>
      <w:r>
        <w:rPr>
          <w:rFonts w:hint="eastAsia"/>
        </w:rPr>
        <w:t>口</w:t>
      </w:r>
      <w:r>
        <w:t>至菊花分洪闸长1</w:t>
      </w:r>
      <w:r>
        <w:rPr>
          <w:rFonts w:hint="eastAsia"/>
        </w:rPr>
        <w:t>3.</w:t>
      </w:r>
      <w:r>
        <w:t>5km，</w:t>
      </w:r>
      <w:r>
        <w:rPr>
          <w:rFonts w:hint="eastAsia"/>
        </w:rPr>
        <w:t>宽3.5</w:t>
      </w:r>
      <w:r>
        <w:rPr>
          <w:rFonts w:hAnsi="宋体"/>
        </w:rPr>
        <w:t>～</w:t>
      </w:r>
      <w:r>
        <w:rPr>
          <w:rFonts w:hint="eastAsia"/>
        </w:rPr>
        <w:t>10.9m，</w:t>
      </w:r>
      <w:r>
        <w:rPr>
          <w:kern w:val="0"/>
        </w:rPr>
        <w:t>面积1</w:t>
      </w:r>
      <w:r>
        <w:rPr>
          <w:rFonts w:hint="eastAsia"/>
          <w:kern w:val="0"/>
        </w:rPr>
        <w:t>1</w:t>
      </w:r>
      <w:r>
        <w:rPr>
          <w:kern w:val="0"/>
        </w:rPr>
        <w:t>.</w:t>
      </w:r>
      <w:r>
        <w:rPr>
          <w:rFonts w:hint="eastAsia"/>
          <w:kern w:val="0"/>
        </w:rPr>
        <w:t>8</w:t>
      </w:r>
      <w:r>
        <w:rPr>
          <w:kern w:val="0"/>
        </w:rPr>
        <w:t>km</w:t>
      </w:r>
      <w:r>
        <w:rPr>
          <w:kern w:val="0"/>
          <w:vertAlign w:val="superscript"/>
        </w:rPr>
        <w:t>2</w:t>
      </w:r>
      <w:r>
        <w:t>。</w:t>
      </w:r>
      <w:r>
        <w:rPr>
          <w:rFonts w:hint="eastAsia"/>
        </w:rPr>
        <w:t>老金汁河度3</w:t>
      </w:r>
      <w:r>
        <w:rPr>
          <w:rFonts w:hAnsi="宋体"/>
        </w:rPr>
        <w:t>～</w:t>
      </w:r>
      <w:r>
        <w:rPr>
          <w:rFonts w:hint="eastAsia"/>
        </w:rPr>
        <w:t>10.5m。金汁河全流域面积16.3km</w:t>
      </w:r>
      <w:r>
        <w:rPr>
          <w:rFonts w:hint="eastAsia"/>
          <w:vertAlign w:val="superscript"/>
        </w:rPr>
        <w:t>2</w:t>
      </w:r>
      <w:r>
        <w:rPr>
          <w:rFonts w:hint="eastAsia"/>
        </w:rPr>
        <w:t>，其中分水闸以下区间为4.45km</w:t>
      </w:r>
      <w:r>
        <w:rPr>
          <w:rFonts w:hint="eastAsia"/>
          <w:vertAlign w:val="superscript"/>
        </w:rPr>
        <w:t>2</w:t>
      </w:r>
      <w:r>
        <w:rPr>
          <w:rFonts w:hint="eastAsia"/>
        </w:rPr>
        <w:t>，</w:t>
      </w:r>
      <w:r>
        <w:t>长</w:t>
      </w:r>
      <w:r>
        <w:rPr>
          <w:rFonts w:hint="eastAsia"/>
        </w:rPr>
        <w:t>21.8</w:t>
      </w:r>
      <w:r>
        <w:t>km</w:t>
      </w:r>
      <w:r>
        <w:rPr>
          <w:rFonts w:hint="eastAsia"/>
        </w:rPr>
        <w:t>。</w:t>
      </w:r>
    </w:p>
    <w:p>
      <w:pPr>
        <w:ind w:firstLine="480"/>
      </w:pPr>
      <w:r>
        <w:t>④枧槽河：由东郊明沟—海明河、金汁河—清水河组成。东郊明沟—海明河、金汁河—清水河在宝海公园东北角交汇后称枧槽河，于张家庙第二污水处理厂处汇入大清河，长5.73km，复式、矩形宽14～25m。全流域（含金汁河、清水河、东郊明沟、海明河）面积35.3km</w:t>
      </w:r>
      <w:r>
        <w:rPr>
          <w:vertAlign w:val="superscript"/>
        </w:rPr>
        <w:t>2</w:t>
      </w:r>
      <w:r>
        <w:t>，其中宝海公园以下至大清河交口断面区间为7.5km</w:t>
      </w:r>
      <w:r>
        <w:rPr>
          <w:vertAlign w:val="superscript"/>
        </w:rPr>
        <w:t>2</w:t>
      </w:r>
      <w:r>
        <w:t>，东郊明沟、海明河、清水河汇水面积11.5km</w:t>
      </w:r>
      <w:r>
        <w:rPr>
          <w:vertAlign w:val="superscript"/>
        </w:rPr>
        <w:t>2</w:t>
      </w:r>
      <w:r>
        <w:t>，全长（含金汁河）23.1km。流域以不透水或弱透水城区为主，其比重约60%。</w:t>
      </w:r>
    </w:p>
    <w:p>
      <w:pPr>
        <w:ind w:firstLine="480"/>
      </w:pPr>
      <w:r>
        <w:t>⑤大清河：</w:t>
      </w:r>
      <w:r>
        <w:rPr>
          <w:kern w:val="0"/>
        </w:rPr>
        <w:t>由右支明通河、左支枧槽河构成。</w:t>
      </w:r>
      <w:r>
        <w:t>明通河与枧槽河交口以下称大清河，向南流经叶家村、梁家村、新二泵站，在福保文化城西侧入滇池，交口以下长6.28km，河床平均坡度0.116‰，全河段已整治完毕，近似梯形断面（上口宽在23.2～32.3m之间），两岸河堤上部为土堤绿化带、下部为浆砌块石，其间汇水面积2.8km</w:t>
      </w:r>
      <w:r>
        <w:rPr>
          <w:vertAlign w:val="superscript"/>
        </w:rPr>
        <w:t>2</w:t>
      </w:r>
      <w:r>
        <w:t>。大清河全流域面积为48.4km</w:t>
      </w:r>
      <w:r>
        <w:rPr>
          <w:vertAlign w:val="superscript"/>
        </w:rPr>
        <w:t>2</w:t>
      </w:r>
      <w:r>
        <w:t>，长29.4km，流域内以不透水或弱透水城区为主，其比重超过60%。</w:t>
      </w:r>
    </w:p>
    <w:p>
      <w:pPr>
        <w:ind w:firstLine="480"/>
      </w:pPr>
      <w:r>
        <w:t>⑥东白沙河（海河）：发源于大板桥以北一撮云（高程2336.5m），河流自东北向西南至岔河，于三农场处向南黄土坡村入东白沙河水库，穿广福路，于七甲村纳机场西侧小河后南行，在福保村入滇池。东白沙河水库至七甲村段（长10.6km），河道呈矩形或“U”型（宽2～5m）、土堤（堤高1～3m），其间众多桥涵阻水严重；七甲村汇口到新二村段（长3.5km）河宽也仅3～6m，堤高1～3m；新二村以下至入滇池段（长2.2km）河宽6～14m，土堤为主（福保村段为砌石）堤高1～2m，行洪能力小。全段行洪能力低于10年一遇。流域面积68.7km</w:t>
      </w:r>
      <w:r>
        <w:rPr>
          <w:vertAlign w:val="superscript"/>
        </w:rPr>
        <w:t>2</w:t>
      </w:r>
      <w:r>
        <w:t>（含东干渠16.4km</w:t>
      </w:r>
      <w:r>
        <w:rPr>
          <w:vertAlign w:val="superscript"/>
        </w:rPr>
        <w:t>2</w:t>
      </w:r>
      <w:r>
        <w:t>），其中水库以下至滇池区间河段长16.2km，面积29.8km</w:t>
      </w:r>
      <w:r>
        <w:rPr>
          <w:vertAlign w:val="superscript"/>
        </w:rPr>
        <w:t>2</w:t>
      </w:r>
      <w:r>
        <w:t>。</w:t>
      </w:r>
    </w:p>
    <w:p>
      <w:pPr>
        <w:ind w:firstLine="480"/>
      </w:pPr>
      <w:r>
        <w:t>⑦六甲宝象河：原属宝象河的分洪、灌溉河道，现被彩云路截洪沟截断，自成体系。现从永丰村起，经雨龙村，穿广福路，过七甲村，沿官南大道右侧至福保村，由闸门控制既可直接入滇池，也可分流至海河，目前多是分流至海河。河道基本顺直，河段长10.8km，河宽1～5m，堤高1～4m，汇水面积2.63km</w:t>
      </w:r>
      <w:r>
        <w:rPr>
          <w:vertAlign w:val="superscript"/>
        </w:rPr>
        <w:t>2</w:t>
      </w:r>
      <w:r>
        <w:t>。流域内以不透水或弱透水城区为主，其比重约60%。</w:t>
      </w:r>
    </w:p>
    <w:p>
      <w:pPr>
        <w:ind w:firstLine="480"/>
      </w:pPr>
      <w:r>
        <w:t>⑧小清河：源于小板桥镇云溪村附近，流经张家沟、新二桥等村庄，于小河嘴村附近中科院滇池蓝藻控制试验基地旁流入滇池。呈狭长型分布，河长8.17km。现状河宽0.5～8m，汇水面积3.18km</w:t>
      </w:r>
      <w:r>
        <w:rPr>
          <w:vertAlign w:val="superscript"/>
        </w:rPr>
        <w:t>2</w:t>
      </w:r>
      <w:r>
        <w:t>，上段已治理，最小断面行洪能力为1.42m</w:t>
      </w:r>
      <w:r>
        <w:rPr>
          <w:vertAlign w:val="superscript"/>
        </w:rPr>
        <w:t>3</w:t>
      </w:r>
      <w:r>
        <w:t>/s，最大断面行洪能力为3.89m</w:t>
      </w:r>
      <w:r>
        <w:rPr>
          <w:vertAlign w:val="superscript"/>
        </w:rPr>
        <w:t>3</w:t>
      </w:r>
      <w:r>
        <w:t>/s。流域内以不透水或弱透水城区为主，其比重约60%。</w:t>
      </w:r>
    </w:p>
    <w:p>
      <w:pPr>
        <w:ind w:firstLine="480"/>
      </w:pPr>
      <w:r>
        <w:t>⑨五甲宝象河：原属宝象河的分洪、灌溉河道，现被彩云路截洪沟截断，自成体系。从世纪城片集雨污水，穿广福路，沿金刚村、楼房村南流，在小河嘴下村进小清河汇入滇池，沿途纳经济技术开发区、陈旗营、雨龙村等片区的雨、污水。全长9.43km，河宽2～9m，堤高2～5m，汇水面积3.28km</w:t>
      </w:r>
      <w:r>
        <w:rPr>
          <w:vertAlign w:val="superscript"/>
        </w:rPr>
        <w:t>2</w:t>
      </w:r>
      <w:r>
        <w:t>。最小断面行洪能力为1.94m</w:t>
      </w:r>
      <w:r>
        <w:rPr>
          <w:vertAlign w:val="superscript"/>
        </w:rPr>
        <w:t>3</w:t>
      </w:r>
      <w:r>
        <w:t>/s,最大断面行洪能力为5.08m</w:t>
      </w:r>
      <w:r>
        <w:rPr>
          <w:vertAlign w:val="superscript"/>
        </w:rPr>
        <w:t>3</w:t>
      </w:r>
      <w:r>
        <w:t>/s。</w:t>
      </w:r>
    </w:p>
    <w:p>
      <w:pPr>
        <w:ind w:firstLine="480"/>
      </w:pPr>
      <w:r>
        <w:t>⑩虾坝河：从世纪城起（原为织布营村），穿广福路桥，经下四甲东侧南流至熊家村，在姚家坝水寺处分为两支（右为虾坝河、左为姚安河）。虾坝河经王家村、五甲塘，穿姚安公路后从夏之春海滨公园南侧汇入滇池，河长4.06km，宽6～14m，局部已治理，汇水面积面积9.1km</w:t>
      </w:r>
      <w:r>
        <w:rPr>
          <w:vertAlign w:val="superscript"/>
        </w:rPr>
        <w:t>2</w:t>
      </w:r>
      <w:r>
        <w:t>。</w:t>
      </w:r>
    </w:p>
    <w:p>
      <w:pPr>
        <w:ind w:firstLine="480"/>
      </w:pPr>
      <w:r>
        <w:t>⑪姚安河：从世纪城起（原为织布营村），穿广福路桥，经下四甲东侧南流至熊家村，在姚家坝水寺处分为两支（右为虾坝河、左为姚安河）。姚安河经王家村，在龙马村与李家村之间纳老宝象河支流后穿姚安村，在螺蛳堆处纳源自后所村的杜家大沟，在独家村入滇池，河长3.55km，河宽7～14m，堤高1.5～3m，汇水面积3.6km</w:t>
      </w:r>
      <w:r>
        <w:rPr>
          <w:vertAlign w:val="superscript"/>
        </w:rPr>
        <w:t>2</w:t>
      </w:r>
      <w:r>
        <w:t>，下垫面为农田，李家村以下河堤为浆砌石。</w:t>
      </w:r>
    </w:p>
    <w:p>
      <w:pPr>
        <w:ind w:firstLine="480"/>
      </w:pPr>
      <w:r>
        <w:t>⑫老宝象河：源自羊甫分洪闸，过大街村，穿昆洛公路、彩云路，立交彩云路截洪沟，经官渡</w:t>
      </w:r>
      <w:r>
        <w:rPr>
          <w:rFonts w:hint="eastAsia"/>
        </w:rPr>
        <w:t>古</w:t>
      </w:r>
      <w:r>
        <w:t>镇，穿广福路，过第六污水处理厂、龙马村、严家村后在宝丰村入滇池。河长10.</w:t>
      </w:r>
      <w:r>
        <w:rPr>
          <w:rFonts w:hint="eastAsia"/>
        </w:rPr>
        <w:t>7</w:t>
      </w:r>
      <w:r>
        <w:t>km，宽4～10m，堤高2～5m，已治理，沿途河堤高于城镇，河床平均坡度0.52‰，面积3.94km</w:t>
      </w:r>
      <w:r>
        <w:rPr>
          <w:vertAlign w:val="superscript"/>
        </w:rPr>
        <w:t>2</w:t>
      </w:r>
      <w:r>
        <w:t>。不透水或弱透水比重约60%。其中在季官村末端分流入杜家营大沟，经后所村前沿、丁家村、郭家村后汇入姚安河，河长2.87km，宽3～4m，堤高1.5～4m，区间面积1.46km</w:t>
      </w:r>
      <w:r>
        <w:rPr>
          <w:vertAlign w:val="superscript"/>
        </w:rPr>
        <w:t>2</w:t>
      </w:r>
      <w:r>
        <w:t>。</w:t>
      </w:r>
    </w:p>
    <w:p>
      <w:pPr>
        <w:ind w:firstLine="480"/>
      </w:pPr>
      <w:r>
        <w:t>⑬宝象河：昆明古六河之一。源于东南部老爷山，经小寨村至三岔河汇支流小河（源于阿底村）来水入宝象河水库（面积67km</w:t>
      </w:r>
      <w:r>
        <w:rPr>
          <w:vertAlign w:val="superscript"/>
        </w:rPr>
        <w:t>2</w:t>
      </w:r>
      <w:r>
        <w:t>，总库容2070万m</w:t>
      </w:r>
      <w:r>
        <w:rPr>
          <w:vertAlign w:val="superscript"/>
        </w:rPr>
        <w:t>3</w:t>
      </w:r>
      <w:r>
        <w:t>），出库后经大板桥、干海子、大石坝、小石坝、小板桥、官渡龙马，在宝丰村附近汇入滇池。河长48.24km（水库以下长32.2km），面积292km</w:t>
      </w:r>
      <w:r>
        <w:rPr>
          <w:vertAlign w:val="superscript"/>
        </w:rPr>
        <w:t>2</w:t>
      </w:r>
      <w:r>
        <w:t>。流域内有宝象河水库外，在支流上还有天生坝、前卫屯、铜牛寺、茨冲、复兴等小型水库，面积109.6km</w:t>
      </w:r>
      <w:r>
        <w:rPr>
          <w:vertAlign w:val="superscript"/>
        </w:rPr>
        <w:t>2</w:t>
      </w:r>
      <w:r>
        <w:t>。同时沿河修建了金马村、鸳鸯坝、羊甫、小板桥等13座小型拦河坝。2006年前，在羊甫分洪闸以下由干流老宝象河、宝象河、织布营分洪河（原四甲宝象河）、五甲宝象河、六甲宝象河等组成。2006年对宝象河进行了整治，并沿彩云路北侧修建了6m宽、4m深的截洪渠，将彩云路北侧洪水经宝象河排泄，原来的老宝象河、织布营分洪河、五甲宝象河、六甲宝象河则变为区域排涝河道。现状宝象河由干流宝象河及分流河道老宝象河组成，织布营河、五甲宝象河、六甲宝象河、小清河自成体系。宝象河是1978年新开挖的分洪、灌溉人工土渠，2006年改扩建后达到50年一遇防洪标准。河长8.3km，宽22～33 m，堤高3～5m，其间面积16.7km</w:t>
      </w:r>
      <w:r>
        <w:rPr>
          <w:vertAlign w:val="superscript"/>
        </w:rPr>
        <w:t>2</w:t>
      </w:r>
      <w:r>
        <w:t>，在海东村汇入滇池。</w:t>
      </w:r>
    </w:p>
    <w:p>
      <w:pPr>
        <w:ind w:firstLine="480"/>
      </w:pPr>
      <w:r>
        <w:t>⑭广普大沟：发源于小板桥以东洒梅山、洋湾山、老官山、龙宝山等群山西侧，河流大致自东向西蜿蜒，先后穿越南昆铁路、昆洛路、昆玉高速路、广福路和环湖公路，于死口子处汇入滇池。昆洛路以上流域为山坡、旱地和部分城镇居民住地，无明显河道，昆洛路以下目前正在进行大规模城市建设，且河道常年有生活废污水汇入。昆洛路以下至滇池入口段长6.46km，宽2.4～20m，河床平均坡度1.42‰，径流面积21.1km</w:t>
      </w:r>
      <w:r>
        <w:rPr>
          <w:vertAlign w:val="superscript"/>
        </w:rPr>
        <w:t>2</w:t>
      </w:r>
      <w:r>
        <w:t>。</w:t>
      </w:r>
    </w:p>
    <w:p>
      <w:pPr>
        <w:ind w:firstLine="480"/>
      </w:pPr>
      <w:r>
        <w:t>⑮马料河：发源于阿拉乡新村犀牛塘龙潭，自北向南过新村，至白水塘村南部约500m处进入呈贡区境内的果林水库，出库后经倪家营、望朔村（洛羊镇），于麻莪村西约200m入，于矣六甲小新村分洪闸分为左支矣六马料河、右支关锁马料河，平行流经约4km后，左支于矣六甲村注入滇池，右支于回龙村注入滇池。马料河长22.5km，平均坡度3.3‰，面积69.4km</w:t>
      </w:r>
      <w:r>
        <w:rPr>
          <w:vertAlign w:val="superscript"/>
        </w:rPr>
        <w:t>2</w:t>
      </w:r>
      <w:r>
        <w:t>（呈贡县境内38.7km</w:t>
      </w:r>
      <w:r>
        <w:rPr>
          <w:vertAlign w:val="superscript"/>
        </w:rPr>
        <w:t>2</w:t>
      </w:r>
      <w:r>
        <w:t>，境内30.7km</w:t>
      </w:r>
      <w:r>
        <w:rPr>
          <w:vertAlign w:val="superscript"/>
        </w:rPr>
        <w:t>2</w:t>
      </w:r>
      <w:r>
        <w:t>），其中果林水库以上河长10km，坡度3.55‰，水库以下河道长12.4km，坡度3.1‰，现状已局部治理，宽在3.2～11.8m，河堤为土质类。</w:t>
      </w:r>
    </w:p>
    <w:p>
      <w:pPr>
        <w:numPr>
          <w:ilvl w:val="0"/>
          <w:numId w:val="1"/>
        </w:numPr>
        <w:ind w:firstLineChars="0"/>
        <w:rPr>
          <w:b/>
          <w:bCs/>
        </w:rPr>
      </w:pPr>
      <w:r>
        <w:rPr>
          <w:b/>
          <w:bCs/>
        </w:rPr>
        <w:t>主要湖泊</w:t>
      </w:r>
    </w:p>
    <w:p>
      <w:pPr>
        <w:spacing w:line="360" w:lineRule="auto"/>
        <w:ind w:firstLine="480"/>
        <w:jc w:val="left"/>
        <w:rPr>
          <w:b/>
        </w:rPr>
      </w:pPr>
      <w:r>
        <w:t>滇池位于南侧，其地理位置位于东经102°36′～102°48′，北纬24°40′～25°02′之间，是云贵高原水面最大的天然淡水湖泊，亦为我国四大断陷构造湖之一，迄今已有1200万年的历史。据史书记载，13世纪中叶，水位约为1892m，元代开始疏挖海口河，致使湖水位下降，清道光十六年建屡丰闸后，滇池成为人工控制蓄泄的淡水湖泊。滇池经历了漫长的地质年代变迁，加之人为干预和影响的加剧，湖面日趋缩小，湖水变浅，容量减少，尤其是1969年的“围海造田”后，滇池湖面面积减少近20km</w:t>
      </w:r>
      <w:r>
        <w:rPr>
          <w:vertAlign w:val="superscript"/>
        </w:rPr>
        <w:t>2</w:t>
      </w:r>
      <w:r>
        <w:t>。现滇池湖面略呈弓形，弓背向东，湖面南北长40km，东西平均宽7.5km，最宽处12.5km，最窄处为内外湖分界处宽不足百米，湖岸线长163km；当水位为正常高水位1887.40m（56黄海高程）时，平均水深5.3m，“海眼”最大水深11.2m，湖面面积约309km2，相应的蓄水容积为15.6亿m3。滇池作为昆明市的母亲湖，一直以来都向滇池周边提供城镇生活、工业和农业用水。</w:t>
      </w:r>
      <w:r>
        <w:rPr>
          <w:rFonts w:hint="eastAsia"/>
        </w:rPr>
        <w:t>官渡区</w:t>
      </w:r>
      <w:r>
        <w:t>管辖滇池水域面积为35.18km</w:t>
      </w:r>
      <w:r>
        <w:rPr>
          <w:vertAlign w:val="superscript"/>
        </w:rPr>
        <w:t>2</w:t>
      </w:r>
      <w:r>
        <w:t>。</w:t>
      </w:r>
    </w:p>
    <w:p>
      <w:pPr>
        <w:pStyle w:val="3"/>
        <w:rPr>
          <w:rFonts w:cs="Times New Roman"/>
          <w:szCs w:val="24"/>
        </w:rPr>
      </w:pPr>
      <w:r>
        <w:rPr>
          <w:rFonts w:cs="Times New Roman"/>
          <w:szCs w:val="24"/>
        </w:rPr>
        <w:t>1.2.</w:t>
      </w:r>
      <w:r>
        <w:rPr>
          <w:rFonts w:eastAsia="宋体" w:cs="Times New Roman"/>
          <w:szCs w:val="24"/>
        </w:rPr>
        <w:t>1.6</w:t>
      </w:r>
      <w:r>
        <w:rPr>
          <w:rFonts w:cs="Times New Roman"/>
          <w:szCs w:val="24"/>
        </w:rPr>
        <w:t>水环境现状</w:t>
      </w:r>
    </w:p>
    <w:p>
      <w:pPr>
        <w:numPr>
          <w:ilvl w:val="0"/>
          <w:numId w:val="2"/>
        </w:numPr>
        <w:ind w:left="0" w:firstLine="482"/>
        <w:rPr>
          <w:b/>
          <w:bCs/>
        </w:rPr>
      </w:pPr>
      <w:r>
        <w:rPr>
          <w:b/>
          <w:bCs/>
        </w:rPr>
        <w:t>河道</w:t>
      </w:r>
    </w:p>
    <w:p>
      <w:pPr>
        <w:ind w:firstLine="480"/>
      </w:pPr>
      <w:r>
        <w:rPr>
          <w:rFonts w:hint="eastAsia"/>
        </w:rPr>
        <w:t>官渡区境</w:t>
      </w:r>
      <w:r>
        <w:t>内共有入滇河流15条，监测断面18个，其中国控断面5个、市控断面13个。2020年，18个河流水质考核断面中6个断面达到地表水III类水及以上标准，7个达到IV类水标准，2个为劣V类，3个断流，达到地表水III类水及以上的比例为33.3%，劣V类断面比例为1.11%；18个河流水质考核断面中16个断面达到《昆明市人民政府关于印发2020年昆明市水污染防治工作目标任务的通知》等相关文件要求的水质考核目标，水质达标率为88.9%。</w:t>
      </w:r>
    </w:p>
    <w:p>
      <w:pPr>
        <w:ind w:firstLine="482"/>
        <w:jc w:val="center"/>
      </w:pPr>
      <w:r>
        <w:rPr>
          <w:b/>
          <w:bCs/>
        </w:rPr>
        <w:t>表1-2 河流水质现状统计表</w:t>
      </w:r>
    </w:p>
    <w:tbl>
      <w:tblPr>
        <w:tblStyle w:val="22"/>
        <w:tblW w:w="4995" w:type="pct"/>
        <w:tblInd w:w="0" w:type="dxa"/>
        <w:tblLayout w:type="autofit"/>
        <w:tblCellMar>
          <w:top w:w="0" w:type="dxa"/>
          <w:left w:w="0" w:type="dxa"/>
          <w:bottom w:w="0" w:type="dxa"/>
          <w:right w:w="0" w:type="dxa"/>
        </w:tblCellMar>
      </w:tblPr>
      <w:tblGrid>
        <w:gridCol w:w="446"/>
        <w:gridCol w:w="1078"/>
        <w:gridCol w:w="1674"/>
        <w:gridCol w:w="868"/>
        <w:gridCol w:w="870"/>
        <w:gridCol w:w="870"/>
        <w:gridCol w:w="2510"/>
      </w:tblGrid>
      <w:tr>
        <w:tblPrEx>
          <w:tblCellMar>
            <w:top w:w="0" w:type="dxa"/>
            <w:left w:w="0" w:type="dxa"/>
            <w:bottom w:w="0" w:type="dxa"/>
            <w:right w:w="0" w:type="dxa"/>
          </w:tblCellMar>
        </w:tblPrEx>
        <w:trPr>
          <w:trHeight w:val="624"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b/>
                <w:bCs/>
                <w:sz w:val="21"/>
                <w:szCs w:val="21"/>
              </w:rPr>
            </w:pPr>
            <w:r>
              <w:rPr>
                <w:b/>
                <w:bCs/>
                <w:kern w:val="0"/>
                <w:sz w:val="21"/>
                <w:szCs w:val="21"/>
              </w:rPr>
              <w:t>序号</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b/>
                <w:bCs/>
                <w:sz w:val="21"/>
                <w:szCs w:val="21"/>
              </w:rPr>
            </w:pPr>
            <w:r>
              <w:rPr>
                <w:b/>
                <w:bCs/>
                <w:kern w:val="0"/>
                <w:sz w:val="21"/>
                <w:szCs w:val="21"/>
              </w:rPr>
              <w:t>河道名称</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b/>
                <w:bCs/>
                <w:sz w:val="21"/>
                <w:szCs w:val="21"/>
              </w:rPr>
            </w:pPr>
            <w:r>
              <w:rPr>
                <w:b/>
                <w:bCs/>
                <w:kern w:val="0"/>
                <w:sz w:val="21"/>
                <w:szCs w:val="21"/>
              </w:rPr>
              <w:t>断面名称</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b/>
                <w:bCs/>
                <w:sz w:val="21"/>
                <w:szCs w:val="21"/>
              </w:rPr>
            </w:pPr>
            <w:r>
              <w:rPr>
                <w:b/>
                <w:bCs/>
                <w:kern w:val="0"/>
                <w:sz w:val="21"/>
                <w:szCs w:val="21"/>
              </w:rPr>
              <w:t>控制级别</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b/>
                <w:bCs/>
                <w:sz w:val="21"/>
                <w:szCs w:val="21"/>
              </w:rPr>
            </w:pPr>
            <w:r>
              <w:rPr>
                <w:b/>
                <w:bCs/>
                <w:kern w:val="0"/>
                <w:sz w:val="21"/>
                <w:szCs w:val="21"/>
              </w:rPr>
              <w:t>水质目标</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b/>
                <w:bCs/>
                <w:kern w:val="0"/>
                <w:sz w:val="21"/>
                <w:szCs w:val="21"/>
              </w:rPr>
            </w:pPr>
            <w:r>
              <w:rPr>
                <w:b/>
                <w:bCs/>
                <w:kern w:val="0"/>
                <w:sz w:val="21"/>
                <w:szCs w:val="21"/>
              </w:rPr>
              <w:t>2020年</w:t>
            </w:r>
          </w:p>
          <w:p>
            <w:pPr>
              <w:widowControl/>
              <w:spacing w:line="240" w:lineRule="exact"/>
              <w:ind w:firstLine="0" w:firstLineChars="0"/>
              <w:jc w:val="center"/>
              <w:textAlignment w:val="center"/>
              <w:rPr>
                <w:b/>
                <w:bCs/>
                <w:sz w:val="21"/>
                <w:szCs w:val="21"/>
              </w:rPr>
            </w:pPr>
            <w:r>
              <w:rPr>
                <w:b/>
                <w:bCs/>
                <w:kern w:val="0"/>
                <w:sz w:val="21"/>
                <w:szCs w:val="21"/>
              </w:rPr>
              <w:t>水质现状</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b/>
                <w:bCs/>
                <w:sz w:val="21"/>
                <w:szCs w:val="21"/>
              </w:rPr>
            </w:pPr>
            <w:r>
              <w:rPr>
                <w:b/>
                <w:bCs/>
                <w:kern w:val="0"/>
                <w:sz w:val="21"/>
                <w:szCs w:val="21"/>
              </w:rPr>
              <w:t>超标因子/超标倍数</w:t>
            </w:r>
          </w:p>
        </w:tc>
      </w:tr>
      <w:tr>
        <w:tblPrEx>
          <w:tblCellMar>
            <w:top w:w="0" w:type="dxa"/>
            <w:left w:w="0" w:type="dxa"/>
            <w:bottom w:w="0" w:type="dxa"/>
            <w:right w:w="0" w:type="dxa"/>
          </w:tblCellMar>
        </w:tblPrEx>
        <w:trPr>
          <w:trHeight w:val="312" w:hRule="atLeast"/>
        </w:trPr>
        <w:tc>
          <w:tcPr>
            <w:tcW w:w="275"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1</w:t>
            </w:r>
          </w:p>
        </w:tc>
        <w:tc>
          <w:tcPr>
            <w:tcW w:w="66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盘龙江</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广福路桥</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90" w:hRule="atLeast"/>
        </w:trPr>
        <w:tc>
          <w:tcPr>
            <w:tcW w:w="275"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rPr>
                <w:sz w:val="21"/>
                <w:szCs w:val="21"/>
              </w:rPr>
            </w:pPr>
          </w:p>
        </w:tc>
        <w:tc>
          <w:tcPr>
            <w:tcW w:w="66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rPr>
                <w:sz w:val="21"/>
                <w:szCs w:val="21"/>
              </w:rPr>
            </w:pP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严家村桥</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国控</w:t>
            </w:r>
          </w:p>
        </w:tc>
        <w:tc>
          <w:tcPr>
            <w:tcW w:w="53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rPr>
                <w:sz w:val="21"/>
                <w:szCs w:val="21"/>
              </w:rPr>
            </w:pP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312"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2</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老盘龙江</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新村河大河嘴</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断流</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rPr>
          <w:trHeight w:val="312"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3</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大清河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大清河泵站</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国控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312"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4</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海河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海河桥</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国控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劣Ⅴ类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kern w:val="0"/>
                <w:sz w:val="21"/>
                <w:szCs w:val="21"/>
              </w:rPr>
            </w:pPr>
            <w:r>
              <w:rPr>
                <w:kern w:val="0"/>
                <w:sz w:val="21"/>
                <w:szCs w:val="21"/>
              </w:rPr>
              <w:t>氨氮（0.56）五日</w:t>
            </w:r>
          </w:p>
          <w:p>
            <w:pPr>
              <w:widowControl/>
              <w:spacing w:line="240" w:lineRule="exact"/>
              <w:ind w:firstLine="0" w:firstLineChars="0"/>
              <w:jc w:val="center"/>
              <w:textAlignment w:val="center"/>
              <w:rPr>
                <w:sz w:val="21"/>
                <w:szCs w:val="21"/>
              </w:rPr>
            </w:pPr>
            <w:r>
              <w:rPr>
                <w:kern w:val="0"/>
                <w:sz w:val="21"/>
                <w:szCs w:val="21"/>
              </w:rPr>
              <w:t>生化需氧量（0.2）</w:t>
            </w:r>
          </w:p>
        </w:tc>
      </w:tr>
      <w:tr>
        <w:tblPrEx>
          <w:tblCellMar>
            <w:top w:w="0" w:type="dxa"/>
            <w:left w:w="0" w:type="dxa"/>
            <w:bottom w:w="0" w:type="dxa"/>
            <w:right w:w="0" w:type="dxa"/>
          </w:tblCellMar>
        </w:tblPrEx>
        <w:trPr>
          <w:trHeight w:val="90"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5</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六甲宝象河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东张村</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断流</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312"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6</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小清河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新二村</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350"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7</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五甲宝象河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曹家村</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断流</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312"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8</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虾坝河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五甲塘</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624"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9</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姚安河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姚安村</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p>
        </w:tc>
      </w:tr>
      <w:tr>
        <w:tblPrEx>
          <w:tblCellMar>
            <w:top w:w="0" w:type="dxa"/>
            <w:left w:w="0" w:type="dxa"/>
            <w:bottom w:w="0" w:type="dxa"/>
            <w:right w:w="0" w:type="dxa"/>
          </w:tblCellMar>
        </w:tblPrEx>
        <w:trPr>
          <w:trHeight w:val="312"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10</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老宝象河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龙马村</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312"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11</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新宝象河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宝丰村入湖口</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国控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690"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12</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广普大沟</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广普大沟</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Ⅴ类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劣Ⅴ类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kern w:val="0"/>
                <w:sz w:val="21"/>
                <w:szCs w:val="21"/>
              </w:rPr>
            </w:pPr>
            <w:r>
              <w:rPr>
                <w:kern w:val="0"/>
                <w:sz w:val="21"/>
                <w:szCs w:val="21"/>
              </w:rPr>
              <w:t>氨氮（0.72）总磷（0.19）</w:t>
            </w:r>
          </w:p>
          <w:p>
            <w:pPr>
              <w:widowControl/>
              <w:spacing w:line="240" w:lineRule="exact"/>
              <w:ind w:firstLine="0" w:firstLineChars="0"/>
              <w:jc w:val="center"/>
              <w:textAlignment w:val="center"/>
              <w:rPr>
                <w:sz w:val="21"/>
                <w:szCs w:val="21"/>
              </w:rPr>
            </w:pPr>
            <w:r>
              <w:rPr>
                <w:kern w:val="0"/>
                <w:sz w:val="21"/>
                <w:szCs w:val="21"/>
              </w:rPr>
              <w:t>五日生化需氧量（0.05）</w:t>
            </w:r>
          </w:p>
        </w:tc>
      </w:tr>
      <w:tr>
        <w:tblPrEx>
          <w:tblCellMar>
            <w:top w:w="0" w:type="dxa"/>
            <w:left w:w="0" w:type="dxa"/>
            <w:bottom w:w="0" w:type="dxa"/>
            <w:right w:w="0" w:type="dxa"/>
          </w:tblCellMar>
        </w:tblPrEx>
        <w:trPr>
          <w:trHeight w:val="302" w:hRule="atLeast"/>
        </w:trPr>
        <w:tc>
          <w:tcPr>
            <w:tcW w:w="2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13</w:t>
            </w:r>
          </w:p>
        </w:tc>
        <w:tc>
          <w:tcPr>
            <w:tcW w:w="6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马料河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回龙村</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国控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624" w:hRule="atLeast"/>
        </w:trPr>
        <w:tc>
          <w:tcPr>
            <w:tcW w:w="275"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14</w:t>
            </w:r>
          </w:p>
        </w:tc>
        <w:tc>
          <w:tcPr>
            <w:tcW w:w="667"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枧槽河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kern w:val="0"/>
                <w:sz w:val="21"/>
                <w:szCs w:val="21"/>
              </w:rPr>
            </w:pPr>
            <w:r>
              <w:rPr>
                <w:kern w:val="0"/>
                <w:sz w:val="21"/>
                <w:szCs w:val="21"/>
              </w:rPr>
              <w:t>清水河、海明河</w:t>
            </w:r>
          </w:p>
          <w:p>
            <w:pPr>
              <w:widowControl/>
              <w:spacing w:line="240" w:lineRule="exact"/>
              <w:ind w:firstLine="0" w:firstLineChars="0"/>
              <w:jc w:val="center"/>
              <w:textAlignment w:val="center"/>
              <w:rPr>
                <w:kern w:val="0"/>
                <w:sz w:val="21"/>
                <w:szCs w:val="21"/>
              </w:rPr>
            </w:pPr>
            <w:r>
              <w:rPr>
                <w:kern w:val="0"/>
                <w:sz w:val="21"/>
                <w:szCs w:val="21"/>
              </w:rPr>
              <w:t>与枧槽河交界处</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Ⅴ类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kern w:val="0"/>
                <w:sz w:val="21"/>
                <w:szCs w:val="21"/>
              </w:rPr>
            </w:pPr>
          </w:p>
        </w:tc>
      </w:tr>
      <w:tr>
        <w:trPr>
          <w:trHeight w:val="624" w:hRule="atLeast"/>
        </w:trPr>
        <w:tc>
          <w:tcPr>
            <w:tcW w:w="275"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p>
        </w:tc>
        <w:tc>
          <w:tcPr>
            <w:tcW w:w="667"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kern w:val="0"/>
                <w:sz w:val="21"/>
                <w:szCs w:val="21"/>
              </w:rPr>
            </w:pPr>
            <w:r>
              <w:rPr>
                <w:kern w:val="0"/>
                <w:sz w:val="21"/>
                <w:szCs w:val="21"/>
              </w:rPr>
              <w:t>张家庙前与明</w:t>
            </w:r>
          </w:p>
          <w:p>
            <w:pPr>
              <w:widowControl/>
              <w:spacing w:line="240" w:lineRule="exact"/>
              <w:ind w:firstLine="0" w:firstLineChars="0"/>
              <w:jc w:val="center"/>
              <w:textAlignment w:val="center"/>
              <w:rPr>
                <w:sz w:val="21"/>
                <w:szCs w:val="21"/>
              </w:rPr>
            </w:pPr>
            <w:r>
              <w:rPr>
                <w:kern w:val="0"/>
                <w:sz w:val="21"/>
                <w:szCs w:val="21"/>
              </w:rPr>
              <w:t>通河交界处</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326" w:hRule="atLeast"/>
        </w:trPr>
        <w:tc>
          <w:tcPr>
            <w:tcW w:w="275"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15</w:t>
            </w:r>
          </w:p>
        </w:tc>
        <w:tc>
          <w:tcPr>
            <w:tcW w:w="66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金汁河</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南天集团</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Ⅲ类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312" w:hRule="atLeast"/>
        </w:trPr>
        <w:tc>
          <w:tcPr>
            <w:tcW w:w="275"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rPr>
                <w:sz w:val="21"/>
                <w:szCs w:val="21"/>
              </w:rPr>
            </w:pPr>
          </w:p>
        </w:tc>
        <w:tc>
          <w:tcPr>
            <w:tcW w:w="66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rPr>
                <w:sz w:val="21"/>
                <w:szCs w:val="21"/>
              </w:rPr>
            </w:pP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老官南路</w:t>
            </w:r>
          </w:p>
        </w:tc>
        <w:tc>
          <w:tcPr>
            <w:tcW w:w="4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市控</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5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Ⅳ类</w:t>
            </w:r>
          </w:p>
        </w:tc>
        <w:tc>
          <w:tcPr>
            <w:tcW w:w="15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sz w:val="21"/>
                <w:szCs w:val="21"/>
              </w:rPr>
            </w:pPr>
            <w:r>
              <w:rPr>
                <w:kern w:val="0"/>
                <w:sz w:val="21"/>
                <w:szCs w:val="21"/>
              </w:rPr>
              <w:t>-</w:t>
            </w:r>
          </w:p>
        </w:tc>
      </w:tr>
      <w:tr>
        <w:tblPrEx>
          <w:tblCellMar>
            <w:top w:w="0" w:type="dxa"/>
            <w:left w:w="0" w:type="dxa"/>
            <w:bottom w:w="0" w:type="dxa"/>
            <w:right w:w="0"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备注：河流水质资料来源于2020年昆明市水质监测报告</w:t>
            </w:r>
          </w:p>
        </w:tc>
      </w:tr>
    </w:tbl>
    <w:p>
      <w:pPr>
        <w:numPr>
          <w:ilvl w:val="0"/>
          <w:numId w:val="2"/>
        </w:numPr>
        <w:ind w:left="0" w:firstLine="482"/>
        <w:rPr>
          <w:b/>
          <w:bCs/>
        </w:rPr>
      </w:pPr>
      <w:r>
        <w:rPr>
          <w:b/>
          <w:bCs/>
        </w:rPr>
        <w:t>湖泊</w:t>
      </w:r>
    </w:p>
    <w:p>
      <w:pPr>
        <w:ind w:firstLine="480"/>
      </w:pPr>
      <w:r>
        <w:rPr>
          <w:rFonts w:hint="eastAsia"/>
        </w:rPr>
        <w:t>由《滇池保护治理“十四五”规划</w:t>
      </w:r>
      <w:r>
        <w:t>（2021-2025年）</w:t>
      </w:r>
      <w:r>
        <w:rPr>
          <w:rFonts w:hint="eastAsia"/>
        </w:rPr>
        <w:t>》可知，</w:t>
      </w:r>
      <w:r>
        <w:t>2020年，滇池全湖水质为IV类，营养状态为中度富营养。其中，草海全年平均水质类别为IV类，主要指标中化学需氧量年均浓度为14.8mg/L，总氮年均浓度为3.24mg/L，总磷年均浓度为0.07mg/L，氨氮年均浓度为0.21mg/L；外海全年平均水质类别为V类,主要指标中化学需氧量年均浓度为33.44mg/L，总氮年均浓度为1.32mg/L，总磷年均浓度为0.07mg/L，氨氮年均浓度为0.24mg/L。从近5年滇池湖体水质变化看，主要指标化学需氧量、氨氮、总磷呈改善趋势。滇池外海化学需氧量呈波动变化，2018年最优，达到</w:t>
      </w:r>
      <w:r>
        <w:fldChar w:fldCharType="begin"/>
      </w:r>
      <w:r>
        <w:instrText xml:space="preserve"> = 4 \* ROMAN </w:instrText>
      </w:r>
      <w:r>
        <w:fldChar w:fldCharType="separate"/>
      </w:r>
      <w:r>
        <w:t>IV</w:t>
      </w:r>
      <w:r>
        <w:fldChar w:fldCharType="end"/>
      </w:r>
      <w:r>
        <w:t>类水标准；滇池草海化学需氧量逐年改善，2018～</w:t>
      </w:r>
      <w:r>
        <w:rPr>
          <w:rFonts w:hint="eastAsia"/>
        </w:rPr>
        <w:t>2020年</w:t>
      </w:r>
      <w:r>
        <w:t>，化学需氧量优于</w:t>
      </w:r>
      <w:r>
        <w:fldChar w:fldCharType="begin"/>
      </w:r>
      <w:r>
        <w:instrText xml:space="preserve"> = 4 \* ROMAN </w:instrText>
      </w:r>
      <w:r>
        <w:fldChar w:fldCharType="separate"/>
      </w:r>
      <w:r>
        <w:t>IV</w:t>
      </w:r>
      <w:r>
        <w:fldChar w:fldCharType="end"/>
      </w:r>
      <w:r>
        <w:t>类水标准；滇池草海和外海氨氮均优于Ⅲ类水标准；滇池草海和外海总磷呈波动改善趋势，2018～</w:t>
      </w:r>
      <w:r>
        <w:rPr>
          <w:rFonts w:hint="eastAsia"/>
        </w:rPr>
        <w:t>2020年</w:t>
      </w:r>
      <w:r>
        <w:t>优于</w:t>
      </w:r>
      <w:r>
        <w:fldChar w:fldCharType="begin"/>
      </w:r>
      <w:r>
        <w:instrText xml:space="preserve"> = 4 \* ROMAN </w:instrText>
      </w:r>
      <w:r>
        <w:fldChar w:fldCharType="separate"/>
      </w:r>
      <w:r>
        <w:t>IV</w:t>
      </w:r>
      <w:r>
        <w:fldChar w:fldCharType="end"/>
      </w:r>
      <w:r>
        <w:t>类水标准</w:t>
      </w:r>
      <w:r>
        <w:rPr>
          <w:rFonts w:hint="eastAsia"/>
        </w:rPr>
        <w:t>。</w:t>
      </w:r>
    </w:p>
    <w:p>
      <w:pPr>
        <w:pStyle w:val="2"/>
        <w:rPr>
          <w:rFonts w:cs="Times New Roman"/>
          <w:szCs w:val="24"/>
        </w:rPr>
      </w:pPr>
      <w:bookmarkStart w:id="47" w:name="_Toc31172"/>
      <w:r>
        <w:rPr>
          <w:rFonts w:cs="Times New Roman"/>
          <w:szCs w:val="24"/>
        </w:rPr>
        <w:t>1.2.2社会经济慨况</w:t>
      </w:r>
      <w:bookmarkEnd w:id="47"/>
    </w:p>
    <w:p>
      <w:pPr>
        <w:ind w:firstLine="480"/>
        <w:rPr>
          <w:kern w:val="0"/>
        </w:rPr>
      </w:pPr>
      <w:r>
        <w:t>根据《2020年官渡区国民经济和社会发展统计公报》</w:t>
      </w:r>
      <w:r>
        <w:rPr>
          <w:rFonts w:hint="eastAsia"/>
        </w:rPr>
        <w:t>可知</w:t>
      </w:r>
      <w:r>
        <w:t>，官渡区2020年全区实现地区生产总值（GDP）1383.47亿元，总量居昆明市各县（区）第一，按可比价格计算，同比增长1.8%。其中，第一产业增加值8.95亿元，下降1.8%；第二产业增加值465.81亿元，增长6.4%，拉动GDP增长2.2个百分点；第三产业增加值908.71亿元，下降0.6%。三次产业结构比为0.6:33.7:65.7。全区农林牧渔业总产值14.74亿元，同比下降3.1%。增加值9.30亿元，同比下降1.9%。全年工业增加值207.11亿元，同比增长2.6%。规模以上工业增加值增长2.6%</w:t>
      </w:r>
      <w:r>
        <w:rPr>
          <w:rFonts w:hint="eastAsia"/>
        </w:rPr>
        <w:t>，</w:t>
      </w:r>
      <w:r>
        <w:t>全年财政总收入155.27亿元，同比增长0.5%。一般公共预算收入49.65亿元，同比增长2.6%，其中：税收收入43.85亿元，下降0.7%。一般公共预算支出62.98亿元，增长8.9%，全年固定资产投资（不含农户）同比增长14.6%。</w:t>
      </w:r>
    </w:p>
    <w:p>
      <w:pPr>
        <w:ind w:firstLine="480"/>
      </w:pPr>
      <w:r>
        <w:t>全区城镇常住居民人均可支配收入48997元，同比增长3.7%；城镇居民人均生活消费支出29298元。农村常住居民人均可支配收入24073元，同比增长7.6%；农村居民人均生活消费支出17463元。</w:t>
      </w:r>
    </w:p>
    <w:p>
      <w:pPr>
        <w:pStyle w:val="6"/>
        <w:rPr>
          <w:szCs w:val="24"/>
        </w:rPr>
      </w:pPr>
      <w:bookmarkStart w:id="48" w:name="_Toc15376"/>
      <w:bookmarkStart w:id="49" w:name="_Toc31892"/>
      <w:r>
        <w:rPr>
          <w:szCs w:val="24"/>
        </w:rPr>
        <w:t>1.3水务发展“十三五”规划完成情况</w:t>
      </w:r>
      <w:bookmarkEnd w:id="48"/>
      <w:bookmarkEnd w:id="49"/>
    </w:p>
    <w:p>
      <w:pPr>
        <w:pStyle w:val="2"/>
        <w:rPr>
          <w:rFonts w:cs="Times New Roman"/>
          <w:szCs w:val="24"/>
        </w:rPr>
      </w:pPr>
      <w:bookmarkStart w:id="50" w:name="_Toc4758"/>
      <w:r>
        <w:rPr>
          <w:rFonts w:cs="Times New Roman"/>
          <w:szCs w:val="24"/>
        </w:rPr>
        <w:t>1.3.</w:t>
      </w:r>
      <w:r>
        <w:rPr>
          <w:rFonts w:hint="eastAsia" w:cs="Times New Roman"/>
          <w:szCs w:val="24"/>
        </w:rPr>
        <w:t>1</w:t>
      </w:r>
      <w:r>
        <w:rPr>
          <w:rFonts w:cs="Times New Roman"/>
          <w:szCs w:val="24"/>
        </w:rPr>
        <w:t>水务发展“十三五”取得主要成就</w:t>
      </w:r>
      <w:bookmarkEnd w:id="50"/>
    </w:p>
    <w:p>
      <w:pPr>
        <w:ind w:firstLine="480"/>
      </w:pPr>
      <w:r>
        <w:t>“十三五”以来，水务部门以习近平新时代中国特色社会主义思想为指导，深入贯彻落实习近平总书记关于治水工作的重要论述精神和考察云南重要讲话精神，在昆明市水务局的关心支持和区委、区政府的坚强领导下，积极践行“节水优先、空间均衡、系统治理、两手发力”的治水思路，全区水旱灾害防御能力持续提升，河湖长制工作纵深推进，水生态文明建设成效明显，水土流失监管全面加强，水利信息化短板加快补齐，依法治水管水工作深入推进，“十三五”确定的目标能够如期较好完成，有效保障了全区经济社会发展，水安全保障水平持续提升。</w:t>
      </w:r>
    </w:p>
    <w:p>
      <w:pPr>
        <w:widowControl/>
        <w:ind w:firstLine="480"/>
        <w:jc w:val="left"/>
      </w:pPr>
      <w:r>
        <w:t>根据《</w:t>
      </w:r>
      <w:r>
        <w:rPr>
          <w:rFonts w:hint="eastAsia"/>
        </w:rPr>
        <w:t>官渡区</w:t>
      </w:r>
      <w:r>
        <w:t>水务发展“十三五”规划》</w:t>
      </w:r>
      <w:r>
        <w:rPr>
          <w:rFonts w:hint="eastAsia"/>
        </w:rPr>
        <w:t>，“十三五”期间官渡区</w:t>
      </w:r>
      <w:r>
        <w:t>建设内容涉及滇池流域重点河流水环境综合整治工程、城镇防洪排涝工程、行业能力建设、海绵城市建设等方面。在省、市水利部门和政府的大力支持下，</w:t>
      </w:r>
      <w:r>
        <w:rPr>
          <w:rFonts w:hint="eastAsia"/>
        </w:rPr>
        <w:t>官渡区</w:t>
      </w:r>
      <w:r>
        <w:t>水利行业有了长足发展，“十三五”水务发展规划项目共有4类17项，规划总投资25</w:t>
      </w:r>
      <w:r>
        <w:rPr>
          <w:rFonts w:hint="eastAsia"/>
        </w:rPr>
        <w:t>.</w:t>
      </w:r>
      <w:r>
        <w:t>17</w:t>
      </w:r>
      <w:r>
        <w:rPr>
          <w:rFonts w:hint="eastAsia"/>
        </w:rPr>
        <w:t>亿</w:t>
      </w:r>
      <w:r>
        <w:t>元。截止2020年底，“十三五”期间共计完成规划项目共有7类2</w:t>
      </w:r>
      <w:r>
        <w:rPr>
          <w:rFonts w:hint="eastAsia"/>
        </w:rPr>
        <w:t>3</w:t>
      </w:r>
      <w:r>
        <w:t>件，完成投资23</w:t>
      </w:r>
      <w:r>
        <w:rPr>
          <w:rFonts w:hint="eastAsia"/>
        </w:rPr>
        <w:t>.54亿</w:t>
      </w:r>
      <w:r>
        <w:t>元，占规划投资25.17亿元的9</w:t>
      </w:r>
      <w:r>
        <w:rPr>
          <w:rFonts w:hint="eastAsia"/>
        </w:rPr>
        <w:t>3</w:t>
      </w:r>
      <w:r>
        <w:t>.52%。通过加大水利建设力度，全区水利基础设施建设全面加强，防洪抗旱能力得到进一步提升，水务改革加快推进，水安全保障体系基本形成，水利基础设施面貌发生了较大变化。</w:t>
      </w:r>
    </w:p>
    <w:p>
      <w:pPr>
        <w:pStyle w:val="3"/>
        <w:rPr>
          <w:rFonts w:cs="Times New Roman"/>
          <w:szCs w:val="24"/>
        </w:rPr>
      </w:pPr>
      <w:r>
        <w:rPr>
          <w:rFonts w:cs="Times New Roman"/>
          <w:szCs w:val="24"/>
        </w:rPr>
        <w:t>1.3.2.1防洪减灾能力得到显著提高</w:t>
      </w:r>
    </w:p>
    <w:p>
      <w:pPr>
        <w:ind w:firstLine="480"/>
        <w:rPr>
          <w:b/>
          <w:bCs/>
        </w:rPr>
      </w:pPr>
      <w:r>
        <w:rPr>
          <w:rFonts w:hint="eastAsia"/>
        </w:rPr>
        <w:t>官渡区</w:t>
      </w:r>
      <w:r>
        <w:t>“十三五”期间针对官渡区防洪排涝薄弱环节，完善了官渡区防汛抗旱应急预案，抓好抢险队伍建设，做好突发灾害的抢险救助工作</w:t>
      </w:r>
      <w:r>
        <w:rPr>
          <w:rFonts w:hint="eastAsia"/>
        </w:rPr>
        <w:t>，</w:t>
      </w:r>
      <w:r>
        <w:t>组织各成员单位和各街道，对辖区内的河道、河闸、沟渠、排水管网、泵站等排涝设施进行全面的防汛安全检查和隐患整改</w:t>
      </w:r>
      <w:r>
        <w:rPr>
          <w:rFonts w:hint="eastAsia"/>
        </w:rPr>
        <w:t>；</w:t>
      </w:r>
      <w:r>
        <w:t>按照“上蓄、中疏、下泄”的城市防洪排涝体系，开展官渡区城区易淹易涝区域调查分析，统一采购抽排设备配发各街道，完善辖区主要淹水点视频监控的建设，为强降雨的信息传递提供了有力支撑</w:t>
      </w:r>
      <w:r>
        <w:rPr>
          <w:rFonts w:hint="eastAsia"/>
        </w:rPr>
        <w:t>；</w:t>
      </w:r>
      <w:r>
        <w:t>实施了城区淹水片区配套改造工程</w:t>
      </w:r>
      <w:r>
        <w:rPr>
          <w:rFonts w:hint="eastAsia"/>
        </w:rPr>
        <w:t>，</w:t>
      </w:r>
      <w:r>
        <w:t>先后在石虎关与二环铁路下穿隧道、春城路与铁路下穿隧道、牛街庄169隧道、菊花立交铁路隧道、东三环下穿隧道等城市下穿隧道、涵洞、交通桥涵、地下车库等下穿式及地下隐蔽空间，前后安装了38个视频监控设备，在洪涝灾害处置过程中提高了自动化预警水平，对出现的淹积水点及时设置警戒标识、进行物理隔离，启动应急抽排工作；开展相关河道综合治理项目，加大灾后薄弱环节水利设施建设，保障了人民生命财产安全和经济社会发展；建设起以市级山洪灾害监测预警信息管理系统和高清视频会议系统平台为中心的区级山洪灾害监测预警信息管理系统和高清视频会议系统平台，提升了洪涝灾害防御能力</w:t>
      </w:r>
      <w:r>
        <w:rPr>
          <w:rFonts w:hint="eastAsia"/>
        </w:rPr>
        <w:t>。“十三五”期间官渡区</w:t>
      </w:r>
      <w:r>
        <w:t>共完成1</w:t>
      </w:r>
      <w:r>
        <w:rPr>
          <w:rFonts w:hint="eastAsia"/>
        </w:rPr>
        <w:t>4</w:t>
      </w:r>
      <w:r>
        <w:t>件防洪减灾工程</w:t>
      </w:r>
      <w:r>
        <w:rPr>
          <w:rFonts w:hint="eastAsia"/>
        </w:rPr>
        <w:t>，</w:t>
      </w:r>
      <w:r>
        <w:t>完成总投资1</w:t>
      </w:r>
      <w:r>
        <w:rPr>
          <w:rFonts w:hint="eastAsia"/>
        </w:rPr>
        <w:t>82084.34</w:t>
      </w:r>
      <w:r>
        <w:t>万元。</w:t>
      </w:r>
    </w:p>
    <w:p>
      <w:pPr>
        <w:pStyle w:val="3"/>
        <w:rPr>
          <w:rFonts w:cs="Times New Roman"/>
          <w:szCs w:val="24"/>
        </w:rPr>
      </w:pPr>
      <w:r>
        <w:rPr>
          <w:rFonts w:cs="Times New Roman"/>
          <w:szCs w:val="24"/>
        </w:rPr>
        <w:t>1.3.2.2水资源</w:t>
      </w:r>
      <w:r>
        <w:rPr>
          <w:rFonts w:hint="eastAsia" w:cs="Times New Roman"/>
          <w:szCs w:val="24"/>
        </w:rPr>
        <w:t>节约力度不断加大</w:t>
      </w:r>
    </w:p>
    <w:p>
      <w:pPr>
        <w:numPr>
          <w:ilvl w:val="0"/>
          <w:numId w:val="3"/>
        </w:numPr>
        <w:ind w:left="0" w:firstLine="482"/>
        <w:rPr>
          <w:b/>
          <w:bCs/>
        </w:rPr>
      </w:pPr>
      <w:r>
        <w:rPr>
          <w:rFonts w:hint="eastAsia"/>
          <w:b/>
          <w:bCs/>
        </w:rPr>
        <w:t>落实最严格水资源管理制度</w:t>
      </w:r>
    </w:p>
    <w:p>
      <w:pPr>
        <w:ind w:firstLine="480"/>
      </w:pPr>
      <w:r>
        <w:t>按照“以水定城、量水发展”的工作思路，强化“三条红线”刚性约束，全面落实最严格水资源管理制度</w:t>
      </w:r>
      <w:r>
        <w:rPr>
          <w:rFonts w:hint="eastAsia"/>
        </w:rPr>
        <w:t>，按照昆明市印发的《昆明市“十三五”水资源消耗总量和强度双控行动实施方案》，将水资源消耗总量与强度双控行动贯穿于经济社会发展和生态文明建设全过程</w:t>
      </w:r>
      <w:r>
        <w:t>；</w:t>
      </w:r>
      <w:r>
        <w:rPr>
          <w:rFonts w:hint="eastAsia"/>
        </w:rPr>
        <w:t>官渡区</w:t>
      </w:r>
      <w:r>
        <w:t>严格建设项目水资源论证和取水许可制度，规范取水、用水行为管理，完成地下水井普查和登记工作，强化水资源承载能力的刚性约束，以最严格考核强化水资源管理约束，按照上级下发考核要求，逐年考核官渡区内各乡镇（街道办）最严格水资源管理落实情况，形成了“政府主导、部门联动、社会参与、协同推进”的最严格水资源管理良好格局。</w:t>
      </w:r>
    </w:p>
    <w:p>
      <w:pPr>
        <w:numPr>
          <w:ilvl w:val="0"/>
          <w:numId w:val="3"/>
        </w:numPr>
        <w:ind w:left="0" w:firstLine="482"/>
        <w:rPr>
          <w:b/>
          <w:bCs/>
        </w:rPr>
      </w:pPr>
      <w:r>
        <w:rPr>
          <w:b/>
          <w:bCs/>
        </w:rPr>
        <w:t>严管严控做好节水工作</w:t>
      </w:r>
    </w:p>
    <w:p>
      <w:pPr>
        <w:ind w:firstLine="480"/>
      </w:pPr>
      <w:r>
        <w:t>“十三五”期间官渡区水务局结合“世界水日”、“中国水周”、“全国节水宣传周”等专项宣传活动，制作并发放《节约用水从我做起》、《实施最严格水资源管理制度》等宣传资料，进一步增强水忧患意识和水法制观念，普及节水知识，倡导科学用水，形成全民节水、爱水、惜水的良好氛围。对辖区范围内属区级管理的分散式再生水设施使用单位逐户进行了实地监督检查，并印发了《关于规范官渡区已建成再生水利用设施运行管理的通知》。与我局执法队密切配合，对违反有关规定的用水户依法进行查处和教育，第一时间下发整改通知书，明确整改内容及期限，责令其按期整改。2019年，官渡区通过了水利部县域节水型社会达标建设考核，获得了荣誉称号。</w:t>
      </w:r>
      <w:r>
        <w:rPr>
          <w:rFonts w:hint="eastAsia"/>
        </w:rPr>
        <w:t>官渡区</w:t>
      </w:r>
      <w:r>
        <w:t>做好辖区内的“建设项目节约用水措施方案审查”的审批工作，按要求同期配套雨水收集利用设施，每年需办理节水“三同时”审查的项目均按要求办理了审查意见。开展水利行业节水机关建设，2020年获市水务局认定为“水利行业节水机关”。</w:t>
      </w:r>
    </w:p>
    <w:p>
      <w:pPr>
        <w:numPr>
          <w:ilvl w:val="0"/>
          <w:numId w:val="3"/>
        </w:numPr>
        <w:ind w:left="0" w:firstLine="482"/>
        <w:rPr>
          <w:b/>
          <w:bCs/>
        </w:rPr>
      </w:pPr>
      <w:r>
        <w:rPr>
          <w:b/>
          <w:bCs/>
        </w:rPr>
        <w:t>节水型社会建设成效初显</w:t>
      </w:r>
    </w:p>
    <w:p>
      <w:pPr>
        <w:ind w:firstLine="480"/>
      </w:pPr>
      <w:r>
        <w:t>“十三五”期间，官渡区节水管理措施扎实有效，取得明显成效，节水型企业覆盖率达24.10%，节水型单位覆盖率达36.46%，节水型小区覆盖率达26.88%；计划（定额）用水率达100%，节水型器具普及率达100%，规模以上工业用水重复利用率达91%，万元工业增加值用水量比</w:t>
      </w:r>
      <w:r>
        <w:rPr>
          <w:rFonts w:hint="eastAsia"/>
        </w:rPr>
        <w:t>2</w:t>
      </w:r>
      <w:r>
        <w:t>015年下降29%，万元国内生产总值用水量比2015年下降28%，办理节水措施方案审查183件，办理节水设施备案34件，办理节水设施竣工验收意见16件。</w:t>
      </w:r>
    </w:p>
    <w:p>
      <w:pPr>
        <w:numPr>
          <w:ilvl w:val="0"/>
          <w:numId w:val="3"/>
        </w:numPr>
        <w:ind w:left="0" w:firstLine="482"/>
        <w:rPr>
          <w:b/>
          <w:bCs/>
        </w:rPr>
      </w:pPr>
      <w:bookmarkStart w:id="51" w:name="_Toc73108327"/>
      <w:r>
        <w:rPr>
          <w:b/>
          <w:bCs/>
        </w:rPr>
        <w:t>非常规水利用进一步提升</w:t>
      </w:r>
      <w:bookmarkEnd w:id="51"/>
    </w:p>
    <w:p>
      <w:pPr>
        <w:ind w:firstLine="480"/>
      </w:pPr>
      <w:r>
        <w:t>“十三五”期间建设完成分散式再生水利用设施84座，设计处理规模2.75万m</w:t>
      </w:r>
      <w:r>
        <w:rPr>
          <w:vertAlign w:val="superscript"/>
        </w:rPr>
        <w:t>3</w:t>
      </w:r>
      <w:r>
        <w:t>/d，实际再生水利用量79.43万m</w:t>
      </w:r>
      <w:r>
        <w:rPr>
          <w:vertAlign w:val="superscript"/>
        </w:rPr>
        <w:t>3</w:t>
      </w:r>
      <w:r>
        <w:t>/a，在建项目有再生水利用设施3座，设计处理规模0.022万m</w:t>
      </w:r>
      <w:r>
        <w:rPr>
          <w:vertAlign w:val="superscript"/>
        </w:rPr>
        <w:t>3</w:t>
      </w:r>
      <w:r>
        <w:t>/d。</w:t>
      </w:r>
    </w:p>
    <w:p>
      <w:pPr>
        <w:numPr>
          <w:ilvl w:val="0"/>
          <w:numId w:val="3"/>
        </w:numPr>
        <w:ind w:left="0" w:firstLine="482"/>
        <w:rPr>
          <w:b/>
          <w:bCs/>
        </w:rPr>
      </w:pPr>
      <w:r>
        <w:rPr>
          <w:rFonts w:hint="eastAsia"/>
          <w:b/>
          <w:bCs/>
        </w:rPr>
        <w:t>加</w:t>
      </w:r>
      <w:r>
        <w:rPr>
          <w:b/>
          <w:bCs/>
        </w:rPr>
        <w:t>强海绵城市建设</w:t>
      </w:r>
    </w:p>
    <w:p>
      <w:pPr>
        <w:ind w:firstLine="480"/>
      </w:pPr>
      <w:r>
        <w:t>根据昆明市水务局印发的《昆明市海绵城市建设工作方案》和相关单位编制的《昆明市海绵城市建设技术体系》《昆明市海绵城市建设专项规划（2016-2030）》，“十三五”期间官渡区海绵城市建设</w:t>
      </w:r>
      <w:r>
        <w:rPr>
          <w:rFonts w:hint="eastAsia"/>
        </w:rPr>
        <w:t>任务为13.23</w:t>
      </w:r>
      <w:r>
        <w:t>km</w:t>
      </w:r>
      <w:r>
        <w:rPr>
          <w:vertAlign w:val="superscript"/>
        </w:rPr>
        <w:t>2</w:t>
      </w:r>
      <w:r>
        <w:rPr>
          <w:rFonts w:hint="eastAsia"/>
        </w:rPr>
        <w:t>，均已完成。截止到2020年官渡区</w:t>
      </w:r>
      <w:r>
        <w:t>海绵城市建设先行区总规划建设面积21.93km</w:t>
      </w:r>
      <w:r>
        <w:rPr>
          <w:vertAlign w:val="superscript"/>
        </w:rPr>
        <w:t>2</w:t>
      </w:r>
      <w:r>
        <w:t>，</w:t>
      </w:r>
      <w:r>
        <w:rPr>
          <w:rFonts w:hint="eastAsia"/>
        </w:rPr>
        <w:t>现</w:t>
      </w:r>
      <w:r>
        <w:t>会展中心片区正在开展建设</w:t>
      </w:r>
      <w:r>
        <w:rPr>
          <w:rFonts w:hint="eastAsia"/>
        </w:rPr>
        <w:t>；</w:t>
      </w:r>
      <w:r>
        <w:t>巫家坝片区正在进行市政道路建设</w:t>
      </w:r>
      <w:r>
        <w:rPr>
          <w:rFonts w:hint="eastAsia"/>
        </w:rPr>
        <w:t>；</w:t>
      </w:r>
      <w:r>
        <w:t>海绵城市省级试点补助项目官渡区东沟公园建设项目已建成向市民开放</w:t>
      </w:r>
      <w:r>
        <w:rPr>
          <w:rFonts w:hint="eastAsia"/>
        </w:rPr>
        <w:t>；官渡区</w:t>
      </w:r>
      <w:r>
        <w:t>海绵城市建设监测系统正在开展建设，为海绵城市建设的科学评估奠定基础</w:t>
      </w:r>
      <w:r>
        <w:rPr>
          <w:lang w:val="zh-CN"/>
        </w:rPr>
        <w:t>。</w:t>
      </w:r>
    </w:p>
    <w:p>
      <w:pPr>
        <w:pStyle w:val="3"/>
        <w:rPr>
          <w:rFonts w:cs="Times New Roman"/>
          <w:szCs w:val="24"/>
        </w:rPr>
      </w:pPr>
      <w:r>
        <w:rPr>
          <w:rFonts w:hint="eastAsia" w:cs="Times New Roman"/>
          <w:szCs w:val="24"/>
        </w:rPr>
        <w:t>1.3.2.3</w:t>
      </w:r>
      <w:r>
        <w:rPr>
          <w:rFonts w:cs="Times New Roman"/>
          <w:szCs w:val="24"/>
        </w:rPr>
        <w:t>农田水利工程已全面建成</w:t>
      </w:r>
    </w:p>
    <w:p>
      <w:pPr>
        <w:ind w:firstLine="480"/>
      </w:pPr>
      <w:r>
        <w:t>2016年开展农田水利基本建设定补项目29件，项目完成投资1671.08万元，保护人口70072人，改善灌溉面积21300亩，治理水土流失2000亩。2017年开展农田水利基本建设，定补项目27件，项目完成投资1758.05万元。保护人口54201人，改善灌溉面积9200亩，新增灌溉面积400亩。到2020年底仅剩矣六街道仅有6000多亩耕地，该地区农田水利工程已全面建成。</w:t>
      </w:r>
    </w:p>
    <w:p>
      <w:pPr>
        <w:pStyle w:val="3"/>
        <w:rPr>
          <w:rFonts w:cs="Times New Roman"/>
          <w:szCs w:val="24"/>
        </w:rPr>
      </w:pPr>
      <w:bookmarkStart w:id="52" w:name="_Toc73108324"/>
      <w:r>
        <w:rPr>
          <w:rFonts w:cs="Times New Roman"/>
          <w:szCs w:val="24"/>
        </w:rPr>
        <w:t>1.3.2.4水生态工作有序推进</w:t>
      </w:r>
    </w:p>
    <w:p>
      <w:pPr>
        <w:numPr>
          <w:ilvl w:val="0"/>
          <w:numId w:val="4"/>
        </w:numPr>
        <w:ind w:left="0" w:firstLine="482"/>
        <w:rPr>
          <w:b/>
          <w:bCs/>
        </w:rPr>
      </w:pPr>
      <w:r>
        <w:rPr>
          <w:b/>
          <w:bCs/>
        </w:rPr>
        <w:t>水环境综合整治能力不断提升</w:t>
      </w:r>
      <w:bookmarkEnd w:id="52"/>
    </w:p>
    <w:p>
      <w:pPr>
        <w:ind w:firstLine="480"/>
      </w:pPr>
      <w:r>
        <w:t>“十三五”期间，水环境综合治理进入新阶段，通过治理后，实现了主要河道的清淤、截污、生态河堤、河岸绿化的建设，实现主要河道水质达标。“十三五”主要完成水环境工程</w:t>
      </w:r>
      <w:r>
        <w:rPr>
          <w:rFonts w:hint="eastAsia"/>
        </w:rPr>
        <w:t>9</w:t>
      </w:r>
      <w:r>
        <w:t>件，完成投资</w:t>
      </w:r>
      <w:r>
        <w:rPr>
          <w:rFonts w:hint="eastAsia"/>
        </w:rPr>
        <w:t>49791.00</w:t>
      </w:r>
      <w:r>
        <w:t>万元。</w:t>
      </w:r>
    </w:p>
    <w:p>
      <w:pPr>
        <w:numPr>
          <w:ilvl w:val="0"/>
          <w:numId w:val="4"/>
        </w:numPr>
        <w:ind w:left="0" w:firstLine="482"/>
        <w:rPr>
          <w:b/>
          <w:bCs/>
        </w:rPr>
      </w:pPr>
      <w:bookmarkStart w:id="53" w:name="_Toc413935622"/>
      <w:bookmarkStart w:id="54" w:name="_Toc413935512"/>
      <w:bookmarkStart w:id="55" w:name="_Toc73108328"/>
      <w:r>
        <w:rPr>
          <w:b/>
          <w:bCs/>
        </w:rPr>
        <w:t>水土保持</w:t>
      </w:r>
      <w:bookmarkEnd w:id="53"/>
      <w:bookmarkEnd w:id="54"/>
      <w:r>
        <w:rPr>
          <w:b/>
          <w:bCs/>
        </w:rPr>
        <w:t>成效明显</w:t>
      </w:r>
      <w:bookmarkEnd w:id="55"/>
    </w:p>
    <w:p>
      <w:pPr>
        <w:spacing w:line="580" w:lineRule="exact"/>
        <w:ind w:firstLine="480"/>
      </w:pPr>
      <w:r>
        <w:t>“十三五”期间完成水土流失治理面积0.38km</w:t>
      </w:r>
      <w:r>
        <w:rPr>
          <w:vertAlign w:val="superscript"/>
        </w:rPr>
        <w:t>2</w:t>
      </w:r>
      <w:r>
        <w:t>，封禁治理0.38km</w:t>
      </w:r>
      <w:r>
        <w:rPr>
          <w:vertAlign w:val="superscript"/>
        </w:rPr>
        <w:t>2</w:t>
      </w:r>
      <w:r>
        <w:t>，年度水土保持措施新增减少土壤流失量190t。</w:t>
      </w:r>
      <w:r>
        <w:rPr>
          <w:rFonts w:hint="eastAsia"/>
        </w:rPr>
        <w:t>监管并重落实水土保持，</w:t>
      </w:r>
      <w:r>
        <w:t>2020年官渡区严格按程序进行水保方案审批，共审批水保方案51件。针对已开工建设的房地产、道路、回迁安置房、学校等项目进行检查，现场检查70余次，监督落实“三同时”制度执行；共收取水土保持补偿费79</w:t>
      </w:r>
      <w:r>
        <w:rPr>
          <w:rFonts w:hint="eastAsia"/>
        </w:rPr>
        <w:t>.00</w:t>
      </w:r>
      <w:r>
        <w:t>万元。完成水利部水保信息化录入，实现高效、快捷、全程信息化管理。</w:t>
      </w:r>
    </w:p>
    <w:p>
      <w:pPr>
        <w:numPr>
          <w:ilvl w:val="0"/>
          <w:numId w:val="4"/>
        </w:numPr>
        <w:ind w:left="0" w:firstLine="482"/>
        <w:rPr>
          <w:b/>
          <w:bCs/>
        </w:rPr>
      </w:pPr>
      <w:r>
        <w:rPr>
          <w:b/>
          <w:bCs/>
        </w:rPr>
        <w:t>水生态保护工作有序推进</w:t>
      </w:r>
    </w:p>
    <w:p>
      <w:pPr>
        <w:ind w:firstLine="480"/>
      </w:pPr>
      <w:r>
        <w:t>开展了滇池流域水质水量监测体系建设。借鉴滇池治理保护经验，将水质类别提升和污染物浓度削减双目标控制的要求，落实到“一河一策”方案中。根据河湖“清四乱”和“云南清水行动”的相关要求，在官渡区境内各主要河渠湖库开展垃圾堆放、生活污水排放、入河排污口设置等专项治理行动，完成官渡区部分河湖的管理范围划定工作。提高水污染事件应急处理能力。实施生态清洁小流域综合治理工程、集镇污水管网完善工程以及重点村庄污水处理工程。进一步加强水土保持措施落实情况的监督检查，逐步扭转生产建设单位对水土保持方案重审批轻落实的观念，有效遏制人为水土流失。</w:t>
      </w:r>
    </w:p>
    <w:p>
      <w:pPr>
        <w:pStyle w:val="3"/>
        <w:rPr>
          <w:rFonts w:cs="Times New Roman"/>
          <w:szCs w:val="24"/>
        </w:rPr>
      </w:pPr>
      <w:r>
        <w:rPr>
          <w:rFonts w:cs="Times New Roman"/>
          <w:szCs w:val="24"/>
        </w:rPr>
        <w:t>1.3.2.5水</w:t>
      </w:r>
      <w:r>
        <w:rPr>
          <w:rFonts w:hint="eastAsia" w:cs="Times New Roman"/>
          <w:szCs w:val="24"/>
        </w:rPr>
        <w:t>务</w:t>
      </w:r>
      <w:r>
        <w:rPr>
          <w:rFonts w:cs="Times New Roman"/>
          <w:szCs w:val="24"/>
        </w:rPr>
        <w:t>信息化水平稳步提高</w:t>
      </w:r>
    </w:p>
    <w:p>
      <w:pPr>
        <w:ind w:firstLine="480"/>
      </w:pPr>
      <w:r>
        <w:t>依托昆明市已建成的市级水利建设项目管理系统、水务基础信息管理平台、再生水管理系统、计划用水管理系统、淹水点监控、水资源信息监控系统等完成官渡区县级相关平台的建设工作</w:t>
      </w:r>
      <w:r>
        <w:rPr>
          <w:rFonts w:hint="eastAsia"/>
        </w:rPr>
        <w:t>；</w:t>
      </w:r>
      <w:r>
        <w:t>委托东华软件集团公司开发官渡区河长制信息管理平台，应用互联网+政务服务的模式，从河道保洁、管理，到违法行为查处、工程整治信息化，全面实现河长制工作的信息化管理</w:t>
      </w:r>
      <w:r>
        <w:rPr>
          <w:rFonts w:hint="eastAsia"/>
        </w:rPr>
        <w:t>。</w:t>
      </w:r>
    </w:p>
    <w:p>
      <w:pPr>
        <w:pStyle w:val="3"/>
        <w:rPr>
          <w:rFonts w:cs="Times New Roman"/>
          <w:szCs w:val="24"/>
        </w:rPr>
      </w:pPr>
      <w:r>
        <w:rPr>
          <w:rFonts w:cs="Times New Roman"/>
          <w:szCs w:val="24"/>
        </w:rPr>
        <w:t>1.3.2.6水管理体制改革取得进展</w:t>
      </w:r>
    </w:p>
    <w:p>
      <w:pPr>
        <w:numPr>
          <w:ilvl w:val="0"/>
          <w:numId w:val="5"/>
        </w:numPr>
        <w:ind w:left="0" w:firstLine="482"/>
        <w:rPr>
          <w:b/>
          <w:bCs/>
        </w:rPr>
      </w:pPr>
      <w:r>
        <w:rPr>
          <w:b/>
          <w:bCs/>
        </w:rPr>
        <w:t>建立河湖管理与保护制度</w:t>
      </w:r>
    </w:p>
    <w:p>
      <w:pPr>
        <w:ind w:firstLine="480"/>
      </w:pPr>
      <w:r>
        <w:t>全面推行河(湖)长制,依据昆明市相继出台的《关于全面深化河长制工作的意见》《昆明市全面深化河长制工作实施方案》《昆明市全面深化河长制行动方案》《昆明市全面推行湖长制工作实施方案》等政策文件</w:t>
      </w:r>
      <w:r>
        <w:rPr>
          <w:rFonts w:hint="eastAsia"/>
        </w:rPr>
        <w:t>，</w:t>
      </w:r>
      <w:r>
        <w:t>结合官渡区实际，制定了《官渡区河长制工作考核办法》、《官渡区河长巡河规范》、《官渡区河长制联席会议制度（试行）》、《官渡区级河长协调会办制度（试行）》、《官渡区级河长日常巡查制度（试行）》、《官渡区河长制工作信息报送制度（试行）》、《重点项目协调推进制度》、《投诉举报受理制度》、《培训制度》等12个相关配套制度</w:t>
      </w:r>
      <w:r>
        <w:rPr>
          <w:rFonts w:hint="eastAsia"/>
        </w:rPr>
        <w:t>，</w:t>
      </w:r>
      <w:r>
        <w:t>官渡区建立“</w:t>
      </w:r>
      <w:r>
        <w:rPr>
          <w:rFonts w:hint="eastAsia"/>
        </w:rPr>
        <w:t>三</w:t>
      </w:r>
      <w:r>
        <w:t>级河长</w:t>
      </w:r>
      <w:r>
        <w:rPr>
          <w:rFonts w:hint="eastAsia"/>
        </w:rPr>
        <w:t>四</w:t>
      </w:r>
      <w:r>
        <w:t>级治理”体系，明确由党委、政府主要领导承担总河长、副总河长，党委、人大、政府、政协相关领导为分段河长的组织体系。建立河长制信息化管理平台，积极开展河湖保护治理成效宣传工作，建成河湖管理系统，实现河长移动管理、统一考核管理、大数据融合分析、公众参与、信息发布等功能，保障河长制工作实效。</w:t>
      </w:r>
    </w:p>
    <w:p>
      <w:pPr>
        <w:numPr>
          <w:ilvl w:val="0"/>
          <w:numId w:val="5"/>
        </w:numPr>
        <w:ind w:left="0" w:firstLine="482"/>
        <w:rPr>
          <w:b/>
          <w:bCs/>
        </w:rPr>
      </w:pPr>
      <w:r>
        <w:rPr>
          <w:rFonts w:hint="eastAsia"/>
          <w:b/>
          <w:bCs/>
        </w:rPr>
        <w:t>探索</w:t>
      </w:r>
      <w:r>
        <w:rPr>
          <w:b/>
          <w:bCs/>
        </w:rPr>
        <w:t>生态补偿制度</w:t>
      </w:r>
    </w:p>
    <w:p>
      <w:pPr>
        <w:ind w:firstLine="480"/>
      </w:pPr>
      <w:r>
        <w:t>根据昆明市印发的《滇池流域河道生态补偿办法（试行）》《昆明市滇池流域河道生态补偿实施方案（试行）》等，明确补偿标准、补偿方式、资金筹措方案。整合水务、滇管、环保、财政、水文等多部门力量，对15条入滇河道开展跨区行政断面水质水量监测工作，为生态补偿奠定基础。</w:t>
      </w:r>
    </w:p>
    <w:p>
      <w:pPr>
        <w:numPr>
          <w:ilvl w:val="0"/>
          <w:numId w:val="5"/>
        </w:numPr>
        <w:ind w:left="0" w:firstLine="482"/>
        <w:rPr>
          <w:b/>
          <w:bCs/>
        </w:rPr>
      </w:pPr>
      <w:r>
        <w:rPr>
          <w:b/>
          <w:bCs/>
        </w:rPr>
        <w:t>强化监督做好水行政执法</w:t>
      </w:r>
    </w:p>
    <w:p>
      <w:pPr>
        <w:ind w:firstLine="480"/>
      </w:pPr>
      <w:r>
        <w:t>“十三五”期间官渡区加强区属范围内的河道、水工程、水资源、水土保持、城市节约用水、违法排污等方面的监督检查，加大破坏河岸堤防、违法排放污染物、违规取水等水事违法案件的查处力度，不定期对辖区滇池水域进行执法巡查，抓好完善精准治污协同联动监管长效机制。</w:t>
      </w:r>
    </w:p>
    <w:p>
      <w:pPr>
        <w:numPr>
          <w:ilvl w:val="0"/>
          <w:numId w:val="5"/>
        </w:numPr>
        <w:ind w:left="0" w:firstLine="482"/>
        <w:rPr>
          <w:b/>
          <w:bCs/>
        </w:rPr>
      </w:pPr>
      <w:r>
        <w:rPr>
          <w:b/>
          <w:bCs/>
        </w:rPr>
        <w:t>行政审批制度改革工作</w:t>
      </w:r>
    </w:p>
    <w:p>
      <w:pPr>
        <w:ind w:firstLine="480"/>
      </w:pPr>
      <w:r>
        <w:t>“十三五”期间官渡区水务局进一步梳理权力清单，目前官渡区有行政许可10项，行政处罚129项，行政强制7项，行政征收2项，行政检查3项；切实规范行政许可行为。按照行政审批“两集中、两到位”的要求，从上至下清理、调整、取消的原则，</w:t>
      </w:r>
      <w:r>
        <w:rPr>
          <w:rFonts w:hint="eastAsia"/>
        </w:rPr>
        <w:t>官渡区水务局</w:t>
      </w:r>
      <w:r>
        <w:t>的行政许可审批事项由3项调整为10项，内部审批事项4项，规范了办事指南及业务手册，集中办理行政许可事项100%进中心，实行“一个窗口对外”，实现“一站式”窗口对外服务；到2020年官渡区水务局涉及的行政审批项目及工作已全部进驻区政务服务中心综合窗口，严格执行行政许可的程序和规范，完善政务公开、服务承诺、首问负责、一次告知、限时办结等服务制度，</w:t>
      </w:r>
      <w:r>
        <w:rPr>
          <w:rFonts w:hint="eastAsia"/>
        </w:rPr>
        <w:t>并</w:t>
      </w:r>
      <w:r>
        <w:rPr>
          <w:rFonts w:hint="eastAsia"/>
          <w:lang w:val="zh-CN"/>
        </w:rPr>
        <w:t>在官渡区政府门户网站及时公开了行政审批、行政许可决定书等，积极落实“双随机、一公开”监管工作。</w:t>
      </w:r>
      <w:r>
        <w:br w:type="page"/>
      </w:r>
    </w:p>
    <w:p>
      <w:pPr>
        <w:pStyle w:val="6"/>
        <w:rPr>
          <w:szCs w:val="24"/>
        </w:rPr>
      </w:pPr>
      <w:bookmarkStart w:id="56" w:name="_Toc20918"/>
      <w:bookmarkStart w:id="57" w:name="_Toc27958"/>
      <w:r>
        <w:rPr>
          <w:szCs w:val="24"/>
        </w:rPr>
        <w:t>1.4“十四五”时期面临的形势和问题</w:t>
      </w:r>
      <w:bookmarkEnd w:id="56"/>
      <w:bookmarkEnd w:id="57"/>
    </w:p>
    <w:p>
      <w:pPr>
        <w:pStyle w:val="2"/>
        <w:rPr>
          <w:rFonts w:cs="Times New Roman"/>
          <w:szCs w:val="24"/>
        </w:rPr>
      </w:pPr>
      <w:bookmarkStart w:id="58" w:name="_Toc15216"/>
      <w:r>
        <w:rPr>
          <w:rFonts w:cs="Times New Roman"/>
          <w:szCs w:val="24"/>
        </w:rPr>
        <w:t>1.4.1“十四五”时期的新形势、新机遇及应对举措</w:t>
      </w:r>
      <w:bookmarkEnd w:id="58"/>
    </w:p>
    <w:p>
      <w:pPr>
        <w:pStyle w:val="3"/>
        <w:rPr>
          <w:rFonts w:cs="Times New Roman"/>
          <w:szCs w:val="24"/>
        </w:rPr>
      </w:pPr>
      <w:r>
        <w:rPr>
          <w:rFonts w:cs="Times New Roman"/>
          <w:szCs w:val="24"/>
        </w:rPr>
        <w:t>1.4.1.1</w:t>
      </w:r>
      <w:r>
        <w:rPr>
          <w:rFonts w:eastAsia="宋体" w:cs="Times New Roman"/>
          <w:szCs w:val="24"/>
        </w:rPr>
        <w:t>党的十九大提出新要求</w:t>
      </w:r>
    </w:p>
    <w:p>
      <w:pPr>
        <w:ind w:firstLine="480"/>
      </w:pPr>
      <w:r>
        <w:t>党的十九大提出，要深化供给侧结构性改革，加强水利、铁路、公路、水运、航空、管道、电网、信息、物流等基础设施网络建设；要坚决破除一切不合时宜的思想观念和体制机制弊端，突破利益固化的藩篱，吸收人类文明有益成果，不断推进国家治理体系和治理能力现代化。</w:t>
      </w:r>
    </w:p>
    <w:p>
      <w:pPr>
        <w:ind w:firstLine="480"/>
      </w:pPr>
      <w:r>
        <w:t>水利作为国民经济的基础和命脉，要按照十九大的要求，巩固提升已有水利基础设施网络，按“确有需要、生态安全、可以持续”的要求，新建一批“打基础、管长远、惠民生”的重大水利工程，打造“标准较高、工程配套、功能完备、调度科学”的水利基础设施网络，要按照“体制顺畅、制度健全、运行高效、智能精细”的要求，贯彻水资源、水生态、水环境、水灾害统筹治理的治水新思路，推进水治理体系和治理能力现代化。</w:t>
      </w:r>
    </w:p>
    <w:p>
      <w:pPr>
        <w:ind w:firstLine="480"/>
      </w:pPr>
      <w:r>
        <w:t>在官渡区的水务工作中，要深入贯彻十九大重要思想，在做好官渡区山洪灾害防治、河道整治工作之余，建设并强化</w:t>
      </w:r>
      <w:r>
        <w:rPr>
          <w:rFonts w:hint="eastAsia"/>
        </w:rPr>
        <w:t>水环境治理、</w:t>
      </w:r>
      <w:r>
        <w:t>水生态保障体系，逐步建立起符合官渡区实际和文化源流的水文化体系。在这一过程中，向前迈进水务信息化步伐和做好水务管理机制体制改革工作都是必不可少的重要支撑和有力补充。</w:t>
      </w:r>
    </w:p>
    <w:p>
      <w:pPr>
        <w:pStyle w:val="3"/>
        <w:rPr>
          <w:rFonts w:cs="Times New Roman"/>
          <w:szCs w:val="24"/>
        </w:rPr>
      </w:pPr>
      <w:r>
        <w:rPr>
          <w:rFonts w:cs="Times New Roman"/>
          <w:szCs w:val="24"/>
        </w:rPr>
        <w:t>1.4.1.3</w:t>
      </w:r>
      <w:r>
        <w:rPr>
          <w:rFonts w:eastAsia="宋体" w:cs="Times New Roman"/>
          <w:szCs w:val="24"/>
        </w:rPr>
        <w:t>乡村振兴战略提出新要求</w:t>
      </w:r>
    </w:p>
    <w:p>
      <w:pPr>
        <w:ind w:firstLine="480"/>
      </w:pPr>
      <w:r>
        <w:t>党的十九大指出，农业农村农民问题是关系国计民生的根本性问题，必须始终把解决好“三农”问题作为全党工作的重中之重，实施乡村振兴战略。2018年9月，中共中央国务院印发了《乡村振兴战略规划（2018-2022年）》。2019年2月，云南省委省政府印发了《云南省乡村振兴战略规划（2018-2022年）》。</w:t>
      </w:r>
    </w:p>
    <w:p>
      <w:pPr>
        <w:ind w:firstLine="480"/>
      </w:pPr>
      <w:r>
        <w:t>水利不仅是农业的命脉，更是乡村振兴战略的命脉。为充分发挥水利对农业农村的支撑作用，突出昆明农业“高原特色”“都市农业”“现代农业”特征，需要加快农田水利基础设施建设，以绿色发展引领生态振兴，完善乡村水治理体系，推动乡村水生态文明。</w:t>
      </w:r>
    </w:p>
    <w:p>
      <w:pPr>
        <w:pStyle w:val="3"/>
        <w:rPr>
          <w:rFonts w:cs="Times New Roman"/>
          <w:szCs w:val="24"/>
        </w:rPr>
      </w:pPr>
      <w:r>
        <w:rPr>
          <w:rFonts w:cs="Times New Roman"/>
          <w:szCs w:val="24"/>
        </w:rPr>
        <w:t>1.4.1.2</w:t>
      </w:r>
      <w:r>
        <w:rPr>
          <w:rFonts w:eastAsia="宋体" w:cs="Times New Roman"/>
          <w:szCs w:val="24"/>
        </w:rPr>
        <w:t>生态文明战略提出新要求</w:t>
      </w:r>
    </w:p>
    <w:p>
      <w:pPr>
        <w:ind w:firstLine="480"/>
      </w:pPr>
      <w:r>
        <w:t>自党的十八大提出大力推进生态文明建设，把生态文明建设纳入“五位一体”的总布局以来，生态文明建设已经成为我国实现社会主义现代化和小康社会必不可少的重要组成。中共中央对生态文明建设高度重视，相继出台了《关于加快推进生态文明建设的意见》《生态文明体制改革总体方案》等一系列文件。在党的十九大又再次强调了生态文明建设的重要性，并提出要树立和践行绿水青山就是金山银山的理念，统筹山水林田湖草系统治理，建设美丽中国。2018年5月，习近平总书记在全国生态环境保护大会上强调生态文明建设是关系中华民族永续发展的根本大计。</w:t>
      </w:r>
    </w:p>
    <w:p>
      <w:pPr>
        <w:ind w:firstLine="480"/>
      </w:pPr>
      <w:r>
        <w:t>水是生态之基，要把生态文明理念贯穿水务发展全过程，综合考虑防洪、供水、灌溉与自然生态要素的需求关系，坚持以水定需、量水而行、因水制宜，科学调配水资源，推进河湖系统保护，实现水生态、水环境整体改善，推动经济社会发展与水资源水环境承载能力相协调，形成绿色发展方式。</w:t>
      </w:r>
    </w:p>
    <w:p>
      <w:pPr>
        <w:ind w:firstLine="480"/>
      </w:pPr>
      <w:r>
        <w:t>“十四五”水安全保障规划中，也把水生态保障工程作为全区水务工作的重点项目，相关工程投资超过昆明市官渡区“十四五”水安全保障规划工程项目投资的90%，着重开展重点河湖生态环境的保护工作，有序开展区内水安全保障工作。</w:t>
      </w:r>
    </w:p>
    <w:p>
      <w:pPr>
        <w:pStyle w:val="3"/>
        <w:rPr>
          <w:rFonts w:cs="Times New Roman"/>
          <w:szCs w:val="24"/>
        </w:rPr>
      </w:pPr>
      <w:r>
        <w:rPr>
          <w:rFonts w:cs="Times New Roman"/>
          <w:szCs w:val="24"/>
        </w:rPr>
        <w:t>1.4.1.4</w:t>
      </w:r>
      <w:r>
        <w:rPr>
          <w:rFonts w:eastAsia="宋体" w:cs="Times New Roman"/>
          <w:szCs w:val="24"/>
        </w:rPr>
        <w:t>水利改革发展总基调提出新要求</w:t>
      </w:r>
    </w:p>
    <w:p>
      <w:pPr>
        <w:ind w:firstLine="480"/>
      </w:pPr>
      <w:r>
        <w:t>习近平总书记结合我国水利工作实际，提出了“节水优先、空间均衡、系统治理、两手发力”的治水方针，突出强调要从改变自然、征服自然转向调整人的行为、纠正人的错误行为；水利部关于“当前治水工作主要矛盾已从与自然作斗争转化为调整和纠正人的行为，促进人与自然和谐发展”的判断，标志着水利事业进入了新的发展阶段。</w:t>
      </w:r>
    </w:p>
    <w:p>
      <w:pPr>
        <w:ind w:firstLine="480"/>
      </w:pPr>
      <w:r>
        <w:t>新阶段应加快转变治水思路和方式，破解水利事业发展存在的四个不平衡和四个不充分问题，进一步完善大中小微并举的现代水利基础设施网络，提高防洪、供水、生态等综合保障能力，扭转水利监管宽松软局面，及时纠正用水浪费、过度开发、超标排放、侵占河湖等错误行为，加强水利行业监管，使水资源、水生态、水环境真正成为刚性约束。</w:t>
      </w:r>
    </w:p>
    <w:p>
      <w:pPr>
        <w:ind w:firstLine="480"/>
      </w:pPr>
      <w:r>
        <w:t>昆明市官渡区“十四五”水安全保障规划中，除实施必要的工程设施以补足在水利各方面的短板之外，还特别重视水文化、水生态和水管理工作，加强对水利行业的管理和监管工作，扭转过去“重建轻管”的作风。</w:t>
      </w:r>
    </w:p>
    <w:p>
      <w:pPr>
        <w:pStyle w:val="3"/>
        <w:rPr>
          <w:rFonts w:cs="Times New Roman"/>
          <w:szCs w:val="24"/>
        </w:rPr>
      </w:pPr>
      <w:r>
        <w:rPr>
          <w:rFonts w:cs="Times New Roman"/>
          <w:szCs w:val="24"/>
        </w:rPr>
        <w:t>1.4.1.5</w:t>
      </w:r>
      <w:r>
        <w:rPr>
          <w:rFonts w:eastAsia="宋体" w:cs="Times New Roman"/>
          <w:szCs w:val="24"/>
        </w:rPr>
        <w:t>新时代发展战略提出新要求</w:t>
      </w:r>
    </w:p>
    <w:p>
      <w:pPr>
        <w:widowControl/>
        <w:ind w:firstLine="480"/>
        <w:jc w:val="left"/>
      </w:pPr>
      <w:r>
        <w:rPr>
          <w:rFonts w:hint="eastAsia"/>
        </w:rPr>
        <w:t>《</w:t>
      </w:r>
      <w:r>
        <w:t>昆明市官渡区国民经济和社会发展第十四个五年规划</w:t>
      </w:r>
      <w:r>
        <w:rPr>
          <w:rFonts w:hint="eastAsia"/>
        </w:rPr>
        <w:t>》明确提出官渡区</w:t>
      </w:r>
      <w:r>
        <w:t>以绿色发展引领生态文明建设，生产生活方式绿色转型成效显著，能源资源利用效率大幅提高，主要污染物排放总量持续减少，环境突出问题得到有效治理，生态文明制度体系不断健全，河道水体水质切实改善保持稳定，环湖湿地连片建成，生态美、环境美、城市美、山水美成为普遍形态，城市空气质量优良天数稳定达标，绿化覆盖率、人均公共绿地面积达到国家生态城市指标，基本建成“美丽中国”典范城市展示区</w:t>
      </w:r>
      <w:r>
        <w:rPr>
          <w:rFonts w:hint="eastAsia"/>
        </w:rPr>
        <w:t>。</w:t>
      </w:r>
    </w:p>
    <w:p>
      <w:pPr>
        <w:ind w:firstLine="480"/>
      </w:pPr>
      <w:r>
        <w:t>“十四五”期间，</w:t>
      </w:r>
      <w:r>
        <w:rPr>
          <w:rFonts w:hint="eastAsia"/>
        </w:rPr>
        <w:t>官渡区需</w:t>
      </w:r>
      <w:r>
        <w:t>立足“两个一百年”奋斗目标和云南发展“三个定位”，在发展质量和发展速度上再上新台阶，着力破解水旱灾害、水资源短缺等问题，巩固小康社会建设成果，加快推进水安全保障网建设，为昆明新时代发展提供充足的水供给、安全的水防御、健康的水生态、优美的水环境、浓郁的水文化、智慧的水管理，以保障经济社会的可持续发展。</w:t>
      </w:r>
    </w:p>
    <w:p>
      <w:pPr>
        <w:ind w:firstLine="480"/>
      </w:pPr>
      <w:r>
        <w:t>昆明市官渡区“十四五”水安全保障规划中，结合官渡区打造昆明市区域性国际中心城市绿色经济发展新高地的目标，核心是供水保障和人居环境的提升，本次重点开展水生态保障工程</w:t>
      </w:r>
      <w:r>
        <w:rPr>
          <w:rFonts w:hint="eastAsia"/>
        </w:rPr>
        <w:t>和水安全治理</w:t>
      </w:r>
      <w:r>
        <w:t>，努力提高官渡区的供水保障能力和居民的人居环境，从而提升居民幸福感。</w:t>
      </w:r>
    </w:p>
    <w:p>
      <w:pPr>
        <w:pStyle w:val="3"/>
        <w:rPr>
          <w:rFonts w:cs="Times New Roman"/>
          <w:szCs w:val="24"/>
        </w:rPr>
      </w:pPr>
      <w:r>
        <w:rPr>
          <w:rFonts w:cs="Times New Roman"/>
          <w:szCs w:val="24"/>
        </w:rPr>
        <w:t>1.4.1.6</w:t>
      </w:r>
      <w:r>
        <w:rPr>
          <w:rFonts w:eastAsia="宋体" w:cs="Times New Roman"/>
          <w:szCs w:val="24"/>
        </w:rPr>
        <w:t>新时期人民群众需求提出新要求</w:t>
      </w:r>
    </w:p>
    <w:p>
      <w:pPr>
        <w:ind w:firstLine="480"/>
      </w:pPr>
      <w:r>
        <w:t>“十四五”时期我国的主要矛盾已经转变，从“人民日益增长的物质文化需要同落后的社会生产之间的矛盾”转变为“人民日益增长的美好生活需要和不平衡不充分的发展之间的矛盾”，昆明市在水务发展方面目前已经在水源工程建设、城镇及农村供水、水网联通、防汛抗旱和水务信息化等方面都取得了喜人成果，但是在局部地区之间、城市与农村之间、县区与县区之间，依然存在差异性。</w:t>
      </w:r>
    </w:p>
    <w:p>
      <w:pPr>
        <w:ind w:firstLine="480"/>
      </w:pPr>
      <w:r>
        <w:t>官渡区在“十四五”社会经济发展的新阶段中，通过市级统筹布局，推行“抓两头带中间”的建设思路，逐步解决昆明市范围内局部地区发展存在的不平衡问题。</w:t>
      </w:r>
    </w:p>
    <w:p>
      <w:pPr>
        <w:pStyle w:val="3"/>
        <w:rPr>
          <w:rFonts w:cs="Times New Roman"/>
          <w:szCs w:val="24"/>
        </w:rPr>
      </w:pPr>
      <w:r>
        <w:rPr>
          <w:rFonts w:cs="Times New Roman"/>
          <w:szCs w:val="24"/>
        </w:rPr>
        <w:t>1.4.1.7</w:t>
      </w:r>
      <w:r>
        <w:rPr>
          <w:rFonts w:eastAsia="宋体" w:cs="Times New Roman"/>
          <w:szCs w:val="24"/>
        </w:rPr>
        <w:t>协同发展提出新要求</w:t>
      </w:r>
    </w:p>
    <w:p>
      <w:pPr>
        <w:ind w:firstLine="480"/>
      </w:pPr>
      <w:r>
        <w:t>协同发展自“十三五”提出以来，对于打破行政分割和区域壁垒，统筹区域空间布局，建立区际利益平衡机制具有重要作用。如今更是“十四五”时期的社会经济建设和各项事业建设的重要发展思路，通过对这一思路加以扩展延伸，实现从区域之间的协同、城市之间的协同，延伸到不同行业之间的协同，激发内生动力，挖掘巨大潜力，在时代的浪潮中抓住机遇、乘风破浪。</w:t>
      </w:r>
    </w:p>
    <w:p>
      <w:pPr>
        <w:ind w:firstLine="480"/>
      </w:pPr>
      <w:r>
        <w:t>“十四五”期间，官渡区在水务发展建设工作中，也应当充分借鉴协同发展的思路，在工程措施上，借鉴此前“水网联通”项目建设的经验，进一步强化跨乡镇乃至跨县区的协作，在管理和执法工作上，借鉴此前与环境、林业、自然资源等业务交叉的部门间的联合执法经验，进一步加强沟通，建设稳定的合作执法、审批模式，为今后继续开展协同工作或联合执法等创造良好条件，提高运行管理及执法监督能力。</w:t>
      </w:r>
    </w:p>
    <w:p>
      <w:pPr>
        <w:pStyle w:val="2"/>
        <w:rPr>
          <w:rFonts w:cs="Times New Roman"/>
          <w:szCs w:val="24"/>
        </w:rPr>
      </w:pPr>
      <w:bookmarkStart w:id="59" w:name="_Toc31588"/>
      <w:r>
        <w:rPr>
          <w:rFonts w:cs="Times New Roman"/>
          <w:szCs w:val="24"/>
        </w:rPr>
        <w:t>1.4.2“十四五”时期面临的挑战</w:t>
      </w:r>
      <w:bookmarkEnd w:id="59"/>
    </w:p>
    <w:p>
      <w:pPr>
        <w:ind w:firstLine="480"/>
      </w:pPr>
      <w:r>
        <w:rPr>
          <w:rFonts w:hint="eastAsia"/>
        </w:rPr>
        <w:t>官渡区</w:t>
      </w:r>
      <w:r>
        <w:t>实管区域全部属于滇池流域，大部分土地位于滇池湖滨。由于滇池流域城市建设的推进，人口和产业集聚度的提高，滇池保护对生态环境的要求越来越高。官渡区未来城市建设、产业发展、人口发展和重大项目实施受资源环境的约束日益加大</w:t>
      </w:r>
      <w:r>
        <w:rPr>
          <w:rFonts w:hint="eastAsia"/>
        </w:rPr>
        <w:t>。</w:t>
      </w:r>
      <w:r>
        <w:t>官渡区水</w:t>
      </w:r>
      <w:r>
        <w:rPr>
          <w:rFonts w:hint="eastAsia"/>
        </w:rPr>
        <w:t>务</w:t>
      </w:r>
      <w:r>
        <w:t>发展存在的问题在“十三五”规划中均不同程度地得到了解决，但官渡区经济社会快速发展的要求、水利发展的步伐与改革发展的形势、治水观念和水利管理体制与社会主义市场经济体制已不相适应；水利的基础性、全局性、战略性作用还未得到充分发挥，抗击洪涝灾害的能力仍然较弱，工程性、季节性、区域性缺水等水失衡现象仍未完全杜绝，水污染问题依然突出，存在着水工程安全隐患消除难确定和基层水利单位生存发展难等问题。</w:t>
      </w:r>
    </w:p>
    <w:p>
      <w:pPr>
        <w:ind w:firstLine="480"/>
      </w:pPr>
      <w:r>
        <w:t>随着“十四五”经济和社会的发展，水资源不足、</w:t>
      </w:r>
      <w:r>
        <w:rPr>
          <w:rFonts w:hint="eastAsia"/>
        </w:rPr>
        <w:t>水生态体系的建设、</w:t>
      </w:r>
      <w:r>
        <w:t>水环境的污染已成为制约官渡区发展的主要因素。造成水资源短缺和水环境的污染的原因首先是降水时空分布极不均匀，水资源先天不足；其次是，随着城镇化建设的不断推进，建设规模不断扩大，用水量也不断增长，而在城市发展中未能兼顾人口、资源、环境的协调一致；水污染更加重了水危机。</w:t>
      </w:r>
    </w:p>
    <w:p>
      <w:pPr>
        <w:pStyle w:val="6"/>
        <w:rPr>
          <w:szCs w:val="24"/>
        </w:rPr>
      </w:pPr>
      <w:bookmarkStart w:id="60" w:name="_Toc1488"/>
      <w:bookmarkStart w:id="61" w:name="_Toc11473"/>
      <w:r>
        <w:rPr>
          <w:szCs w:val="24"/>
        </w:rPr>
        <w:t>1.5官渡区水务发展存在的主要问题</w:t>
      </w:r>
      <w:bookmarkEnd w:id="60"/>
      <w:bookmarkEnd w:id="61"/>
    </w:p>
    <w:p>
      <w:pPr>
        <w:pStyle w:val="2"/>
        <w:rPr>
          <w:rFonts w:cs="Times New Roman"/>
          <w:szCs w:val="24"/>
        </w:rPr>
      </w:pPr>
      <w:bookmarkStart w:id="62" w:name="_Toc19103"/>
      <w:r>
        <w:rPr>
          <w:rFonts w:cs="Times New Roman"/>
          <w:szCs w:val="24"/>
        </w:rPr>
        <w:t>1.5.1存在的问题</w:t>
      </w:r>
      <w:bookmarkEnd w:id="62"/>
    </w:p>
    <w:p>
      <w:pPr>
        <w:pStyle w:val="3"/>
        <w:rPr>
          <w:rFonts w:cs="Times New Roman"/>
          <w:szCs w:val="24"/>
        </w:rPr>
      </w:pPr>
      <w:r>
        <w:rPr>
          <w:rFonts w:cs="Times New Roman"/>
          <w:szCs w:val="24"/>
        </w:rPr>
        <w:t>1.5.1.</w:t>
      </w:r>
      <w:bookmarkStart w:id="63" w:name="_Toc42001610"/>
      <w:r>
        <w:rPr>
          <w:rFonts w:cs="Times New Roman"/>
          <w:szCs w:val="24"/>
        </w:rPr>
        <w:t>1水防御体系仍较薄弱</w:t>
      </w:r>
      <w:bookmarkEnd w:id="63"/>
    </w:p>
    <w:p>
      <w:pPr>
        <w:ind w:firstLine="480"/>
      </w:pPr>
      <w:r>
        <w:t>“十三五期间”针对城市防洪存在的问题，实施了官渡区淹积水片区、河道防洪治理工程等，解决了部分淹积水点问题，排洪河道进行治理，加快排洪能力，城市防洪能力得到了提升，但根据官渡区防汛抗旱隐患排查情况，结合全区气象特点、河流水系分布</w:t>
      </w:r>
      <w:r>
        <w:rPr>
          <w:spacing w:val="-2"/>
        </w:rPr>
        <w:t>等情况进行分析，官渡区防洪减灾体系仍较薄弱，主要</w:t>
      </w:r>
      <w:r>
        <w:rPr>
          <w:rFonts w:hint="eastAsia"/>
          <w:spacing w:val="-2"/>
        </w:rPr>
        <w:t>问题为</w:t>
      </w:r>
      <w:r>
        <w:rPr>
          <w:spacing w:val="-2"/>
        </w:rPr>
        <w:t>：</w:t>
      </w:r>
      <w:r>
        <w:t>存在部分城市管网布设不合理，</w:t>
      </w:r>
      <w:r>
        <w:rPr>
          <w:spacing w:val="-2"/>
        </w:rPr>
        <w:t>一些新的地产、社会经济发展的开发、</w:t>
      </w:r>
      <w:r>
        <w:t>城市建设阻断部分排洪通道，</w:t>
      </w:r>
      <w:r>
        <w:rPr>
          <w:spacing w:val="-2"/>
        </w:rPr>
        <w:t>形成新的防汛安全隐患存在洪</w:t>
      </w:r>
      <w:r>
        <w:t>水、内涝等度汛安全隐患；部分山洪灾害监测预警平台、监测站点缺乏维护；城区排水管网、泵站标准低，城市河道行洪能力不足。受</w:t>
      </w:r>
      <w:r>
        <w:rPr>
          <w:bCs/>
        </w:rPr>
        <w:t>气候变化影响，极端天气事件呈多发态势，</w:t>
      </w:r>
      <w:r>
        <w:t>加之已实施项目进展缓慢，内涝淹积水问题仍未彻底解决，</w:t>
      </w:r>
      <w:r>
        <w:rPr>
          <w:bCs/>
        </w:rPr>
        <w:t>洪旱灾害防御压力依然存在，</w:t>
      </w:r>
      <w:r>
        <w:t>城市排涝形势依然严峻，应急处置能力有待提升。</w:t>
      </w:r>
    </w:p>
    <w:p>
      <w:pPr>
        <w:pStyle w:val="3"/>
        <w:rPr>
          <w:rFonts w:cs="Times New Roman"/>
          <w:szCs w:val="24"/>
        </w:rPr>
      </w:pPr>
      <w:bookmarkStart w:id="64" w:name="_Toc42001611"/>
      <w:r>
        <w:rPr>
          <w:rFonts w:cs="Times New Roman"/>
          <w:szCs w:val="24"/>
        </w:rPr>
        <w:t>1.5.1.2水资源承载能力依然不足</w:t>
      </w:r>
      <w:bookmarkEnd w:id="64"/>
    </w:p>
    <w:p>
      <w:pPr>
        <w:ind w:firstLine="480"/>
      </w:pPr>
      <w:r>
        <w:t>官渡区人均水资源量远低于全省4771m</w:t>
      </w:r>
      <w:r>
        <w:rPr>
          <w:vertAlign w:val="superscript"/>
        </w:rPr>
        <w:t>3</w:t>
      </w:r>
      <w:r>
        <w:t>/年•人、全国约2200m</w:t>
      </w:r>
      <w:r>
        <w:rPr>
          <w:vertAlign w:val="superscript"/>
        </w:rPr>
        <w:t>3</w:t>
      </w:r>
      <w:r>
        <w:t>/年•人的水平和国际公认的1700m</w:t>
      </w:r>
      <w:r>
        <w:rPr>
          <w:vertAlign w:val="superscript"/>
        </w:rPr>
        <w:t>3</w:t>
      </w:r>
      <w:r>
        <w:t>/年•人的紧张警戒线，城镇供水水源不足问题依然严峻，供水主要依托昆明市自来水集团统一调度，水资源供需矛盾突出。</w:t>
      </w:r>
    </w:p>
    <w:p>
      <w:pPr>
        <w:pStyle w:val="3"/>
        <w:rPr>
          <w:rFonts w:cs="Times New Roman"/>
          <w:szCs w:val="24"/>
        </w:rPr>
      </w:pPr>
      <w:r>
        <w:rPr>
          <w:rFonts w:cs="Times New Roman"/>
          <w:szCs w:val="24"/>
        </w:rPr>
        <w:t>1.5.1.3水生态水环境任务任重道远</w:t>
      </w:r>
    </w:p>
    <w:p>
      <w:pPr>
        <w:numPr>
          <w:ilvl w:val="0"/>
          <w:numId w:val="6"/>
        </w:numPr>
        <w:ind w:left="0" w:firstLine="482"/>
        <w:rPr>
          <w:b/>
          <w:bCs/>
        </w:rPr>
      </w:pPr>
      <w:r>
        <w:rPr>
          <w:b/>
          <w:bCs/>
        </w:rPr>
        <w:t>雨污水混接问题</w:t>
      </w:r>
    </w:p>
    <w:p>
      <w:pPr>
        <w:spacing w:line="480" w:lineRule="exact"/>
        <w:ind w:firstLine="480"/>
      </w:pPr>
      <w:r>
        <w:t>官渡区雨污混流问题是区域排水系统存在的最普遍问题，主要包括小区雨水系统污水错接、道路污水主千管道混接。雨水系统污水混入，合流水由雨水排口排入就近河道，污染河道，同时由于对河道污水排口多采取封堵形式，社绝污水排放，导致部分雨水系统终端被封堵，雨水系统效能降低甚至丧失；污水系统雨水混入，雨水进入污水系统，降低污水浓度，増加管道系统转输量，导致污水处理效率降低，加末端污水处理厂处理压力。</w:t>
      </w:r>
    </w:p>
    <w:p>
      <w:pPr>
        <w:numPr>
          <w:ilvl w:val="0"/>
          <w:numId w:val="6"/>
        </w:numPr>
        <w:ind w:left="0" w:firstLine="482"/>
        <w:rPr>
          <w:b/>
          <w:bCs/>
        </w:rPr>
      </w:pPr>
      <w:r>
        <w:rPr>
          <w:b/>
          <w:bCs/>
        </w:rPr>
        <w:t>排水系统淤积堵塞</w:t>
      </w:r>
    </w:p>
    <w:p>
      <w:pPr>
        <w:spacing w:line="480" w:lineRule="exact"/>
        <w:ind w:firstLine="480"/>
      </w:pPr>
      <w:r>
        <w:t>官渡区部分片区存在管网淤积堵塞情况，影响区域污水收集排放，问题系统通畅性姜，甚至占用雨水系统收集转输污水，造成污水溢流，对下游河道造成污染。</w:t>
      </w:r>
    </w:p>
    <w:p>
      <w:pPr>
        <w:numPr>
          <w:ilvl w:val="0"/>
          <w:numId w:val="6"/>
        </w:numPr>
        <w:ind w:left="0" w:firstLine="482"/>
        <w:rPr>
          <w:b/>
          <w:bCs/>
        </w:rPr>
      </w:pPr>
      <w:r>
        <w:rPr>
          <w:b/>
          <w:bCs/>
        </w:rPr>
        <w:t>集中式再生水利用工程建设滞后</w:t>
      </w:r>
    </w:p>
    <w:p>
      <w:pPr>
        <w:ind w:firstLine="480"/>
      </w:pPr>
      <w:r>
        <w:t>再生水利用率相对较低，造成城市绿化用水大量占用已经非常有限的生态用水</w:t>
      </w:r>
    </w:p>
    <w:p>
      <w:pPr>
        <w:numPr>
          <w:ilvl w:val="0"/>
          <w:numId w:val="6"/>
        </w:numPr>
        <w:ind w:left="0" w:firstLine="482"/>
        <w:rPr>
          <w:b/>
          <w:bCs/>
        </w:rPr>
      </w:pPr>
      <w:r>
        <w:rPr>
          <w:b/>
          <w:bCs/>
        </w:rPr>
        <w:t>水文化发展和挖掘欠缺</w:t>
      </w:r>
    </w:p>
    <w:p>
      <w:pPr>
        <w:spacing w:line="480" w:lineRule="exact"/>
        <w:ind w:firstLine="480"/>
      </w:pPr>
      <w:r>
        <w:t>官渡区在水文化发展发面仍有欠缺，官渡区水文化体系发展未全面建设，缺少水文化遗产挖掘与保护，水文化宣传与教育宣传较少，未形成河湖景观、水利风景区等精品文化工程相结合的具有官渡区特色的水文化名片。</w:t>
      </w:r>
    </w:p>
    <w:p>
      <w:pPr>
        <w:pStyle w:val="3"/>
        <w:spacing w:line="480" w:lineRule="exact"/>
        <w:rPr>
          <w:rFonts w:cs="Times New Roman"/>
          <w:szCs w:val="24"/>
        </w:rPr>
      </w:pPr>
      <w:r>
        <w:rPr>
          <w:rFonts w:cs="Times New Roman"/>
          <w:szCs w:val="24"/>
        </w:rPr>
        <w:t>1.5.1.4</w:t>
      </w:r>
      <w:bookmarkStart w:id="65" w:name="_Toc42001615"/>
      <w:r>
        <w:rPr>
          <w:rFonts w:cs="Times New Roman"/>
          <w:szCs w:val="24"/>
        </w:rPr>
        <w:t>水利信息化水平亟需提高</w:t>
      </w:r>
      <w:bookmarkEnd w:id="65"/>
    </w:p>
    <w:p>
      <w:pPr>
        <w:spacing w:line="480" w:lineRule="exact"/>
        <w:ind w:firstLine="480"/>
      </w:pPr>
      <w:r>
        <w:t>官渡区水利信息化建设高位统筹不够，已建单个业务系统未进行有效整合，数据共享程度不高，不能适应现代水务建设管理的需要；水务信息化建设资金缺乏，渠道有限，已严重制约水务信息化的发展；缺少维护资金及专业管理人员，系统应用及安全维护存在一定困难；已建业务系统受建设时期的技术应用、通讯环境、网络环境条件限制，其应用平台及方式已落后。</w:t>
      </w:r>
    </w:p>
    <w:p>
      <w:pPr>
        <w:pStyle w:val="3"/>
        <w:spacing w:line="480" w:lineRule="exact"/>
        <w:rPr>
          <w:rFonts w:cs="Times New Roman"/>
          <w:szCs w:val="24"/>
        </w:rPr>
      </w:pPr>
      <w:bookmarkStart w:id="66" w:name="_Toc42001616"/>
      <w:r>
        <w:rPr>
          <w:rFonts w:cs="Times New Roman"/>
          <w:szCs w:val="24"/>
        </w:rPr>
        <w:t>1.5.1.5水管理短板依然存在</w:t>
      </w:r>
      <w:bookmarkEnd w:id="66"/>
    </w:p>
    <w:p>
      <w:pPr>
        <w:tabs>
          <w:tab w:val="left" w:pos="5812"/>
        </w:tabs>
        <w:spacing w:line="480" w:lineRule="exact"/>
        <w:ind w:firstLine="480"/>
      </w:pPr>
      <w:r>
        <w:t>官渡区水务管理能力依然薄弱。水域岸线还未完全划定，水土保持、城镇供水等专项规划还需进一步统筹；现有人才队伍不能满足水务发展需要，专业素养有待提高；部分水利工程运行管理不到位；随着机构改革及职能调整，现行地方法规亟需修订和完善；水土保持监测、河道水功能区水质水量监测自动化程度不够；一些地区经济活动侵占河道和妨碍河道行洪的现象还时有发生；水管单位管理手段相对落后，信息化水平不高，水文水资源监测基础设施较差，防汛调度管理设施等亟待完善。</w:t>
      </w:r>
    </w:p>
    <w:p>
      <w:pPr>
        <w:tabs>
          <w:tab w:val="left" w:pos="5812"/>
        </w:tabs>
        <w:spacing w:line="480" w:lineRule="exact"/>
        <w:ind w:firstLine="480"/>
      </w:pPr>
      <w:r>
        <w:t>河（湖）长制工作有待提高。“十四五”期间，水务将继续打好“碧水保卫战”，完成好滇池保护治理任务，在河道保洁管护实行市场化运作的基础上，探索沟渠保洁管护的市场化运作，巩固和提升已取得的水环境整治成果。</w:t>
      </w:r>
    </w:p>
    <w:p>
      <w:pPr>
        <w:pStyle w:val="2"/>
        <w:spacing w:line="480" w:lineRule="exact"/>
        <w:rPr>
          <w:rFonts w:cs="Times New Roman"/>
          <w:szCs w:val="24"/>
        </w:rPr>
      </w:pPr>
      <w:bookmarkStart w:id="67" w:name="_Toc2338"/>
      <w:bookmarkStart w:id="68" w:name="_Toc73108332"/>
      <w:r>
        <w:rPr>
          <w:rFonts w:cs="Times New Roman"/>
          <w:szCs w:val="24"/>
        </w:rPr>
        <w:t>1.5.2经验教训及展望</w:t>
      </w:r>
      <w:bookmarkEnd w:id="67"/>
      <w:bookmarkEnd w:id="68"/>
    </w:p>
    <w:p>
      <w:pPr>
        <w:spacing w:line="480" w:lineRule="exact"/>
        <w:ind w:firstLine="480"/>
      </w:pPr>
      <w:r>
        <w:t>总体来看，官渡区在“十三五”时期内规划完成情况比较好，除规划项目外还超额完成其他项目，但水环境、</w:t>
      </w:r>
      <w:r>
        <w:rPr>
          <w:rFonts w:hint="eastAsia"/>
        </w:rPr>
        <w:t>水生态、</w:t>
      </w:r>
      <w:r>
        <w:t>城市防洪、水务信息化等还存在着部分问题，在接下来的“十四五”规划工作过程中，应吸取“十三五”规划的经验和教训，在“十四五”期间将积极争取各级资金的支持，对城市水生态进行综合治理，增强水景观；进行水环境防治工作</w:t>
      </w:r>
      <w:r>
        <w:rPr>
          <w:rFonts w:hint="eastAsia"/>
        </w:rPr>
        <w:t>，</w:t>
      </w:r>
      <w:r>
        <w:t>对河道、沟渠、排水管网进行清淤整治，提高城市防洪能力</w:t>
      </w:r>
      <w:r>
        <w:rPr>
          <w:rFonts w:hint="eastAsia"/>
        </w:rPr>
        <w:t>，</w:t>
      </w:r>
      <w:r>
        <w:t>减少城市洪涝灾害的发生；加强基层队伍和水务信息化的建设。</w:t>
      </w:r>
    </w:p>
    <w:p>
      <w:pPr>
        <w:widowControl/>
        <w:spacing w:line="240" w:lineRule="auto"/>
        <w:ind w:firstLine="0" w:firstLineChars="0"/>
        <w:jc w:val="left"/>
      </w:pPr>
      <w:r>
        <w:br w:type="page"/>
      </w:r>
    </w:p>
    <w:p>
      <w:pPr>
        <w:pStyle w:val="5"/>
        <w:ind w:firstLine="602"/>
      </w:pPr>
      <w:bookmarkStart w:id="69" w:name="_Toc15166"/>
      <w:bookmarkStart w:id="70" w:name="_Toc2479"/>
      <w:r>
        <w:t>2规划总体要求</w:t>
      </w:r>
      <w:bookmarkEnd w:id="69"/>
      <w:bookmarkEnd w:id="70"/>
    </w:p>
    <w:p>
      <w:pPr>
        <w:pStyle w:val="6"/>
        <w:rPr>
          <w:szCs w:val="24"/>
        </w:rPr>
      </w:pPr>
      <w:bookmarkStart w:id="71" w:name="_Toc31663"/>
      <w:bookmarkStart w:id="72" w:name="_Toc9194575"/>
      <w:bookmarkStart w:id="73" w:name="_Toc11647"/>
      <w:r>
        <w:rPr>
          <w:szCs w:val="24"/>
        </w:rPr>
        <w:t>2.1指导思想</w:t>
      </w:r>
      <w:bookmarkEnd w:id="71"/>
      <w:bookmarkEnd w:id="72"/>
      <w:bookmarkEnd w:id="73"/>
    </w:p>
    <w:p>
      <w:pPr>
        <w:ind w:firstLine="480"/>
      </w:pPr>
      <w:r>
        <w:t>以习近平新时代中国特色社会主义思想为指导，全面贯彻党的十九大精神、</w:t>
      </w:r>
      <w:r>
        <w:rPr>
          <w:rFonts w:hint="eastAsia"/>
          <w:lang w:val="en-US" w:eastAsia="zh-CN"/>
        </w:rPr>
        <w:t>习近平</w:t>
      </w:r>
      <w:r>
        <w:t>总书记对云南提出的“一个跨越、三个定位、五个着力点”的重要指示精神，结合云南建设“最美丽省份”、昆明建设面向南亚东南亚的“区域性国际中心城市”</w:t>
      </w:r>
      <w:r>
        <w:rPr>
          <w:rFonts w:hint="eastAsia"/>
        </w:rPr>
        <w:t>、官渡区</w:t>
      </w:r>
      <w:r>
        <w:t>围绕打造“美丽中国”典范城市展示区</w:t>
      </w:r>
      <w:r>
        <w:rPr>
          <w:rFonts w:hint="eastAsia"/>
        </w:rPr>
        <w:t>加快绿色生态发展</w:t>
      </w:r>
      <w:r>
        <w:t>的战略要</w:t>
      </w:r>
      <w:r>
        <w:rPr>
          <w:rFonts w:hint="eastAsia"/>
        </w:rPr>
        <w:t>求</w:t>
      </w:r>
      <w:r>
        <w:t xml:space="preserve">，坚持“节水优先、空间均衡、系统治理、两手发力”的新时期治水方针，按照以关键领域和薄弱环节为重点，以“补短板、强监管、激活力、提能力”为抓手，以保障水安全、建设水生态文明、提升水治理体系和治理能力现代化水平为目标，走出一条具有高原湖城特色的新时代水务发展之路。 </w:t>
      </w:r>
    </w:p>
    <w:p>
      <w:pPr>
        <w:pStyle w:val="6"/>
        <w:rPr>
          <w:szCs w:val="24"/>
        </w:rPr>
      </w:pPr>
      <w:bookmarkStart w:id="74" w:name="_Toc10869"/>
      <w:bookmarkStart w:id="75" w:name="_Toc5890"/>
      <w:bookmarkStart w:id="76" w:name="_Toc9194576"/>
      <w:r>
        <w:rPr>
          <w:rFonts w:eastAsiaTheme="minorEastAsia"/>
          <w:szCs w:val="24"/>
        </w:rPr>
        <w:t>2.2</w:t>
      </w:r>
      <w:r>
        <w:rPr>
          <w:szCs w:val="24"/>
        </w:rPr>
        <w:t>基本原则</w:t>
      </w:r>
      <w:bookmarkEnd w:id="74"/>
      <w:bookmarkEnd w:id="75"/>
      <w:bookmarkEnd w:id="76"/>
    </w:p>
    <w:p>
      <w:pPr>
        <w:numPr>
          <w:ilvl w:val="1"/>
          <w:numId w:val="7"/>
        </w:numPr>
        <w:ind w:firstLine="480"/>
      </w:pPr>
      <w:r>
        <w:t>坚持思路创新</w:t>
      </w:r>
    </w:p>
    <w:p>
      <w:pPr>
        <w:ind w:firstLine="480"/>
      </w:pPr>
      <w:r>
        <w:t>坚持理念创新化、空间均衡化、治理系统化、体系现代化和人水关系和谐化，牢牢把握“水利工程补短板、水利行业强监管”的水利改革发展总基调，紧密结合昆明水利发展实际，着力分析新问题，提出新目标，采取新举措，使规划更加适应经济发展新常态，更加满足人民群众新期盼。</w:t>
      </w:r>
    </w:p>
    <w:p>
      <w:pPr>
        <w:numPr>
          <w:ilvl w:val="1"/>
          <w:numId w:val="7"/>
        </w:numPr>
        <w:ind w:firstLine="480"/>
      </w:pPr>
      <w:r>
        <w:t>坚持节水优先，高效利用</w:t>
      </w:r>
    </w:p>
    <w:p>
      <w:pPr>
        <w:ind w:firstLine="480"/>
      </w:pPr>
      <w:r>
        <w:t>把节水作为水资源开发、利用、保护、配置、调度的前提，大力推进节水行动。实行水资源消耗总量和强度双控，强化水资源承载能力刚性约束，以更大力度、更强举措加快推进用水方式由粗放向节约集约的根本性转变，全面提升水资源利用效率。</w:t>
      </w:r>
    </w:p>
    <w:p>
      <w:pPr>
        <w:numPr>
          <w:ilvl w:val="1"/>
          <w:numId w:val="7"/>
        </w:numPr>
        <w:ind w:firstLine="480"/>
      </w:pPr>
      <w:r>
        <w:t>坚持空间均衡，多规合一</w:t>
      </w:r>
    </w:p>
    <w:p>
      <w:pPr>
        <w:ind w:firstLine="480"/>
      </w:pPr>
      <w:r>
        <w:t>坚持以水定需、量水而行，强化水资源承载能力的刚性约束。统筹城区与农村、山区与坝子、上游与下游、干流与支流、左岸与右岸，正确把握当前与长远、需要与可能等重大关系，着力提升水务在空间上、时间上、内容上的均衡与协调发展水平。</w:t>
      </w:r>
    </w:p>
    <w:p>
      <w:pPr>
        <w:ind w:firstLine="480"/>
      </w:pPr>
      <w:r>
        <w:t>遵循下级规划服从上级规划、专项规划服从总体规划、同级规划相互协调的原则，加强本规划与空间规划、国民经济社会发展规划等上位规划，与生态环境保护、农业农村发展、旅游发展等平行规划，与流域综合规划、防洪规划、中小河流治理规划、供水规划、水资源保护规划、水土保持规划等涉水专项规划的衔接，确保目标协同、功能互补、形成合力。</w:t>
      </w:r>
    </w:p>
    <w:p>
      <w:pPr>
        <w:numPr>
          <w:ilvl w:val="1"/>
          <w:numId w:val="7"/>
        </w:numPr>
        <w:ind w:firstLine="480"/>
      </w:pPr>
      <w:r>
        <w:t>坚持科学谋划，系统治理</w:t>
      </w:r>
    </w:p>
    <w:p>
      <w:pPr>
        <w:ind w:firstLine="480"/>
      </w:pPr>
      <w:r>
        <w:t>立足基本</w:t>
      </w:r>
      <w:r>
        <w:rPr>
          <w:rFonts w:hint="eastAsia"/>
        </w:rPr>
        <w:t>区</w:t>
      </w:r>
      <w:r>
        <w:t>情、水情以及水务发展面临的新形势、新要求，准确把握水务发展方向，科学制定水务发展的时间表和路线图。统筹城区农村、山水林田湖草各要素，对水资源、水灾害、水生态、水环境、水管理等各领域的问题进行系统治理，着力推进水务科学发展。</w:t>
      </w:r>
    </w:p>
    <w:p>
      <w:pPr>
        <w:numPr>
          <w:ilvl w:val="1"/>
          <w:numId w:val="7"/>
        </w:numPr>
        <w:ind w:firstLine="480"/>
      </w:pPr>
      <w:r>
        <w:t>坚持生态友好，绿色发展</w:t>
      </w:r>
    </w:p>
    <w:p>
      <w:pPr>
        <w:ind w:firstLine="480"/>
      </w:pPr>
      <w:r>
        <w:t>树立并践行尊重自然、顺应自然、保护自然和绿水青山就是金山银山的理念，坚持节约资源和保护环境的基本国策，给水域以最适空间，给水资源以最低消耗，给水生态以最大保护，给水环境以最小污染，形成绿色发展方式，实现人与水和谐共生。</w:t>
      </w:r>
    </w:p>
    <w:p>
      <w:pPr>
        <w:numPr>
          <w:ilvl w:val="1"/>
          <w:numId w:val="7"/>
        </w:numPr>
        <w:ind w:firstLine="480"/>
      </w:pPr>
      <w:r>
        <w:t>坚持两手发力，强化监管</w:t>
      </w:r>
    </w:p>
    <w:p>
      <w:pPr>
        <w:ind w:firstLine="480"/>
      </w:pPr>
      <w:r>
        <w:t>充分发挥政府主导和市场配置作用，进一步解放思想，勇于创新，着力推进水权、水价、水利投融资等水务重要领域和关键环节的改革攻坚，引导全社会积极支持和参与水务建设与管理，全方位多角度地强化河湖、水资源、水利工程、水土保持、资金、政务等方面水务行业的监管。</w:t>
      </w:r>
    </w:p>
    <w:p>
      <w:pPr>
        <w:numPr>
          <w:ilvl w:val="1"/>
          <w:numId w:val="7"/>
        </w:numPr>
        <w:ind w:firstLine="480"/>
      </w:pPr>
      <w:r>
        <w:t>坚持确有需要，可以持续</w:t>
      </w:r>
    </w:p>
    <w:p>
      <w:pPr>
        <w:ind w:firstLine="480"/>
      </w:pPr>
      <w:r>
        <w:t>坚持科学论证，着眼长远发展，尊重自然规律，尊重水的自然属性，统筹把握好节流与开源的关系、水资源开发与保护的关系、政府与市场的关系，抓好供用水、水生态等工程建设、运行监管，让水利更好地支撑经济可持续发展。</w:t>
      </w:r>
    </w:p>
    <w:p>
      <w:pPr>
        <w:numPr>
          <w:ilvl w:val="1"/>
          <w:numId w:val="7"/>
        </w:numPr>
        <w:ind w:firstLine="480"/>
      </w:pPr>
      <w:r>
        <w:t>坚持上下联动，协调统一</w:t>
      </w:r>
    </w:p>
    <w:p>
      <w:pPr>
        <w:ind w:firstLine="480"/>
      </w:pPr>
      <w:r>
        <w:t>加强与云南省、昆明市相关规划的联动，积极争取上级的指导和支持；加强与各乡镇水管部门的沟通交流，认真听取基层水管部门对规划编制的要求和想法，满足人民群众最迫切的需求。通过实地调研、专题座谈、咨询研讨、征求意见等多种方式，广泛听取专家及各方面的意见和建议，切实保证规划成果的质量。</w:t>
      </w:r>
    </w:p>
    <w:p>
      <w:pPr>
        <w:pStyle w:val="6"/>
        <w:rPr>
          <w:szCs w:val="24"/>
        </w:rPr>
      </w:pPr>
      <w:bookmarkStart w:id="77" w:name="_Toc19529"/>
      <w:bookmarkStart w:id="78" w:name="_Toc22096"/>
      <w:r>
        <w:rPr>
          <w:szCs w:val="24"/>
        </w:rPr>
        <w:t>2.3规划范围、水平年</w:t>
      </w:r>
      <w:bookmarkEnd w:id="77"/>
      <w:bookmarkEnd w:id="78"/>
    </w:p>
    <w:p>
      <w:pPr>
        <w:pStyle w:val="2"/>
        <w:rPr>
          <w:rFonts w:cs="Times New Roman"/>
          <w:szCs w:val="24"/>
        </w:rPr>
      </w:pPr>
      <w:bookmarkStart w:id="79" w:name="_Toc32549"/>
      <w:r>
        <w:rPr>
          <w:rFonts w:cs="Times New Roman"/>
          <w:szCs w:val="24"/>
        </w:rPr>
        <w:t>2.3.1规划范围</w:t>
      </w:r>
      <w:bookmarkEnd w:id="79"/>
    </w:p>
    <w:p>
      <w:pPr>
        <w:ind w:firstLine="480"/>
      </w:pPr>
      <w:r>
        <w:t>昆明市官渡区“十四五”水安全保障规划范围为当前目前实际管辖8个街道办事处（关上、太和、吴井、金马、官渡、小板桥、六甲和矣六），辖区面积为128.85km</w:t>
      </w:r>
      <w:r>
        <w:rPr>
          <w:vertAlign w:val="superscript"/>
        </w:rPr>
        <w:t>2</w:t>
      </w:r>
      <w:r>
        <w:t>。</w:t>
      </w:r>
    </w:p>
    <w:p>
      <w:pPr>
        <w:pStyle w:val="2"/>
        <w:rPr>
          <w:rFonts w:cs="Times New Roman"/>
          <w:szCs w:val="24"/>
        </w:rPr>
      </w:pPr>
      <w:bookmarkStart w:id="80" w:name="_Toc29995"/>
      <w:r>
        <w:rPr>
          <w:rFonts w:cs="Times New Roman"/>
          <w:szCs w:val="24"/>
        </w:rPr>
        <w:t>2.3.2规划水平年</w:t>
      </w:r>
      <w:bookmarkEnd w:id="80"/>
    </w:p>
    <w:p>
      <w:pPr>
        <w:ind w:firstLine="480"/>
      </w:pPr>
      <w:r>
        <w:t>结合现有资料条件，规划基准年为2020年，参照昆明市和云南省“十四五”水安全保障相关规划文件要求，规划水平年确定为2025年。</w:t>
      </w:r>
    </w:p>
    <w:p>
      <w:pPr>
        <w:pStyle w:val="6"/>
        <w:rPr>
          <w:szCs w:val="24"/>
        </w:rPr>
      </w:pPr>
      <w:bookmarkStart w:id="81" w:name="_Toc9194577"/>
      <w:bookmarkStart w:id="82" w:name="_Toc5815"/>
      <w:bookmarkStart w:id="83" w:name="_Toc4922"/>
      <w:r>
        <w:rPr>
          <w:rFonts w:eastAsiaTheme="minorEastAsia"/>
          <w:szCs w:val="24"/>
        </w:rPr>
        <w:t>2.</w:t>
      </w:r>
      <w:r>
        <w:rPr>
          <w:rFonts w:hint="eastAsia" w:eastAsiaTheme="minorEastAsia"/>
          <w:szCs w:val="24"/>
        </w:rPr>
        <w:t>4</w:t>
      </w:r>
      <w:r>
        <w:rPr>
          <w:rFonts w:eastAsiaTheme="minorEastAsia"/>
          <w:szCs w:val="24"/>
        </w:rPr>
        <w:t>主要</w:t>
      </w:r>
      <w:r>
        <w:rPr>
          <w:szCs w:val="24"/>
        </w:rPr>
        <w:t>目标</w:t>
      </w:r>
      <w:bookmarkEnd w:id="81"/>
      <w:bookmarkEnd w:id="82"/>
      <w:bookmarkEnd w:id="83"/>
    </w:p>
    <w:p>
      <w:pPr>
        <w:pStyle w:val="2"/>
        <w:rPr>
          <w:rFonts w:eastAsia="仿宋_GB2312" w:cs="Times New Roman"/>
          <w:szCs w:val="24"/>
        </w:rPr>
      </w:pPr>
      <w:bookmarkStart w:id="84" w:name="_Toc29913"/>
      <w:r>
        <w:rPr>
          <w:rFonts w:cs="Times New Roman" w:eastAsiaTheme="minorEastAsia"/>
          <w:szCs w:val="24"/>
        </w:rPr>
        <w:t>2.</w:t>
      </w:r>
      <w:r>
        <w:rPr>
          <w:rFonts w:hint="eastAsia" w:cs="Times New Roman" w:eastAsiaTheme="minorEastAsia"/>
          <w:szCs w:val="24"/>
        </w:rPr>
        <w:t>4</w:t>
      </w:r>
      <w:r>
        <w:rPr>
          <w:rFonts w:cs="Times New Roman" w:eastAsiaTheme="minorEastAsia"/>
          <w:szCs w:val="24"/>
        </w:rPr>
        <w:t>.1</w:t>
      </w:r>
      <w:r>
        <w:rPr>
          <w:rFonts w:hint="eastAsia" w:asciiTheme="majorEastAsia" w:hAnsiTheme="majorEastAsia" w:eastAsiaTheme="majorEastAsia" w:cstheme="majorEastAsia"/>
          <w:szCs w:val="24"/>
        </w:rPr>
        <w:t>总体目标</w:t>
      </w:r>
      <w:bookmarkEnd w:id="84"/>
    </w:p>
    <w:p>
      <w:pPr>
        <w:ind w:firstLine="480"/>
      </w:pPr>
      <w:r>
        <w:t>在官渡区“十三五”水务发展的基础上，通过“十四五”期间进行水利设施建设和水务机制体制改革工作，科学研判</w:t>
      </w:r>
      <w:r>
        <w:rPr>
          <w:rFonts w:hint="eastAsia"/>
        </w:rPr>
        <w:t>官渡</w:t>
      </w:r>
      <w:r>
        <w:t>区水务发展面临的新老水问题，深入系统分析水务发展与改革面临的形势，立足于改善民生、促进产业发展、统筹水资源水生态水环境水灾害治理，结合经济社会发展的新要求，分析本流域、本地区水务改革发展不平衡不充分问题，查找水利基础设施方面的主要短板和薄弱环节，统筹考虑补齐短板与提升质量的关系，科学</w:t>
      </w:r>
      <w:r>
        <w:rPr>
          <w:rFonts w:hint="eastAsia"/>
        </w:rPr>
        <w:t>拟</w:t>
      </w:r>
      <w:r>
        <w:t>定建设目标，支撑经济社会高质量跨越式发展，逐步构建现代化水安全保障体系</w:t>
      </w:r>
      <w:r>
        <w:rPr>
          <w:rFonts w:hint="eastAsia"/>
        </w:rPr>
        <w:t>。</w:t>
      </w:r>
    </w:p>
    <w:p>
      <w:pPr>
        <w:ind w:firstLine="480"/>
      </w:pPr>
      <w:r>
        <w:t>到2025年，通过转变治水思路、补齐发展短板、强化监督管理、提升能力水平，</w:t>
      </w:r>
      <w:r>
        <w:rPr>
          <w:rFonts w:hint="eastAsia"/>
        </w:rPr>
        <w:t>官渡区</w:t>
      </w:r>
      <w:r>
        <w:t>基本构建与国民经济发展相适应的江河安澜的防洪排涝体系，基本构建空间均衡的水资源配置体系，基本恢复水清岸绿的水生态体系，初步构建调控精准的智慧水务体系，基本构建</w:t>
      </w:r>
      <w:r>
        <w:rPr>
          <w:rFonts w:hint="eastAsia"/>
        </w:rPr>
        <w:t>官渡</w:t>
      </w:r>
      <w:r>
        <w:t>区水安全保障体系</w:t>
      </w:r>
      <w:r>
        <w:rPr>
          <w:rFonts w:hint="eastAsia"/>
        </w:rPr>
        <w:t>。</w:t>
      </w:r>
    </w:p>
    <w:p>
      <w:pPr>
        <w:ind w:firstLine="480"/>
      </w:pPr>
      <w:r>
        <w:rPr>
          <w:rFonts w:hint="eastAsia"/>
        </w:rPr>
        <w:t>中小河流重要河段基本达到防洪标准，基本形成非工程措施与工程措施相结合的山洪灾害综合防御体系；通过淹水点治理城区防洪排涝能力明显提升。</w:t>
      </w:r>
    </w:p>
    <w:p>
      <w:pPr>
        <w:ind w:firstLine="480"/>
        <w:rPr>
          <w:rFonts w:ascii="FangSong_GB2312" w:hAnsi="FangSong_GB2312" w:eastAsia="FangSong_GB2312"/>
        </w:rPr>
      </w:pPr>
      <w:r>
        <w:rPr>
          <w:rFonts w:hint="eastAsia"/>
        </w:rPr>
        <w:t>节约用水节水型生产和生活方式初步建立，用水效率和效益显著提高，全社会节水意识明显增强，率先在全市建成全域节水型社会。</w:t>
      </w:r>
    </w:p>
    <w:p>
      <w:pPr>
        <w:ind w:firstLine="480"/>
      </w:pPr>
      <w:r>
        <w:rPr>
          <w:rFonts w:hint="eastAsia"/>
        </w:rPr>
        <w:t>农村人饮</w:t>
      </w:r>
      <w:r>
        <w:rPr>
          <w:rFonts w:hint="eastAsia"/>
          <w:szCs w:val="28"/>
        </w:rPr>
        <w:t>水质达标率进一步提高，</w:t>
      </w:r>
      <w:r>
        <w:rPr>
          <w:rFonts w:hint="eastAsia"/>
        </w:rPr>
        <w:t>重要江河湖泊水功能区水质达标率稳步提升，河湖生态保护与修复、水土保持、农村水系综合整治成效显著。</w:t>
      </w:r>
      <w:r>
        <w:t>构建人水和谐、健康秀美的水生态系统，加快推进水生态文明建设</w:t>
      </w:r>
      <w:r>
        <w:rPr>
          <w:rFonts w:hint="eastAsia"/>
        </w:rPr>
        <w:t>。</w:t>
      </w:r>
    </w:p>
    <w:p>
      <w:pPr>
        <w:ind w:firstLine="480"/>
      </w:pPr>
      <w:r>
        <w:rPr>
          <w:rFonts w:hint="eastAsia"/>
        </w:rPr>
        <w:t>水文化建设水文化体系初步建立，水文化软实力明显提升，精品水文化建设成效显著，进一步增强水文化底蕴。</w:t>
      </w:r>
    </w:p>
    <w:p>
      <w:pPr>
        <w:ind w:firstLine="480"/>
      </w:pPr>
      <w:r>
        <w:rPr>
          <w:rFonts w:hint="eastAsia"/>
        </w:rPr>
        <w:t>水务管理强监管、改革创新、行业能力提升工作取得突破，水治理体系和治理能力现代化水平显著提升。</w:t>
      </w:r>
    </w:p>
    <w:p>
      <w:pPr>
        <w:ind w:firstLine="480"/>
      </w:pPr>
      <w:r>
        <w:rPr>
          <w:rFonts w:hint="eastAsia"/>
        </w:rPr>
        <w:t>水务信息化全面推动“数字水利”向“智慧水务”转变，使信息化对水利工作的整体支撑提升到一个更高的水平。</w:t>
      </w:r>
    </w:p>
    <w:p>
      <w:pPr>
        <w:pStyle w:val="2"/>
        <w:rPr>
          <w:rFonts w:eastAsia="仿宋_GB2312" w:cs="Times New Roman"/>
          <w:szCs w:val="24"/>
        </w:rPr>
      </w:pPr>
      <w:bookmarkStart w:id="85" w:name="_Toc10247"/>
      <w:r>
        <w:rPr>
          <w:rFonts w:cs="Times New Roman" w:eastAsiaTheme="minorEastAsia"/>
          <w:szCs w:val="24"/>
        </w:rPr>
        <w:t>2.</w:t>
      </w:r>
      <w:r>
        <w:rPr>
          <w:rFonts w:hint="eastAsia" w:cs="Times New Roman" w:eastAsiaTheme="minorEastAsia"/>
          <w:szCs w:val="24"/>
        </w:rPr>
        <w:t>4</w:t>
      </w:r>
      <w:r>
        <w:rPr>
          <w:rFonts w:cs="Times New Roman" w:eastAsiaTheme="minorEastAsia"/>
          <w:szCs w:val="24"/>
        </w:rPr>
        <w:t>.2</w:t>
      </w:r>
      <w:r>
        <w:rPr>
          <w:rFonts w:hint="eastAsia" w:asciiTheme="majorEastAsia" w:hAnsiTheme="majorEastAsia" w:eastAsiaTheme="majorEastAsia" w:cstheme="majorEastAsia"/>
          <w:szCs w:val="24"/>
        </w:rPr>
        <w:t>主要指标</w:t>
      </w:r>
      <w:bookmarkEnd w:id="85"/>
    </w:p>
    <w:p>
      <w:pPr>
        <w:widowControl/>
        <w:ind w:firstLine="480"/>
        <w:jc w:val="left"/>
      </w:pPr>
      <w:r>
        <w:t>根据上述发展总体目标和市级《昆明市“十四五”水安全保障规划报告》要求，结合官渡区</w:t>
      </w:r>
      <w:r>
        <w:rPr>
          <w:rFonts w:hint="eastAsia"/>
        </w:rPr>
        <w:t>“十三五”已完成情况，</w:t>
      </w:r>
      <w:r>
        <w:t>确定昆明市官渡区“十四五”水安全保障时期的主要指标，成果见表2-1。</w:t>
      </w:r>
    </w:p>
    <w:p>
      <w:pPr>
        <w:widowControl/>
        <w:ind w:firstLine="482"/>
        <w:jc w:val="center"/>
        <w:rPr>
          <w:b/>
        </w:rPr>
      </w:pPr>
      <w:r>
        <w:rPr>
          <w:b/>
        </w:rPr>
        <w:t>表2-1    昆明市官渡区“十四五”水安全保障主要指标</w:t>
      </w:r>
    </w:p>
    <w:tbl>
      <w:tblPr>
        <w:tblStyle w:val="22"/>
        <w:tblW w:w="5979" w:type="pct"/>
        <w:jc w:val="center"/>
        <w:tblLayout w:type="fixed"/>
        <w:tblCellMar>
          <w:top w:w="0" w:type="dxa"/>
          <w:left w:w="108" w:type="dxa"/>
          <w:bottom w:w="0" w:type="dxa"/>
          <w:right w:w="108" w:type="dxa"/>
        </w:tblCellMar>
      </w:tblPr>
      <w:tblGrid>
        <w:gridCol w:w="770"/>
        <w:gridCol w:w="3806"/>
        <w:gridCol w:w="1517"/>
        <w:gridCol w:w="1517"/>
        <w:gridCol w:w="1477"/>
        <w:gridCol w:w="1096"/>
      </w:tblGrid>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b/>
                <w:bCs/>
                <w:sz w:val="21"/>
                <w:szCs w:val="21"/>
              </w:rPr>
            </w:pPr>
            <w:r>
              <w:rPr>
                <w:b/>
                <w:bCs/>
                <w:kern w:val="0"/>
                <w:sz w:val="21"/>
                <w:szCs w:val="21"/>
              </w:rPr>
              <w:t>序号</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b/>
                <w:bCs/>
                <w:sz w:val="21"/>
                <w:szCs w:val="21"/>
              </w:rPr>
            </w:pPr>
            <w:r>
              <w:rPr>
                <w:b/>
                <w:bCs/>
                <w:kern w:val="0"/>
                <w:sz w:val="21"/>
                <w:szCs w:val="21"/>
              </w:rPr>
              <w:t>指标</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b/>
                <w:bCs/>
                <w:kern w:val="0"/>
                <w:sz w:val="21"/>
                <w:szCs w:val="21"/>
              </w:rPr>
            </w:pPr>
            <w:r>
              <w:rPr>
                <w:rFonts w:hint="eastAsia"/>
                <w:b/>
                <w:bCs/>
                <w:kern w:val="0"/>
                <w:sz w:val="21"/>
                <w:szCs w:val="21"/>
              </w:rPr>
              <w:t>“十三五”目标</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b/>
                <w:bCs/>
                <w:kern w:val="0"/>
                <w:sz w:val="21"/>
                <w:szCs w:val="21"/>
              </w:rPr>
            </w:pPr>
            <w:r>
              <w:rPr>
                <w:rFonts w:hint="eastAsia"/>
                <w:b/>
                <w:bCs/>
                <w:kern w:val="0"/>
                <w:sz w:val="21"/>
                <w:szCs w:val="21"/>
              </w:rPr>
              <w:t>“十三五”完成情况</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b/>
                <w:bCs/>
                <w:sz w:val="21"/>
                <w:szCs w:val="21"/>
              </w:rPr>
            </w:pPr>
            <w:r>
              <w:rPr>
                <w:b/>
                <w:bCs/>
                <w:kern w:val="0"/>
                <w:sz w:val="21"/>
                <w:szCs w:val="21"/>
              </w:rPr>
              <w:t>“十四五”规划指标</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b/>
                <w:bCs/>
                <w:sz w:val="21"/>
                <w:szCs w:val="21"/>
              </w:rPr>
            </w:pPr>
            <w:r>
              <w:rPr>
                <w:b/>
                <w:bCs/>
                <w:kern w:val="0"/>
                <w:sz w:val="21"/>
                <w:szCs w:val="21"/>
              </w:rPr>
              <w:t>备注</w:t>
            </w:r>
          </w:p>
        </w:tc>
      </w:tr>
      <w:tr>
        <w:tblPrEx>
          <w:tblCellMar>
            <w:top w:w="0" w:type="dxa"/>
            <w:left w:w="108" w:type="dxa"/>
            <w:bottom w:w="0" w:type="dxa"/>
            <w:right w:w="108" w:type="dxa"/>
          </w:tblCellMar>
        </w:tblPrEx>
        <w:trPr>
          <w:trHeight w:val="414"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江河堤防达标率（%）</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66</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[70]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2</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用水总量控制（亿m</w:t>
            </w:r>
            <w:r>
              <w:rPr>
                <w:rFonts w:hint="eastAsia"/>
                <w:kern w:val="0"/>
                <w:sz w:val="21"/>
                <w:szCs w:val="21"/>
                <w:vertAlign w:val="superscript"/>
              </w:rPr>
              <w:t>3</w:t>
            </w:r>
            <w:r>
              <w:rPr>
                <w:rFonts w:hint="eastAsia"/>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0.19</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0.20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非市政供水</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3</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万元GDP用水下</w:t>
            </w:r>
            <w:r>
              <w:rPr>
                <w:rFonts w:hint="eastAsia"/>
                <w:kern w:val="0"/>
                <w:sz w:val="21"/>
                <w:szCs w:val="21"/>
              </w:rPr>
              <w:t>量</w:t>
            </w:r>
            <w:r>
              <w:rPr>
                <w:kern w:val="0"/>
                <w:sz w:val="21"/>
                <w:szCs w:val="21"/>
              </w:rPr>
              <w:t>降率（%）</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29</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28</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约束性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4</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万元工业增加值用水量下降率（%）</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kern w:val="0"/>
                <w:sz w:val="21"/>
                <w:szCs w:val="21"/>
              </w:rPr>
            </w:pPr>
            <w:r>
              <w:rPr>
                <w:rFonts w:hint="eastAsia"/>
                <w:kern w:val="0"/>
                <w:sz w:val="21"/>
                <w:szCs w:val="21"/>
              </w:rPr>
              <w:t>30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kern w:val="0"/>
                <w:sz w:val="21"/>
                <w:szCs w:val="21"/>
              </w:rPr>
            </w:pPr>
            <w:r>
              <w:rPr>
                <w:rFonts w:hint="eastAsia"/>
                <w:kern w:val="0"/>
                <w:sz w:val="21"/>
                <w:szCs w:val="21"/>
              </w:rPr>
              <w:t>29</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约束性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5</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农田灌溉水有效利用系数</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0.53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0.54</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0.</w:t>
            </w:r>
            <w:r>
              <w:rPr>
                <w:rFonts w:hint="eastAsia"/>
                <w:kern w:val="0"/>
                <w:sz w:val="21"/>
                <w:szCs w:val="21"/>
              </w:rPr>
              <w:t>56</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每年1.5%</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6</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新增蓄水库容（亿m</w:t>
            </w:r>
            <w:r>
              <w:rPr>
                <w:kern w:val="0"/>
                <w:sz w:val="21"/>
                <w:szCs w:val="21"/>
                <w:vertAlign w:val="superscript"/>
              </w:rPr>
              <w:t>3</w:t>
            </w:r>
            <w:r>
              <w:rPr>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7</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水利设施新增供水能力（亿m</w:t>
            </w:r>
            <w:r>
              <w:rPr>
                <w:kern w:val="0"/>
                <w:sz w:val="21"/>
                <w:szCs w:val="21"/>
                <w:vertAlign w:val="superscript"/>
              </w:rPr>
              <w:t>3</w:t>
            </w:r>
            <w:r>
              <w:rPr>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8</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人均供水能力（m</w:t>
            </w:r>
            <w:r>
              <w:rPr>
                <w:kern w:val="0"/>
                <w:sz w:val="21"/>
                <w:szCs w:val="21"/>
                <w:vertAlign w:val="superscript"/>
              </w:rPr>
              <w:t>3</w:t>
            </w:r>
            <w:r>
              <w:rPr>
                <w:kern w:val="0"/>
                <w:sz w:val="21"/>
                <w:szCs w:val="21"/>
              </w:rPr>
              <w:t>/人）</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w:t>
            </w:r>
            <w:r>
              <w:rPr>
                <w:rFonts w:hint="eastAsia"/>
                <w:kern w:val="0"/>
                <w:sz w:val="21"/>
                <w:szCs w:val="21"/>
              </w:rPr>
              <w:t>325</w:t>
            </w:r>
            <w:r>
              <w:rPr>
                <w:kern w:val="0"/>
                <w:sz w:val="21"/>
                <w:szCs w:val="21"/>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9</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农村集中供水率（%）</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100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w:t>
            </w:r>
            <w:r>
              <w:rPr>
                <w:rFonts w:hint="eastAsia"/>
                <w:kern w:val="0"/>
                <w:sz w:val="21"/>
                <w:szCs w:val="21"/>
              </w:rPr>
              <w:t>100</w:t>
            </w:r>
            <w:r>
              <w:rPr>
                <w:kern w:val="0"/>
                <w:sz w:val="21"/>
                <w:szCs w:val="21"/>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10</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农村自来水普及率（%）</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100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[100]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11</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农田有效灌溉率（%）</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70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85</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w:t>
            </w:r>
            <w:r>
              <w:rPr>
                <w:rFonts w:hint="eastAsia"/>
                <w:kern w:val="0"/>
                <w:sz w:val="21"/>
                <w:szCs w:val="21"/>
              </w:rPr>
              <w:t>90</w:t>
            </w:r>
            <w:r>
              <w:rPr>
                <w:kern w:val="0"/>
                <w:sz w:val="21"/>
                <w:szCs w:val="21"/>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12</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供水安全系数</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1.3</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13</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水土保持率（%）</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65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70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w:t>
            </w:r>
            <w:r>
              <w:rPr>
                <w:rFonts w:hint="eastAsia"/>
                <w:kern w:val="0"/>
                <w:sz w:val="21"/>
                <w:szCs w:val="21"/>
              </w:rPr>
              <w:t>&gt;80</w:t>
            </w:r>
            <w:r>
              <w:rPr>
                <w:kern w:val="0"/>
                <w:sz w:val="21"/>
                <w:szCs w:val="21"/>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3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14</w:t>
            </w: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重要河湖水域岸线监管率（%）</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w:t>
            </w:r>
            <w:r>
              <w:rPr>
                <w:rFonts w:hint="eastAsia"/>
                <w:kern w:val="0"/>
                <w:sz w:val="21"/>
                <w:szCs w:val="21"/>
              </w:rPr>
              <w:t>100</w:t>
            </w:r>
            <w:r>
              <w:rPr>
                <w:kern w:val="0"/>
                <w:sz w:val="21"/>
                <w:szCs w:val="21"/>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1</w:t>
            </w:r>
            <w:r>
              <w:rPr>
                <w:rFonts w:hint="eastAsia"/>
                <w:kern w:val="0"/>
                <w:sz w:val="21"/>
                <w:szCs w:val="21"/>
              </w:rPr>
              <w:t>5</w:t>
            </w:r>
          </w:p>
        </w:tc>
        <w:tc>
          <w:tcPr>
            <w:tcW w:w="186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再生水利用率（含河道生态补水）（%）</w:t>
            </w:r>
          </w:p>
        </w:tc>
        <w:tc>
          <w:tcPr>
            <w:tcW w:w="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25</w:t>
            </w:r>
          </w:p>
        </w:tc>
        <w:tc>
          <w:tcPr>
            <w:tcW w:w="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kern w:val="0"/>
                <w:sz w:val="21"/>
                <w:szCs w:val="21"/>
              </w:rPr>
            </w:pPr>
            <w:r>
              <w:rPr>
                <w:rFonts w:hint="eastAsia"/>
                <w:kern w:val="0"/>
                <w:sz w:val="21"/>
                <w:szCs w:val="21"/>
              </w:rPr>
              <w:t>25（不含河道生态补水）</w:t>
            </w:r>
          </w:p>
        </w:tc>
        <w:tc>
          <w:tcPr>
            <w:tcW w:w="7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[&gt;90]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sz w:val="21"/>
                <w:szCs w:val="21"/>
              </w:rPr>
            </w:pPr>
            <w:r>
              <w:rPr>
                <w:kern w:val="0"/>
                <w:sz w:val="21"/>
                <w:szCs w:val="21"/>
              </w:rPr>
              <w:t>预期性</w:t>
            </w:r>
          </w:p>
        </w:tc>
      </w:tr>
      <w:tr>
        <w:tblPrEx>
          <w:tblCellMar>
            <w:top w:w="0" w:type="dxa"/>
            <w:left w:w="108" w:type="dxa"/>
            <w:bottom w:w="0" w:type="dxa"/>
            <w:right w:w="108" w:type="dxa"/>
          </w:tblCellMar>
        </w:tblPrEx>
        <w:trPr>
          <w:trHeight w:val="9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left"/>
              <w:textAlignment w:val="center"/>
              <w:rPr>
                <w:kern w:val="0"/>
                <w:sz w:val="18"/>
                <w:szCs w:val="18"/>
              </w:rPr>
            </w:pPr>
            <w:r>
              <w:rPr>
                <w:kern w:val="0"/>
                <w:sz w:val="18"/>
                <w:szCs w:val="18"/>
              </w:rPr>
              <w:t>注：指标带[]为期末达到数，其余为5年累计数。</w:t>
            </w:r>
          </w:p>
          <w:p>
            <w:pPr>
              <w:widowControl/>
              <w:spacing w:line="240" w:lineRule="exact"/>
              <w:ind w:firstLine="0" w:firstLineChars="0"/>
              <w:jc w:val="left"/>
              <w:textAlignment w:val="center"/>
              <w:rPr>
                <w:kern w:val="0"/>
                <w:sz w:val="18"/>
                <w:szCs w:val="18"/>
              </w:rPr>
            </w:pPr>
            <w:r>
              <w:rPr>
                <w:rFonts w:hint="eastAsia"/>
                <w:kern w:val="0"/>
                <w:sz w:val="18"/>
                <w:szCs w:val="18"/>
              </w:rPr>
              <w:t>测算方法：</w:t>
            </w:r>
          </w:p>
          <w:p>
            <w:pPr>
              <w:widowControl/>
              <w:numPr>
                <w:ilvl w:val="0"/>
                <w:numId w:val="8"/>
              </w:numPr>
              <w:spacing w:line="240" w:lineRule="exact"/>
              <w:ind w:firstLineChars="0"/>
              <w:jc w:val="left"/>
              <w:textAlignment w:val="center"/>
              <w:rPr>
                <w:kern w:val="0"/>
                <w:sz w:val="18"/>
                <w:szCs w:val="18"/>
              </w:rPr>
            </w:pPr>
            <w:r>
              <w:rPr>
                <w:kern w:val="0"/>
                <w:sz w:val="18"/>
                <w:szCs w:val="18"/>
              </w:rPr>
              <w:t>江河堤防达标率</w:t>
            </w:r>
            <w:r>
              <w:rPr>
                <w:rFonts w:hint="eastAsia"/>
                <w:kern w:val="0"/>
                <w:sz w:val="18"/>
                <w:szCs w:val="18"/>
              </w:rPr>
              <w:t>：指5级及以上堤防长度中达标堤防长度占比。本次官渡区“十四五”末期堤防达标率定位为70%，与昆明市保持一致。</w:t>
            </w:r>
          </w:p>
          <w:p>
            <w:pPr>
              <w:widowControl/>
              <w:numPr>
                <w:ilvl w:val="0"/>
                <w:numId w:val="8"/>
              </w:numPr>
              <w:spacing w:line="240" w:lineRule="exact"/>
              <w:ind w:firstLineChars="0"/>
              <w:jc w:val="left"/>
              <w:textAlignment w:val="center"/>
              <w:rPr>
                <w:kern w:val="0"/>
                <w:sz w:val="18"/>
                <w:szCs w:val="18"/>
              </w:rPr>
            </w:pPr>
            <w:r>
              <w:rPr>
                <w:rFonts w:hint="eastAsia"/>
                <w:kern w:val="0"/>
                <w:sz w:val="18"/>
                <w:szCs w:val="18"/>
              </w:rPr>
              <w:t>用水总量控制:官渡区用水总量控制为非市政供水，</w:t>
            </w:r>
            <w:r>
              <w:rPr>
                <w:kern w:val="0"/>
                <w:sz w:val="18"/>
                <w:szCs w:val="18"/>
              </w:rPr>
              <w:t>居民用水主要为昆明市清源自来水公司和昆明市通用自来水公司供水，</w:t>
            </w:r>
            <w:r>
              <w:rPr>
                <w:rFonts w:hint="eastAsia"/>
                <w:kern w:val="0"/>
                <w:sz w:val="18"/>
                <w:szCs w:val="18"/>
              </w:rPr>
              <w:t>供水用水总量控制需</w:t>
            </w:r>
            <w:r>
              <w:rPr>
                <w:kern w:val="0"/>
                <w:sz w:val="18"/>
                <w:szCs w:val="18"/>
              </w:rPr>
              <w:t>依托整个昆明市来调度</w:t>
            </w:r>
            <w:r>
              <w:rPr>
                <w:rFonts w:hint="eastAsia"/>
                <w:kern w:val="0"/>
                <w:sz w:val="18"/>
                <w:szCs w:val="18"/>
              </w:rPr>
              <w:t>。</w:t>
            </w:r>
          </w:p>
          <w:p>
            <w:pPr>
              <w:widowControl/>
              <w:numPr>
                <w:ilvl w:val="0"/>
                <w:numId w:val="8"/>
              </w:numPr>
              <w:spacing w:line="240" w:lineRule="exact"/>
              <w:ind w:firstLineChars="0"/>
              <w:jc w:val="left"/>
              <w:textAlignment w:val="center"/>
              <w:rPr>
                <w:kern w:val="0"/>
                <w:sz w:val="18"/>
                <w:szCs w:val="18"/>
              </w:rPr>
            </w:pPr>
            <w:r>
              <w:rPr>
                <w:kern w:val="0"/>
                <w:sz w:val="18"/>
                <w:szCs w:val="18"/>
              </w:rPr>
              <w:t>万元GDP用水下降率</w:t>
            </w:r>
            <w:r>
              <w:rPr>
                <w:rFonts w:hint="eastAsia"/>
                <w:kern w:val="0"/>
                <w:sz w:val="18"/>
                <w:szCs w:val="18"/>
              </w:rPr>
              <w:t>：根据“十三五”期间完成情及“十四五”期间计划完成的节水型社会建设情況，考虑节水水平越高后，万元GDP用水量下降将越困难，预计“十四五”末期官渡区万元GDP用水量下降率为10％。</w:t>
            </w:r>
          </w:p>
          <w:p>
            <w:pPr>
              <w:widowControl/>
              <w:numPr>
                <w:ilvl w:val="0"/>
                <w:numId w:val="8"/>
              </w:numPr>
              <w:spacing w:line="240" w:lineRule="exact"/>
              <w:ind w:firstLineChars="0"/>
              <w:jc w:val="left"/>
              <w:textAlignment w:val="center"/>
              <w:rPr>
                <w:kern w:val="0"/>
                <w:sz w:val="18"/>
                <w:szCs w:val="18"/>
              </w:rPr>
            </w:pPr>
            <w:r>
              <w:rPr>
                <w:kern w:val="0"/>
                <w:sz w:val="18"/>
                <w:szCs w:val="18"/>
              </w:rPr>
              <w:t>万元工业增加值用水量下降率</w:t>
            </w:r>
            <w:r>
              <w:rPr>
                <w:rFonts w:hint="eastAsia"/>
                <w:kern w:val="0"/>
                <w:sz w:val="18"/>
                <w:szCs w:val="18"/>
              </w:rPr>
              <w:t>：万元工业增加值用水量=年工业用水总量(m</w:t>
            </w:r>
            <w:r>
              <w:rPr>
                <w:rFonts w:hint="eastAsia"/>
                <w:kern w:val="0"/>
                <w:sz w:val="18"/>
                <w:szCs w:val="18"/>
                <w:vertAlign w:val="superscript"/>
              </w:rPr>
              <w:t>3</w:t>
            </w:r>
            <w:r>
              <w:rPr>
                <w:rFonts w:hint="eastAsia"/>
                <w:kern w:val="0"/>
                <w:sz w:val="18"/>
                <w:szCs w:val="18"/>
              </w:rPr>
              <w:t>)/年工业增加值(万元)。根据“十三五”期间完成情況及“十四五”期间计划完成的节水型社会建设情况，考虑节水水平越高后，万元工业增加值用水量下降将越困难，预计“十四五”末期官渡区万元工业增加值用水量下降率为10％。</w:t>
            </w:r>
          </w:p>
          <w:p>
            <w:pPr>
              <w:widowControl/>
              <w:numPr>
                <w:ilvl w:val="0"/>
                <w:numId w:val="8"/>
              </w:numPr>
              <w:spacing w:line="240" w:lineRule="exact"/>
              <w:ind w:firstLineChars="0"/>
              <w:jc w:val="left"/>
              <w:textAlignment w:val="center"/>
              <w:rPr>
                <w:kern w:val="0"/>
                <w:sz w:val="18"/>
                <w:szCs w:val="18"/>
              </w:rPr>
            </w:pPr>
            <w:r>
              <w:rPr>
                <w:kern w:val="0"/>
                <w:sz w:val="18"/>
                <w:szCs w:val="18"/>
              </w:rPr>
              <w:t>农田灌溉水有效利用系数</w:t>
            </w:r>
            <w:r>
              <w:rPr>
                <w:rFonts w:hint="eastAsia"/>
                <w:kern w:val="0"/>
                <w:sz w:val="18"/>
                <w:szCs w:val="18"/>
              </w:rPr>
              <w:t>：农田灌溉水有效利用系数=灌入田间的水量(万m</w:t>
            </w:r>
            <w:r>
              <w:rPr>
                <w:rFonts w:hint="eastAsia"/>
                <w:kern w:val="0"/>
                <w:sz w:val="18"/>
                <w:szCs w:val="18"/>
                <w:vertAlign w:val="superscript"/>
              </w:rPr>
              <w:t>3</w:t>
            </w:r>
            <w:r>
              <w:rPr>
                <w:rFonts w:hint="eastAsia"/>
                <w:kern w:val="0"/>
                <w:sz w:val="18"/>
                <w:szCs w:val="18"/>
              </w:rPr>
              <w:t>)/取水口取用总水量(万m</w:t>
            </w:r>
            <w:r>
              <w:rPr>
                <w:rFonts w:hint="eastAsia"/>
                <w:kern w:val="0"/>
                <w:sz w:val="18"/>
                <w:szCs w:val="18"/>
                <w:vertAlign w:val="superscript"/>
              </w:rPr>
              <w:t>3</w:t>
            </w:r>
            <w:r>
              <w:rPr>
                <w:rFonts w:hint="eastAsia"/>
                <w:kern w:val="0"/>
                <w:sz w:val="18"/>
                <w:szCs w:val="18"/>
              </w:rPr>
              <w:t>)。经测算官渡区“十三五”末期农田灌溉水有效利用系数达到0.54，参考云南省“十四五”期间农田灌溉水有效利用系数提高幅度，且官渡</w:t>
            </w:r>
            <w:r>
              <w:rPr>
                <w:kern w:val="0"/>
                <w:sz w:val="18"/>
                <w:szCs w:val="18"/>
              </w:rPr>
              <w:t>区农田水利工程已全面建成</w:t>
            </w:r>
            <w:r>
              <w:rPr>
                <w:rFonts w:hint="eastAsia"/>
                <w:kern w:val="0"/>
                <w:sz w:val="18"/>
                <w:szCs w:val="18"/>
              </w:rPr>
              <w:t>，预计“十四五”末期官渡区农田灌溉水有效利用系数为0.56。</w:t>
            </w:r>
          </w:p>
          <w:p>
            <w:pPr>
              <w:widowControl/>
              <w:numPr>
                <w:ilvl w:val="0"/>
                <w:numId w:val="8"/>
              </w:numPr>
              <w:spacing w:line="240" w:lineRule="exact"/>
              <w:ind w:firstLineChars="0"/>
              <w:jc w:val="left"/>
              <w:textAlignment w:val="center"/>
              <w:rPr>
                <w:kern w:val="0"/>
                <w:sz w:val="18"/>
                <w:szCs w:val="18"/>
              </w:rPr>
            </w:pPr>
            <w:r>
              <w:rPr>
                <w:kern w:val="0"/>
                <w:sz w:val="18"/>
                <w:szCs w:val="18"/>
              </w:rPr>
              <w:t>新增蓄水库容</w:t>
            </w:r>
            <w:r>
              <w:rPr>
                <w:rFonts w:hint="eastAsia"/>
                <w:kern w:val="0"/>
                <w:sz w:val="18"/>
                <w:szCs w:val="18"/>
              </w:rPr>
              <w:t>：官渡区无新建蓄水工程。</w:t>
            </w:r>
          </w:p>
          <w:p>
            <w:pPr>
              <w:widowControl/>
              <w:numPr>
                <w:ilvl w:val="0"/>
                <w:numId w:val="8"/>
              </w:numPr>
              <w:spacing w:line="240" w:lineRule="exact"/>
              <w:ind w:firstLineChars="0"/>
              <w:jc w:val="left"/>
              <w:textAlignment w:val="center"/>
              <w:rPr>
                <w:kern w:val="0"/>
                <w:sz w:val="18"/>
                <w:szCs w:val="18"/>
              </w:rPr>
            </w:pPr>
            <w:r>
              <w:rPr>
                <w:kern w:val="0"/>
                <w:sz w:val="18"/>
                <w:szCs w:val="18"/>
              </w:rPr>
              <w:t>水利设施新增供水能力</w:t>
            </w:r>
            <w:r>
              <w:rPr>
                <w:rFonts w:hint="eastAsia"/>
                <w:kern w:val="0"/>
                <w:sz w:val="18"/>
                <w:szCs w:val="18"/>
              </w:rPr>
              <w:t>：官渡区无新建供水设施工程。</w:t>
            </w:r>
          </w:p>
          <w:p>
            <w:pPr>
              <w:widowControl/>
              <w:numPr>
                <w:ilvl w:val="0"/>
                <w:numId w:val="8"/>
              </w:numPr>
              <w:spacing w:line="240" w:lineRule="exact"/>
              <w:ind w:firstLineChars="0"/>
              <w:jc w:val="left"/>
              <w:textAlignment w:val="center"/>
              <w:rPr>
                <w:kern w:val="0"/>
                <w:sz w:val="18"/>
                <w:szCs w:val="18"/>
              </w:rPr>
            </w:pPr>
            <w:r>
              <w:rPr>
                <w:rFonts w:hint="eastAsia"/>
                <w:kern w:val="0"/>
                <w:sz w:val="18"/>
                <w:szCs w:val="18"/>
              </w:rPr>
              <w:t>农村集中供水率：农村集中供水率按照受益人口20人标准确定。“十三五”末期官渡区</w:t>
            </w:r>
            <w:r>
              <w:rPr>
                <w:kern w:val="0"/>
                <w:sz w:val="18"/>
                <w:szCs w:val="18"/>
              </w:rPr>
              <w:t>农村集中供水</w:t>
            </w:r>
            <w:r>
              <w:rPr>
                <w:rFonts w:hint="eastAsia"/>
                <w:kern w:val="0"/>
                <w:sz w:val="18"/>
                <w:szCs w:val="18"/>
              </w:rPr>
              <w:t>率已达到100%，预计“十四五”末期官渡区</w:t>
            </w:r>
            <w:r>
              <w:rPr>
                <w:kern w:val="0"/>
                <w:sz w:val="18"/>
                <w:szCs w:val="18"/>
              </w:rPr>
              <w:t>农村集中供水</w:t>
            </w:r>
            <w:r>
              <w:rPr>
                <w:rFonts w:hint="eastAsia"/>
                <w:kern w:val="0"/>
                <w:sz w:val="18"/>
                <w:szCs w:val="18"/>
              </w:rPr>
              <w:t>率继续巩固“十三五”工作成果继续维持100%。</w:t>
            </w:r>
          </w:p>
          <w:p>
            <w:pPr>
              <w:widowControl/>
              <w:numPr>
                <w:ilvl w:val="0"/>
                <w:numId w:val="8"/>
              </w:numPr>
              <w:spacing w:line="240" w:lineRule="exact"/>
              <w:ind w:firstLineChars="0"/>
              <w:jc w:val="left"/>
              <w:textAlignment w:val="center"/>
              <w:rPr>
                <w:kern w:val="0"/>
                <w:sz w:val="18"/>
                <w:szCs w:val="18"/>
              </w:rPr>
            </w:pPr>
            <w:r>
              <w:rPr>
                <w:kern w:val="0"/>
                <w:sz w:val="18"/>
                <w:szCs w:val="18"/>
              </w:rPr>
              <w:t>农村自来水普及率</w:t>
            </w:r>
            <w:r>
              <w:rPr>
                <w:rFonts w:hint="eastAsia"/>
                <w:kern w:val="0"/>
                <w:sz w:val="18"/>
                <w:szCs w:val="18"/>
              </w:rPr>
              <w:t>：</w:t>
            </w:r>
            <w:r>
              <w:rPr>
                <w:kern w:val="0"/>
                <w:sz w:val="18"/>
                <w:szCs w:val="18"/>
              </w:rPr>
              <w:t>农村自来水普及率</w:t>
            </w:r>
            <w:r>
              <w:rPr>
                <w:rFonts w:hint="eastAsia"/>
                <w:kern w:val="0"/>
                <w:sz w:val="18"/>
                <w:szCs w:val="18"/>
              </w:rPr>
              <w:t>指农村自来水供水人口占农村人口总数的比例。“十三五”末期官渡区</w:t>
            </w:r>
            <w:r>
              <w:rPr>
                <w:kern w:val="0"/>
                <w:sz w:val="18"/>
                <w:szCs w:val="18"/>
              </w:rPr>
              <w:t>农村自来水普及率</w:t>
            </w:r>
            <w:r>
              <w:rPr>
                <w:rFonts w:hint="eastAsia"/>
                <w:kern w:val="0"/>
                <w:sz w:val="18"/>
                <w:szCs w:val="18"/>
              </w:rPr>
              <w:t>已达到100%，预计“十四五”末期官渡区</w:t>
            </w:r>
            <w:r>
              <w:rPr>
                <w:kern w:val="0"/>
                <w:sz w:val="18"/>
                <w:szCs w:val="18"/>
              </w:rPr>
              <w:t>农村自来水普及率</w:t>
            </w:r>
            <w:r>
              <w:rPr>
                <w:rFonts w:hint="eastAsia"/>
                <w:kern w:val="0"/>
                <w:sz w:val="18"/>
                <w:szCs w:val="18"/>
              </w:rPr>
              <w:t>继续巩固“十三五”工作成果继续维持100%。</w:t>
            </w:r>
          </w:p>
          <w:p>
            <w:pPr>
              <w:widowControl/>
              <w:numPr>
                <w:ilvl w:val="0"/>
                <w:numId w:val="8"/>
              </w:numPr>
              <w:spacing w:line="240" w:lineRule="exact"/>
              <w:ind w:firstLineChars="0"/>
              <w:jc w:val="left"/>
              <w:textAlignment w:val="center"/>
              <w:rPr>
                <w:kern w:val="0"/>
                <w:sz w:val="18"/>
                <w:szCs w:val="18"/>
              </w:rPr>
            </w:pPr>
            <w:r>
              <w:rPr>
                <w:kern w:val="0"/>
                <w:sz w:val="18"/>
                <w:szCs w:val="18"/>
              </w:rPr>
              <w:t>农田有效灌溉率</w:t>
            </w:r>
            <w:r>
              <w:rPr>
                <w:rFonts w:hint="eastAsia"/>
                <w:kern w:val="0"/>
                <w:sz w:val="18"/>
                <w:szCs w:val="18"/>
              </w:rPr>
              <w:t>：</w:t>
            </w:r>
            <w:r>
              <w:rPr>
                <w:kern w:val="0"/>
                <w:sz w:val="18"/>
                <w:szCs w:val="18"/>
              </w:rPr>
              <w:t>农田有效灌溉率</w:t>
            </w:r>
            <w:r>
              <w:rPr>
                <w:rFonts w:hint="eastAsia"/>
                <w:kern w:val="0"/>
                <w:sz w:val="18"/>
                <w:szCs w:val="18"/>
              </w:rPr>
              <w:t>为农田有效灌溉面积与耕地面积之比。根据官渡区相关统计资料，官渡区现状</w:t>
            </w:r>
            <w:r>
              <w:rPr>
                <w:kern w:val="0"/>
                <w:sz w:val="18"/>
                <w:szCs w:val="18"/>
              </w:rPr>
              <w:t>有效灌溉率</w:t>
            </w:r>
            <w:r>
              <w:rPr>
                <w:rFonts w:hint="eastAsia"/>
                <w:kern w:val="0"/>
                <w:sz w:val="18"/>
                <w:szCs w:val="18"/>
              </w:rPr>
              <w:t>为85%，预计“十四五”末期，官渡区</w:t>
            </w:r>
            <w:r>
              <w:rPr>
                <w:kern w:val="0"/>
                <w:sz w:val="18"/>
                <w:szCs w:val="18"/>
              </w:rPr>
              <w:t>农田有效灌溉率</w:t>
            </w:r>
            <w:r>
              <w:rPr>
                <w:rFonts w:hint="eastAsia"/>
                <w:kern w:val="0"/>
                <w:sz w:val="18"/>
                <w:szCs w:val="18"/>
              </w:rPr>
              <w:t>能达到90%。</w:t>
            </w:r>
          </w:p>
          <w:p>
            <w:pPr>
              <w:widowControl/>
              <w:numPr>
                <w:ilvl w:val="0"/>
                <w:numId w:val="8"/>
              </w:numPr>
              <w:spacing w:line="240" w:lineRule="exact"/>
              <w:ind w:firstLineChars="0"/>
              <w:jc w:val="left"/>
              <w:textAlignment w:val="center"/>
              <w:rPr>
                <w:kern w:val="0"/>
                <w:sz w:val="18"/>
                <w:szCs w:val="18"/>
              </w:rPr>
            </w:pPr>
            <w:r>
              <w:rPr>
                <w:kern w:val="0"/>
                <w:sz w:val="18"/>
                <w:szCs w:val="18"/>
              </w:rPr>
              <w:t>供水安全系数</w:t>
            </w:r>
            <w:r>
              <w:rPr>
                <w:rFonts w:hint="eastAsia"/>
                <w:kern w:val="0"/>
                <w:sz w:val="18"/>
                <w:szCs w:val="18"/>
              </w:rPr>
              <w:t>：</w:t>
            </w:r>
            <w:r>
              <w:rPr>
                <w:kern w:val="0"/>
                <w:sz w:val="18"/>
                <w:szCs w:val="18"/>
              </w:rPr>
              <w:t>供水安全系数</w:t>
            </w:r>
            <w:r>
              <w:rPr>
                <w:rFonts w:hint="eastAsia"/>
                <w:kern w:val="0"/>
                <w:sz w:val="18"/>
                <w:szCs w:val="18"/>
              </w:rPr>
              <w:t>指年供水能力与当年供水量的比例。官渡区供水依托整个昆明市调度，预计“十四五”末期，官渡区供水安全系数为1.3，与昆明市水平保持一致。</w:t>
            </w:r>
          </w:p>
          <w:p>
            <w:pPr>
              <w:widowControl/>
              <w:numPr>
                <w:ilvl w:val="0"/>
                <w:numId w:val="8"/>
              </w:numPr>
              <w:spacing w:line="240" w:lineRule="exact"/>
              <w:ind w:firstLineChars="0"/>
              <w:jc w:val="left"/>
              <w:textAlignment w:val="center"/>
              <w:rPr>
                <w:kern w:val="0"/>
                <w:sz w:val="18"/>
                <w:szCs w:val="18"/>
              </w:rPr>
            </w:pPr>
            <w:r>
              <w:rPr>
                <w:kern w:val="0"/>
                <w:sz w:val="18"/>
                <w:szCs w:val="18"/>
              </w:rPr>
              <w:t>水土保持</w:t>
            </w:r>
            <w:r>
              <w:rPr>
                <w:rFonts w:hint="eastAsia"/>
                <w:kern w:val="0"/>
                <w:sz w:val="18"/>
                <w:szCs w:val="18"/>
              </w:rPr>
              <w:t>率：水土保持率指区域内非水土流失面积占区域土地总面积的比例。根据官渡区相关统计资料，官渡区现状水土保持率达70%，预计“十四五”末期，官渡区水土保持率将大于80%。</w:t>
            </w:r>
          </w:p>
          <w:p>
            <w:pPr>
              <w:widowControl/>
              <w:numPr>
                <w:ilvl w:val="0"/>
                <w:numId w:val="8"/>
              </w:numPr>
              <w:spacing w:line="240" w:lineRule="exact"/>
              <w:ind w:firstLineChars="0"/>
              <w:jc w:val="left"/>
              <w:textAlignment w:val="center"/>
              <w:rPr>
                <w:kern w:val="0"/>
                <w:sz w:val="18"/>
                <w:szCs w:val="18"/>
              </w:rPr>
            </w:pPr>
            <w:r>
              <w:rPr>
                <w:kern w:val="0"/>
                <w:sz w:val="18"/>
                <w:szCs w:val="18"/>
              </w:rPr>
              <w:t>重要河湖水域岸线监管率</w:t>
            </w:r>
            <w:r>
              <w:rPr>
                <w:rFonts w:hint="eastAsia"/>
                <w:kern w:val="0"/>
                <w:sz w:val="18"/>
                <w:szCs w:val="18"/>
              </w:rPr>
              <w:t>：</w:t>
            </w:r>
            <w:r>
              <w:rPr>
                <w:kern w:val="0"/>
                <w:sz w:val="18"/>
                <w:szCs w:val="18"/>
              </w:rPr>
              <w:t>重要河湖水域岸线监管率</w:t>
            </w:r>
            <w:r>
              <w:rPr>
                <w:rFonts w:hint="eastAsia"/>
                <w:kern w:val="0"/>
                <w:sz w:val="18"/>
                <w:szCs w:val="18"/>
              </w:rPr>
              <w:t>指划定了河湖管理范围、明确了岸线功能分区和管理要求的重要河湖数占河湖总数量的比例。本指标为综合类预期性指标，国家评价标准、要求、尺度存在弹性，预计“十四五”末期官渡区</w:t>
            </w:r>
            <w:r>
              <w:rPr>
                <w:kern w:val="0"/>
                <w:sz w:val="18"/>
                <w:szCs w:val="18"/>
              </w:rPr>
              <w:t>重要河湖水域岸线监管率</w:t>
            </w:r>
            <w:r>
              <w:rPr>
                <w:rFonts w:hint="eastAsia"/>
                <w:kern w:val="0"/>
                <w:sz w:val="18"/>
                <w:szCs w:val="18"/>
              </w:rPr>
              <w:t>为100%。</w:t>
            </w:r>
          </w:p>
          <w:p>
            <w:pPr>
              <w:widowControl/>
              <w:numPr>
                <w:ilvl w:val="0"/>
                <w:numId w:val="8"/>
              </w:numPr>
              <w:spacing w:line="240" w:lineRule="exact"/>
              <w:ind w:firstLineChars="0"/>
              <w:jc w:val="left"/>
              <w:textAlignment w:val="center"/>
              <w:rPr>
                <w:kern w:val="0"/>
                <w:szCs w:val="21"/>
              </w:rPr>
            </w:pPr>
            <w:r>
              <w:rPr>
                <w:kern w:val="0"/>
                <w:sz w:val="18"/>
                <w:szCs w:val="18"/>
              </w:rPr>
              <w:t>再生水利用率（含河道生态补水）</w:t>
            </w:r>
            <w:r>
              <w:rPr>
                <w:rFonts w:hint="eastAsia"/>
                <w:kern w:val="0"/>
                <w:sz w:val="18"/>
                <w:szCs w:val="18"/>
              </w:rPr>
              <w:t>：根据《官渡区“十四五”滇池水环境治理规划》制定目标，预计“十四五”末期，官渡区</w:t>
            </w:r>
            <w:r>
              <w:rPr>
                <w:kern w:val="0"/>
                <w:sz w:val="18"/>
                <w:szCs w:val="18"/>
              </w:rPr>
              <w:t>再生水利用率（含河道生态补水）</w:t>
            </w:r>
            <w:r>
              <w:rPr>
                <w:rFonts w:hint="eastAsia"/>
                <w:kern w:val="0"/>
                <w:sz w:val="18"/>
                <w:szCs w:val="18"/>
              </w:rPr>
              <w:t>达90%。</w:t>
            </w:r>
          </w:p>
        </w:tc>
      </w:tr>
    </w:tbl>
    <w:p>
      <w:pPr>
        <w:pStyle w:val="2"/>
      </w:pPr>
      <w:bookmarkStart w:id="86" w:name="_Toc9227"/>
      <w:bookmarkStart w:id="87" w:name="_Toc31019"/>
      <w:bookmarkStart w:id="88" w:name="_Toc435520666"/>
      <w:bookmarkStart w:id="89" w:name="_Toc428437152"/>
      <w:bookmarkStart w:id="90" w:name="_Toc435520548"/>
      <w:bookmarkStart w:id="91" w:name="_Toc436753323"/>
      <w:bookmarkStart w:id="92" w:name="_Toc428437247"/>
      <w:bookmarkStart w:id="93" w:name="_Toc412799650"/>
      <w:bookmarkStart w:id="94" w:name="_Toc421868685"/>
      <w:bookmarkStart w:id="95" w:name="_Toc413935743"/>
      <w:bookmarkStart w:id="96" w:name="_Toc409165010"/>
      <w:bookmarkStart w:id="97" w:name="_Toc428437255"/>
      <w:bookmarkStart w:id="98" w:name="_Toc240187779"/>
      <w:bookmarkStart w:id="99" w:name="_Toc409165177"/>
      <w:bookmarkStart w:id="100" w:name="_Toc428437163"/>
      <w:bookmarkStart w:id="101" w:name="_Toc436753335"/>
      <w:bookmarkStart w:id="102" w:name="_Toc413935694"/>
      <w:bookmarkStart w:id="103" w:name="_Toc435520678"/>
      <w:bookmarkStart w:id="104" w:name="_Toc435520554"/>
      <w:bookmarkStart w:id="105" w:name="_Toc413935584"/>
      <w:bookmarkStart w:id="106" w:name="_Toc420678757"/>
      <w:r>
        <w:rPr>
          <w:rFonts w:hint="eastAsia"/>
        </w:rPr>
        <w:t>2.4.3指标可达性分析</w:t>
      </w:r>
      <w:bookmarkEnd w:id="86"/>
    </w:p>
    <w:p>
      <w:pPr>
        <w:ind w:firstLine="480"/>
      </w:pPr>
      <w:r>
        <w:t>江河堤防达标率</w:t>
      </w:r>
      <w:r>
        <w:rPr>
          <w:rFonts w:hint="eastAsia"/>
        </w:rPr>
        <w:t>：“十三五”末期官渡区河道堤防达标长度84.85km，河道总长度128.56km，江河堤防达标率为66.0%，“十四五”期间官渡区将对老金汁河进行河道治理长度为9.20km，预计到“十四五”末期官渡区河道堤防达标长度为94.05，河道</w:t>
      </w:r>
      <w:r>
        <w:t>堤防</w:t>
      </w:r>
      <w:r>
        <w:rPr>
          <w:rFonts w:hint="eastAsia"/>
        </w:rPr>
        <w:t>达标率为73.2%，目标可达。</w:t>
      </w:r>
    </w:p>
    <w:p>
      <w:pPr>
        <w:ind w:firstLine="480"/>
      </w:pPr>
      <w:r>
        <w:rPr>
          <w:rFonts w:hint="eastAsia"/>
        </w:rPr>
        <w:t>用水总量控制：官渡区非市政供水总量2020年为0.19亿m</w:t>
      </w:r>
      <w:r>
        <w:rPr>
          <w:rFonts w:hint="eastAsia"/>
          <w:vertAlign w:val="superscript"/>
        </w:rPr>
        <w:t>3</w:t>
      </w:r>
      <w:r>
        <w:rPr>
          <w:rFonts w:hint="eastAsia"/>
        </w:rPr>
        <w:t>，</w:t>
      </w:r>
      <w:r>
        <w:t>根据</w:t>
      </w:r>
      <w:r>
        <w:rPr>
          <w:rFonts w:hint="eastAsia"/>
        </w:rPr>
        <w:t>昆明市</w:t>
      </w:r>
      <w:r>
        <w:t>实行最严格水资源管理制度考核制度的要求，</w:t>
      </w:r>
      <w:r>
        <w:rPr>
          <w:rFonts w:hint="eastAsia"/>
        </w:rPr>
        <w:t>官渡区</w:t>
      </w:r>
      <w:r>
        <w:t>202</w:t>
      </w:r>
      <w:r>
        <w:rPr>
          <w:rFonts w:hint="eastAsia"/>
        </w:rPr>
        <w:t>5</w:t>
      </w:r>
      <w:r>
        <w:t>年</w:t>
      </w:r>
      <w:r>
        <w:rPr>
          <w:rFonts w:hint="eastAsia"/>
        </w:rPr>
        <w:t>非市政供水</w:t>
      </w:r>
      <w:r>
        <w:t>用水总量需控制在</w:t>
      </w:r>
      <w:r>
        <w:rPr>
          <w:rFonts w:hint="eastAsia"/>
        </w:rPr>
        <w:t>0.20</w:t>
      </w:r>
      <w:r>
        <w:t>亿m</w:t>
      </w:r>
      <w:r>
        <w:rPr>
          <w:vertAlign w:val="superscript"/>
        </w:rPr>
        <w:t>3</w:t>
      </w:r>
      <w:r>
        <w:t>以下</w:t>
      </w:r>
      <w:r>
        <w:rPr>
          <w:rFonts w:hint="eastAsia"/>
        </w:rPr>
        <w:t>，目标可达</w:t>
      </w:r>
      <w:r>
        <w:t>。</w:t>
      </w:r>
    </w:p>
    <w:p>
      <w:pPr>
        <w:spacing w:line="480" w:lineRule="exact"/>
        <w:ind w:firstLine="480"/>
      </w:pPr>
      <w:r>
        <w:t>万元GDP用水</w:t>
      </w:r>
      <w:r>
        <w:rPr>
          <w:rFonts w:hint="eastAsia"/>
        </w:rPr>
        <w:t>量</w:t>
      </w:r>
      <w:r>
        <w:t>下降率</w:t>
      </w:r>
      <w:r>
        <w:rPr>
          <w:rFonts w:hint="eastAsia"/>
        </w:rPr>
        <w:t>、</w:t>
      </w:r>
      <w:r>
        <w:t>万元工业增加值用水量下降率</w:t>
      </w:r>
      <w:r>
        <w:rPr>
          <w:rFonts w:hint="eastAsia"/>
        </w:rPr>
        <w:t>：“十三五”末期官渡区万</w:t>
      </w:r>
      <w:r>
        <w:t>元GDP用水下降率</w:t>
      </w:r>
      <w:r>
        <w:rPr>
          <w:rFonts w:hint="eastAsia"/>
        </w:rPr>
        <w:t>达28%，</w:t>
      </w:r>
      <w:r>
        <w:t>万元工业增加值用水量下降率</w:t>
      </w:r>
      <w:r>
        <w:rPr>
          <w:rFonts w:hint="eastAsia"/>
        </w:rPr>
        <w:t>达29%，官渡区通过节水型社会建设，用水总量得到控制，用水效率得到提高，“十四五”期间官渡区将继续进行节水型社会建设，节水水平越高，万元GDP用水量、</w:t>
      </w:r>
      <w:r>
        <w:t>万元工业增加值用水量</w:t>
      </w:r>
      <w:r>
        <w:rPr>
          <w:rFonts w:hint="eastAsia"/>
        </w:rPr>
        <w:t>下降将越困难，预计“十四五”末期官渡区万元GDP用水量、</w:t>
      </w:r>
      <w:r>
        <w:t>万元工业增加值用水量</w:t>
      </w:r>
      <w:r>
        <w:rPr>
          <w:rFonts w:hint="eastAsia"/>
        </w:rPr>
        <w:t>下降率为10％，目标可达。</w:t>
      </w:r>
    </w:p>
    <w:p>
      <w:pPr>
        <w:spacing w:line="480" w:lineRule="exact"/>
        <w:ind w:firstLine="480"/>
      </w:pPr>
      <w:r>
        <w:t>农田灌溉水有效利用系数</w:t>
      </w:r>
      <w:r>
        <w:rPr>
          <w:rFonts w:hint="eastAsia"/>
        </w:rPr>
        <w:t>：“十三五”末期官渡区</w:t>
      </w:r>
      <w:r>
        <w:t>农田灌溉水有效利用系数</w:t>
      </w:r>
      <w:r>
        <w:rPr>
          <w:rFonts w:hint="eastAsia"/>
        </w:rPr>
        <w:t>达0.54，且</w:t>
      </w:r>
      <w:r>
        <w:t>到2020年底</w:t>
      </w:r>
      <w:r>
        <w:rPr>
          <w:rFonts w:hint="eastAsia"/>
        </w:rPr>
        <w:t>官渡区</w:t>
      </w:r>
      <w:r>
        <w:t>仅剩矣六街道仅有6000多亩耕地</w:t>
      </w:r>
      <w:r>
        <w:rPr>
          <w:rFonts w:hint="eastAsia"/>
        </w:rPr>
        <w:t>，官渡</w:t>
      </w:r>
      <w:r>
        <w:t>区农田水利工程已全面建成</w:t>
      </w:r>
      <w:r>
        <w:rPr>
          <w:rFonts w:hint="eastAsia"/>
        </w:rPr>
        <w:t>。现喷灌技术、滴灌技术、微灌技术等相关节水工程技术在不断成熟，虽前期资金投入较大但节水效益明显，对</w:t>
      </w:r>
      <w:r>
        <w:t>灌溉水有效利用系数</w:t>
      </w:r>
      <w:r>
        <w:rPr>
          <w:rFonts w:hint="eastAsia"/>
        </w:rPr>
        <w:t>的提升效果明显，预计“十四五”末期官渡区</w:t>
      </w:r>
      <w:r>
        <w:t>农田灌溉水有效利用系数</w:t>
      </w:r>
      <w:r>
        <w:rPr>
          <w:rFonts w:hint="eastAsia"/>
        </w:rPr>
        <w:t>达0.56，目标可达。</w:t>
      </w:r>
    </w:p>
    <w:p>
      <w:pPr>
        <w:spacing w:line="480" w:lineRule="exact"/>
        <w:ind w:firstLine="480"/>
      </w:pPr>
      <w:r>
        <w:rPr>
          <w:rFonts w:hint="eastAsia"/>
        </w:rPr>
        <w:t>农村集中供水率、</w:t>
      </w:r>
      <w:r>
        <w:t>农村自来水普及率</w:t>
      </w:r>
      <w:r>
        <w:rPr>
          <w:rFonts w:hint="eastAsia"/>
        </w:rPr>
        <w:t>：“十三五”末期官渡区农村集中供水率、</w:t>
      </w:r>
      <w:r>
        <w:t>农村自来水普及率</w:t>
      </w:r>
      <w:r>
        <w:rPr>
          <w:rFonts w:hint="eastAsia"/>
        </w:rPr>
        <w:t>已达到100%，“十四五”期间将继续巩固“十三五”工作成果继续维持100%，目标可达。</w:t>
      </w:r>
    </w:p>
    <w:p>
      <w:pPr>
        <w:spacing w:line="480" w:lineRule="exact"/>
        <w:ind w:firstLine="480"/>
      </w:pPr>
      <w:r>
        <w:t>农田有效灌溉率</w:t>
      </w:r>
      <w:r>
        <w:rPr>
          <w:rFonts w:hint="eastAsia"/>
        </w:rPr>
        <w:t>：“十三五”末期官渡区</w:t>
      </w:r>
      <w:r>
        <w:t>农田有效灌溉率</w:t>
      </w:r>
      <w:r>
        <w:rPr>
          <w:rFonts w:hint="eastAsia"/>
        </w:rPr>
        <w:t>达85%，且</w:t>
      </w:r>
      <w:r>
        <w:t>到2020年底</w:t>
      </w:r>
      <w:r>
        <w:rPr>
          <w:rFonts w:hint="eastAsia"/>
        </w:rPr>
        <w:t>官渡区</w:t>
      </w:r>
      <w:r>
        <w:t>仅剩矣六街道仅有6000多亩耕地</w:t>
      </w:r>
      <w:r>
        <w:rPr>
          <w:rFonts w:hint="eastAsia"/>
        </w:rPr>
        <w:t>，现喷灌技术、滴灌技术、微灌技术等相关节水工程技术在不断成熟，农田有效灌溉面积不断增加，预计“十四五”末期官渡区</w:t>
      </w:r>
      <w:r>
        <w:t>农田有效灌溉率</w:t>
      </w:r>
      <w:r>
        <w:rPr>
          <w:rFonts w:hint="eastAsia"/>
        </w:rPr>
        <w:t>达90%，目标可达。</w:t>
      </w:r>
    </w:p>
    <w:p>
      <w:pPr>
        <w:spacing w:line="480" w:lineRule="exact"/>
        <w:ind w:firstLine="480"/>
      </w:pPr>
      <w:r>
        <w:t>供水安全系数</w:t>
      </w:r>
      <w:r>
        <w:rPr>
          <w:rFonts w:hint="eastAsia"/>
        </w:rPr>
        <w:t>：供水安全系数为年供水能力与当年供水量的比例，官渡区供水依托整个昆明市调度，昆明市供水能力约为24.5亿m</w:t>
      </w:r>
      <w:r>
        <w:rPr>
          <w:rFonts w:hint="eastAsia"/>
          <w:vertAlign w:val="superscript"/>
        </w:rPr>
        <w:t>3</w:t>
      </w:r>
      <w:r>
        <w:rPr>
          <w:rFonts w:hint="eastAsia"/>
        </w:rPr>
        <w:t>，年供水量约为18.8亿m</w:t>
      </w:r>
      <w:r>
        <w:rPr>
          <w:rFonts w:hint="eastAsia"/>
          <w:vertAlign w:val="superscript"/>
        </w:rPr>
        <w:t>3</w:t>
      </w:r>
      <w:r>
        <w:rPr>
          <w:rFonts w:hint="eastAsia"/>
        </w:rPr>
        <w:t>，根据昆明市“十四五”期间供水能力1.2亿m</w:t>
      </w:r>
      <w:r>
        <w:rPr>
          <w:rFonts w:hint="eastAsia"/>
          <w:vertAlign w:val="superscript"/>
        </w:rPr>
        <w:t>3</w:t>
      </w:r>
      <w:r>
        <w:rPr>
          <w:rFonts w:hint="eastAsia"/>
        </w:rPr>
        <w:t>测算，预计“十四五”末期昆明市供水安全系数为1.3，官渡区与昆明市保持一致供水安全系数为1.3，目标可达。</w:t>
      </w:r>
    </w:p>
    <w:p>
      <w:pPr>
        <w:spacing w:line="480" w:lineRule="exact"/>
        <w:ind w:firstLine="480"/>
      </w:pPr>
      <w:r>
        <w:t>水土保持</w:t>
      </w:r>
      <w:r>
        <w:rPr>
          <w:rFonts w:hint="eastAsia"/>
        </w:rPr>
        <w:t>率：“十三五”末期官渡区水土保持率达70%</w:t>
      </w:r>
      <w:r>
        <w:t>，</w:t>
      </w:r>
      <w:r>
        <w:rPr>
          <w:rFonts w:hint="eastAsia"/>
        </w:rPr>
        <w:t>“十四五”期间官渡区将继续推动</w:t>
      </w:r>
      <w:r>
        <w:t>有关部门认真履行水土流失防治义务，</w:t>
      </w:r>
      <w:r>
        <w:rPr>
          <w:rFonts w:hint="eastAsia"/>
        </w:rPr>
        <w:t>做好</w:t>
      </w:r>
      <w:r>
        <w:t>水土保持监督执法工作</w:t>
      </w:r>
      <w:r>
        <w:rPr>
          <w:rFonts w:hint="eastAsia"/>
        </w:rPr>
        <w:t>，</w:t>
      </w:r>
      <w:r>
        <w:t>全面加强监督预防保护工作，严控人为水土流失，促进生态自我修复。</w:t>
      </w:r>
      <w:r>
        <w:rPr>
          <w:rFonts w:hint="eastAsia"/>
        </w:rPr>
        <w:t>预计“十四五”末期官渡区</w:t>
      </w:r>
      <w:r>
        <w:t>水土保持</w:t>
      </w:r>
      <w:r>
        <w:rPr>
          <w:rFonts w:hint="eastAsia"/>
        </w:rPr>
        <w:t>率将大于80%，目标可达。</w:t>
      </w:r>
    </w:p>
    <w:p>
      <w:pPr>
        <w:spacing w:line="480" w:lineRule="exact"/>
        <w:ind w:firstLine="480"/>
      </w:pPr>
      <w:r>
        <w:t>重要河湖水域岸线监管率</w:t>
      </w:r>
      <w:r>
        <w:rPr>
          <w:rFonts w:hint="eastAsia"/>
        </w:rPr>
        <w:t>：“十三五”末期官渡区已完成15条主要入滇河道的管理与保护范围划定，报告明确指出河道管理范围、明确了岸线功能分区和管理要求，</w:t>
      </w:r>
      <w:r>
        <w:t>重要河湖水域岸线监管率</w:t>
      </w:r>
      <w:r>
        <w:rPr>
          <w:rFonts w:hint="eastAsia"/>
        </w:rPr>
        <w:t>达100%，“十四五”期间将继续巩固“十三五”工作成果继续维持100%，目标可达。</w:t>
      </w:r>
    </w:p>
    <w:p>
      <w:pPr>
        <w:spacing w:line="480" w:lineRule="exact"/>
        <w:ind w:firstLine="480"/>
      </w:pPr>
      <w:r>
        <w:t>再生水利用率（含河道生态补水）</w:t>
      </w:r>
      <w:r>
        <w:rPr>
          <w:rFonts w:hint="eastAsia"/>
        </w:rPr>
        <w:t>：预计“十四五”末期，第十五水质净化厂建成投运，区域可再生利用水资源将增加40万m</w:t>
      </w:r>
      <w:r>
        <w:rPr>
          <w:rFonts w:hint="eastAsia"/>
          <w:vertAlign w:val="superscript"/>
        </w:rPr>
        <w:t>3</w:t>
      </w:r>
      <w:r>
        <w:rPr>
          <w:rFonts w:hint="eastAsia"/>
        </w:rPr>
        <w:t>/天，并加上海绵城市建设要求，雨洪水的调蓄和综合利用将增加，合理利用第二、第六水质净化厂尾水，对老宝象河、五甲宝象河、六甲宝象河、广福路截洪沟、东侧截洪沟等河道开展生态补水，官渡区将再生水、雨水等非常规水源统一调度，将优质尾水补给河道，进一步提高了再生水利用率，预计“十四五”末期官渡区</w:t>
      </w:r>
      <w:r>
        <w:t>再生水利用率（含河道生态补水）</w:t>
      </w:r>
      <w:r>
        <w:rPr>
          <w:rFonts w:hint="eastAsia"/>
        </w:rPr>
        <w:t>大于90%，目标可达。</w:t>
      </w:r>
    </w:p>
    <w:p>
      <w:pPr>
        <w:pStyle w:val="6"/>
        <w:spacing w:line="480" w:lineRule="exact"/>
      </w:pPr>
      <w:bookmarkStart w:id="107" w:name="_Toc22088"/>
      <w:r>
        <w:t>2.</w:t>
      </w:r>
      <w:r>
        <w:rPr>
          <w:rFonts w:hint="eastAsia"/>
        </w:rPr>
        <w:t>5发展</w:t>
      </w:r>
      <w:r>
        <w:t>布局</w:t>
      </w:r>
      <w:bookmarkEnd w:id="87"/>
      <w:bookmarkEnd w:id="107"/>
    </w:p>
    <w:p>
      <w:pPr>
        <w:spacing w:line="480" w:lineRule="exact"/>
        <w:ind w:firstLine="480"/>
      </w:pPr>
      <w:r>
        <w:t>昆明</w:t>
      </w:r>
      <w:r>
        <w:rPr>
          <w:rFonts w:hint="eastAsia"/>
        </w:rPr>
        <w:t>官渡</w:t>
      </w:r>
      <w:r>
        <w:t>区“十四五”水安全保障规划系统在梳理</w:t>
      </w:r>
      <w:r>
        <w:rPr>
          <w:rFonts w:hint="eastAsia"/>
        </w:rPr>
        <w:t>官渡</w:t>
      </w:r>
      <w:r>
        <w:t>区城市发展总体规划、主体功能区划、生态功能区划等已有成果的基础上，深入系统分析经济社会发展、生态文明建设以及国土空间布局对水利行业发展的刚性合理需求，剖析水利供给侧改革的发展机遇，统筹考虑</w:t>
      </w:r>
      <w:r>
        <w:rPr>
          <w:rFonts w:hint="eastAsia"/>
        </w:rPr>
        <w:t>官渡</w:t>
      </w:r>
      <w:r>
        <w:t>区基本区情、水情、工程布局，明晰空间均衡的要义，按照空间均衡、山水林田湖草系统治理的要求，确定</w:t>
      </w:r>
      <w:r>
        <w:rPr>
          <w:rFonts w:hint="eastAsia"/>
        </w:rPr>
        <w:t>官渡区</w:t>
      </w:r>
      <w:r>
        <w:t>水务发展的总体布局。</w:t>
      </w:r>
    </w:p>
    <w:p>
      <w:pPr>
        <w:spacing w:line="480" w:lineRule="exact"/>
        <w:ind w:firstLine="480"/>
      </w:pPr>
      <w:r>
        <w:rPr>
          <w:rFonts w:hint="eastAsia"/>
        </w:rPr>
        <w:t>官渡区</w:t>
      </w:r>
      <w:r>
        <w:t>以国土空间规划为纲领，明确市域国土空间保护开发格局和总体空间结构，加强空间规划体系衔接，落实“多规合一”，构建国土空间规划“一张图”。突出优化生态空间、城乡开发利用和历史文化保护三大重点，强化重大交通枢纽、重大水电网工程、其它重要线性工程网络等统筹安排。协调跨域和域内国土空间开发保护优化空间结构和布局，强化生态隔离带、河道、湿地等生态空间保护。</w:t>
      </w:r>
    </w:p>
    <w:p>
      <w:pPr>
        <w:spacing w:line="480" w:lineRule="exact"/>
        <w:ind w:firstLine="480"/>
      </w:pPr>
      <w:r>
        <w:t>围绕打造“美丽中国”典范城市展示区</w:t>
      </w:r>
      <w:r>
        <w:rPr>
          <w:rFonts w:hint="eastAsia"/>
        </w:rPr>
        <w:t>加快绿色生态发展，</w:t>
      </w:r>
      <w:r>
        <w:t>坚持绿色发展理念和“两山”理论，坚持“生态美区”、“环境立区”，走绿色发展、循环发展和低碳发展道路，围绕建设“美丽中国”典范城市展示区，打好绿色能源、绿色食品、健康生活目的地“三张牌”，坚决打赢“蓝天保卫战、碧水保卫战、净土保卫战”。</w:t>
      </w:r>
      <w:r>
        <w:rPr>
          <w:rFonts w:hint="eastAsia"/>
        </w:rPr>
        <w:t>持续提升生态环境质量，</w:t>
      </w:r>
      <w:r>
        <w:t>围绕云南2025年建成中国最美丽省份的目标，落实最高标准、最严制度、最硬执法、最实举措、最佳环境“五最”要求，持续建设美好家园。强化水资源保护，从控源截污、内源整治、生态构建、系统治理方面，强化水环境综合治理、提高工业用水效率、加强面源污染治理、加强水环境管理等措施，构建水环境防治新格局。到2025年，区内水环境质量总体改善，水生态系统功能初步恢复。</w:t>
      </w:r>
    </w:p>
    <w:p>
      <w:pPr>
        <w:spacing w:line="480" w:lineRule="exact"/>
        <w:ind w:firstLine="480"/>
      </w:pPr>
      <w:r>
        <w:t>提升治污成效</w:t>
      </w:r>
      <w:r>
        <w:rPr>
          <w:rFonts w:hint="eastAsia"/>
        </w:rPr>
        <w:t>，</w:t>
      </w:r>
      <w:r>
        <w:t>突出时间精准、空间精准、行业精准，提高治污效益，强化执法监督，落实相关主体的环境责任。巩固滇池保护治理“三年攻坚”行动重点项目成效，继续推进宝象河、虾坝河、姚安河、海河河段及其支次沟渠水环境综合整治工程，通过实施河道截污、垃圾清理、底泥清淤、河道生态修复等措施，改善河道水环境。严格排查河道及支次沟渠排污口、排水口，完善河道及支次沟渠截污工程，对各排污口实现全面截污，做到污水全收集。到2025年，实现入滇河流出境断面水质达到水环境功能区要求。持续强化城镇污染源控制，依托辖区内昆明市第二水质净化厂、昆明市第六水质净化厂、昆明市第十水质净化厂、昆明市第十一水质净化厂、昆明市第十五水质净化厂和9座处理站等污水处理设施，消除城镇污染源增量、去除存量。新建调度泵站及新建、改建污水管网系统，提高水质净化厂运行效率；实施水质净化厂污泥处置工程，实现污泥资源化利用；实施排水系统改造、清淤除障等，提高排水管网覆盖率。</w:t>
      </w:r>
    </w:p>
    <w:p>
      <w:pPr>
        <w:spacing w:line="480" w:lineRule="exact"/>
        <w:ind w:firstLine="480"/>
      </w:pPr>
      <w:r>
        <w:rPr>
          <w:rFonts w:hint="eastAsia"/>
        </w:rPr>
        <w:t>综合统筹山水田林湖草，</w:t>
      </w:r>
      <w:r>
        <w:t>打好生态保护修复攻坚战</w:t>
      </w:r>
      <w:r>
        <w:rPr>
          <w:rFonts w:hint="eastAsia"/>
        </w:rPr>
        <w:t>，</w:t>
      </w:r>
      <w:r>
        <w:t>进一步完善滇池流域生态环境监测网络，控制开发利用对湖泊生态环境以及水质的影响。落实长江流域生态大保护要求，实施滇池及主要入湖河道重点水域十年禁渔。严格管控湿地总量，加大高原湿地的保护与恢复力度。逐步开展退耕还湿，提升湿地生态功能。加快推进湿地建设，建立保护管理、科普教育、生态恢复、湿地资源合理利用示范区。</w:t>
      </w:r>
    </w:p>
    <w:p>
      <w:pPr>
        <w:widowControl/>
        <w:spacing w:line="480" w:lineRule="exact"/>
        <w:ind w:firstLine="480"/>
        <w:jc w:val="left"/>
      </w:pPr>
      <w:r>
        <w:rPr>
          <w:rFonts w:hint="eastAsia"/>
        </w:rPr>
        <w:t>官渡区</w:t>
      </w:r>
      <w:r>
        <w:t>水安全保障重点为：水供给保障方面，加大工业节水力度，加大非常规水源利用；水生态安全方面</w:t>
      </w:r>
      <w:r>
        <w:rPr>
          <w:rFonts w:hint="eastAsia"/>
        </w:rPr>
        <w:t>，开展湿地修复、</w:t>
      </w:r>
      <w:r>
        <w:t>雨污分流整治工</w:t>
      </w:r>
      <w:r>
        <w:rPr>
          <w:rFonts w:hint="eastAsia"/>
        </w:rPr>
        <w:t>程、</w:t>
      </w:r>
      <w:r>
        <w:t>村庄污水处理站及调蓄池工程</w:t>
      </w:r>
      <w:r>
        <w:rPr>
          <w:rFonts w:hint="eastAsia"/>
        </w:rPr>
        <w:t>、</w:t>
      </w:r>
      <w:r>
        <w:t>片区环境综合治理配套工程</w:t>
      </w:r>
      <w:r>
        <w:rPr>
          <w:rFonts w:hint="eastAsia"/>
        </w:rPr>
        <w:t>、</w:t>
      </w:r>
      <w:r>
        <w:t>第十五水质净化厂建设</w:t>
      </w:r>
      <w:r>
        <w:rPr>
          <w:rFonts w:hint="eastAsia"/>
        </w:rPr>
        <w:t>等工程</w:t>
      </w:r>
      <w:r>
        <w:t>提升</w:t>
      </w:r>
      <w:r>
        <w:rPr>
          <w:rFonts w:hint="eastAsia"/>
        </w:rPr>
        <w:t>水质；</w:t>
      </w:r>
      <w:r>
        <w:t>水防御安全方面重点关注</w:t>
      </w:r>
      <w:r>
        <w:rPr>
          <w:rFonts w:hint="eastAsia"/>
        </w:rPr>
        <w:t>淹水点整治</w:t>
      </w:r>
      <w:r>
        <w:t>；水管理水信息安全方面，继续加大人力和资金投入，提高</w:t>
      </w:r>
      <w:r>
        <w:rPr>
          <w:rFonts w:hint="eastAsia"/>
        </w:rPr>
        <w:t>官渡</w:t>
      </w:r>
      <w:r>
        <w:t>区智慧水务建设水平，以河长制为抓手，强化</w:t>
      </w:r>
      <w:r>
        <w:rPr>
          <w:rFonts w:hint="eastAsia"/>
        </w:rPr>
        <w:t>官渡</w:t>
      </w:r>
      <w:r>
        <w:t>区河湖、水利工程监管。</w:t>
      </w:r>
    </w:p>
    <w:bookmarkEnd w:id="88"/>
    <w:bookmarkEnd w:id="89"/>
    <w:bookmarkEnd w:id="90"/>
    <w:bookmarkEnd w:id="91"/>
    <w:bookmarkEnd w:id="92"/>
    <w:bookmarkEnd w:id="93"/>
    <w:bookmarkEnd w:id="94"/>
    <w:p>
      <w:pPr>
        <w:pStyle w:val="6"/>
        <w:spacing w:line="480" w:lineRule="exact"/>
        <w:rPr>
          <w:szCs w:val="24"/>
        </w:rPr>
      </w:pPr>
      <w:bookmarkStart w:id="108" w:name="_Toc22502"/>
      <w:bookmarkStart w:id="109" w:name="_Toc13933"/>
      <w:r>
        <w:rPr>
          <w:szCs w:val="24"/>
        </w:rPr>
        <w:t>2.</w:t>
      </w:r>
      <w:r>
        <w:rPr>
          <w:rFonts w:hint="eastAsia"/>
          <w:szCs w:val="24"/>
        </w:rPr>
        <w:t>6</w:t>
      </w:r>
      <w:r>
        <w:rPr>
          <w:szCs w:val="24"/>
        </w:rPr>
        <w:t>实施计划</w:t>
      </w:r>
      <w:bookmarkEnd w:id="108"/>
      <w:bookmarkEnd w:id="109"/>
    </w:p>
    <w:p>
      <w:pPr>
        <w:pStyle w:val="2"/>
        <w:spacing w:line="480" w:lineRule="exact"/>
        <w:rPr>
          <w:rFonts w:cs="Times New Roman"/>
          <w:szCs w:val="24"/>
        </w:rPr>
      </w:pPr>
      <w:bookmarkStart w:id="110" w:name="_Toc10365"/>
      <w:r>
        <w:rPr>
          <w:rFonts w:cs="Times New Roman"/>
          <w:szCs w:val="24"/>
        </w:rPr>
        <w:t>2.</w:t>
      </w:r>
      <w:r>
        <w:rPr>
          <w:rFonts w:hint="eastAsia" w:cs="Times New Roman"/>
          <w:szCs w:val="24"/>
        </w:rPr>
        <w:t>6</w:t>
      </w:r>
      <w:r>
        <w:rPr>
          <w:rFonts w:cs="Times New Roman"/>
          <w:szCs w:val="24"/>
        </w:rPr>
        <w:t>.1实施计划、安排原则</w:t>
      </w:r>
      <w:bookmarkEnd w:id="95"/>
      <w:bookmarkEnd w:id="96"/>
      <w:bookmarkEnd w:id="97"/>
      <w:bookmarkEnd w:id="98"/>
      <w:bookmarkEnd w:id="99"/>
      <w:bookmarkEnd w:id="100"/>
      <w:bookmarkEnd w:id="101"/>
      <w:bookmarkEnd w:id="102"/>
      <w:bookmarkEnd w:id="103"/>
      <w:bookmarkEnd w:id="104"/>
      <w:bookmarkEnd w:id="105"/>
      <w:bookmarkEnd w:id="106"/>
      <w:bookmarkEnd w:id="110"/>
    </w:p>
    <w:p>
      <w:pPr>
        <w:spacing w:line="480" w:lineRule="exact"/>
        <w:ind w:firstLine="480"/>
      </w:pPr>
      <w:r>
        <w:t>昆明市官渡区“十四五”水安全保障规划坚持以人为本，树立全面、协调、可持续的发展观的要求，强调统筹城乡发展、统筹区域发展、统筹经济社会发展、统筹人与自然和谐发展、统筹国内发展和对外开放，实现经济社会的可持续发展和人的全面发展。优化水资源配置，把水资源配置到经济发展的重要项目、重要产业上，以重点项目带动面上项目的发展，拉动全区的经济增长。</w:t>
      </w:r>
    </w:p>
    <w:p>
      <w:pPr>
        <w:pStyle w:val="2"/>
        <w:spacing w:line="480" w:lineRule="exact"/>
        <w:rPr>
          <w:rFonts w:cs="Times New Roman"/>
          <w:szCs w:val="24"/>
        </w:rPr>
      </w:pPr>
      <w:bookmarkStart w:id="111" w:name="_Toc6930"/>
      <w:r>
        <w:rPr>
          <w:rFonts w:cs="Times New Roman"/>
          <w:szCs w:val="24"/>
        </w:rPr>
        <w:t>2.</w:t>
      </w:r>
      <w:r>
        <w:rPr>
          <w:rFonts w:hint="eastAsia" w:cs="Times New Roman"/>
          <w:szCs w:val="24"/>
        </w:rPr>
        <w:t>6</w:t>
      </w:r>
      <w:r>
        <w:rPr>
          <w:rFonts w:cs="Times New Roman"/>
          <w:szCs w:val="24"/>
        </w:rPr>
        <w:t>.2实施计划</w:t>
      </w:r>
      <w:bookmarkEnd w:id="111"/>
    </w:p>
    <w:p>
      <w:pPr>
        <w:ind w:firstLine="480"/>
      </w:pPr>
      <w:r>
        <w:t>根据五年来官渡区水务发展“十三五”规划实施的实际完成情况及昆明市水务局的计划安排，官渡“十四五”发展项目按照先急后缓、先易后难的原则，做出重点项目的实施安排。</w:t>
      </w:r>
    </w:p>
    <w:p>
      <w:pPr>
        <w:pStyle w:val="5"/>
        <w:ind w:firstLine="602"/>
      </w:pPr>
      <w:bookmarkStart w:id="112" w:name="_Toc11034"/>
      <w:bookmarkStart w:id="113" w:name="_Toc10288"/>
      <w:bookmarkStart w:id="114" w:name="_Toc27881"/>
      <w:r>
        <w:t>3</w:t>
      </w:r>
      <w:r>
        <w:rPr>
          <w:rFonts w:hint="eastAsia"/>
        </w:rPr>
        <w:t>以水定需，</w:t>
      </w:r>
      <w:r>
        <w:t>全面推进节水型社会建设</w:t>
      </w:r>
      <w:bookmarkEnd w:id="112"/>
      <w:bookmarkEnd w:id="113"/>
      <w:bookmarkEnd w:id="114"/>
    </w:p>
    <w:p>
      <w:pPr>
        <w:ind w:firstLine="480"/>
      </w:pPr>
      <w:r>
        <w:t>按照全民节水、全程节水、全域节水、全设施节水“四全”节水要求，全面落实《国家节水行动方案》，到2025年，量水而行的水资源承载能力倒逼机制基本形成，努力建成新时代节水型城市。</w:t>
      </w:r>
    </w:p>
    <w:p>
      <w:pPr>
        <w:pStyle w:val="6"/>
        <w:rPr>
          <w:szCs w:val="24"/>
        </w:rPr>
      </w:pPr>
      <w:bookmarkStart w:id="115" w:name="_Toc24605"/>
      <w:bookmarkStart w:id="116" w:name="_Toc23665"/>
      <w:bookmarkStart w:id="117" w:name="_Toc29680"/>
      <w:r>
        <w:rPr>
          <w:szCs w:val="24"/>
        </w:rPr>
        <w:t>3.1大力推进重点领域节水</w:t>
      </w:r>
      <w:bookmarkEnd w:id="115"/>
      <w:bookmarkEnd w:id="116"/>
      <w:bookmarkEnd w:id="117"/>
    </w:p>
    <w:p>
      <w:pPr>
        <w:pStyle w:val="2"/>
        <w:rPr>
          <w:rFonts w:cs="Times New Roman"/>
          <w:szCs w:val="24"/>
        </w:rPr>
      </w:pPr>
      <w:bookmarkStart w:id="118" w:name="_Toc20049"/>
      <w:r>
        <w:rPr>
          <w:rFonts w:cs="Times New Roman"/>
          <w:szCs w:val="24"/>
        </w:rPr>
        <w:t>3.1.1工业及城镇生活节水</w:t>
      </w:r>
      <w:bookmarkEnd w:id="118"/>
    </w:p>
    <w:p>
      <w:pPr>
        <w:ind w:firstLine="480"/>
      </w:pPr>
      <w:r>
        <w:t>协调督促工业主管部门，优化产业结构和布局，建立高耗水行业负面清单，严格控制新建、扩建高耗水项目，重点抓好高耗水行业的节水减排技改以及重复用水工程建设工作。</w:t>
      </w:r>
    </w:p>
    <w:p>
      <w:pPr>
        <w:ind w:firstLine="480"/>
      </w:pPr>
      <w:r>
        <w:t>大力开展节水型单位、学校、社区、企业创建工作，不断扩大节水载体覆盖面，充分发挥节水载体示范方带头作用。继续加大力度开展水量平衡测试，建设一批节水意识强、节水制度完备、节水器具普及、节水标准先进、监控管理严格的节水单位，引导工业企业开展用水效率对标达标工作。</w:t>
      </w:r>
    </w:p>
    <w:p>
      <w:pPr>
        <w:pStyle w:val="2"/>
        <w:rPr>
          <w:rFonts w:cs="Times New Roman"/>
          <w:szCs w:val="24"/>
        </w:rPr>
      </w:pPr>
      <w:bookmarkStart w:id="119" w:name="_Toc10360"/>
      <w:r>
        <w:rPr>
          <w:rFonts w:cs="Times New Roman"/>
          <w:szCs w:val="24"/>
        </w:rPr>
        <w:t>3.1.2建设节水型社会</w:t>
      </w:r>
      <w:bookmarkEnd w:id="119"/>
    </w:p>
    <w:p>
      <w:pPr>
        <w:ind w:firstLine="480"/>
      </w:pPr>
      <w:r>
        <w:t>根据</w:t>
      </w:r>
      <w:r>
        <w:rPr>
          <w:rFonts w:hint="eastAsia"/>
        </w:rPr>
        <w:t>前述相关</w:t>
      </w:r>
      <w:r>
        <w:t>分析，官渡区人均水资源量远低于云南省和我国的平均水平的实际，缺水形式相当严峻，因此必须建设节水型社会。</w:t>
      </w:r>
    </w:p>
    <w:p>
      <w:pPr>
        <w:ind w:firstLine="480"/>
      </w:pPr>
      <w:r>
        <w:t>（1）加快节水管理部门权能建设。①将用水总量宏观调控的权利集中到节水管理部门，对全县水的供、用、排、回收再利用过程统一监管。②从水管单位体制改革入手，把兴建工程、管理工程转向提供公共物品和公共服务。③在经营性领域打破传统的方式，全面开放市场，建立利用市场促进用水效率提高和社会资金投入的新机制。④在水资源管理的各个环节全面贯彻公开透明、广泛参与和民主决策的原则。</w:t>
      </w:r>
    </w:p>
    <w:p>
      <w:pPr>
        <w:ind w:firstLine="480"/>
      </w:pPr>
      <w:r>
        <w:t>（2）开源节流，提高水资源利用率。根据最严格水资源管理制度的有关要求，提升区域内的水资源利用率。</w:t>
      </w:r>
    </w:p>
    <w:p>
      <w:pPr>
        <w:ind w:firstLine="480"/>
      </w:pPr>
      <w:r>
        <w:t>（4）加大节水科技开发和资金投入力度。应加强对重点节水技术的研究和开发，加快推广应用节水新技术。</w:t>
      </w:r>
    </w:p>
    <w:p>
      <w:pPr>
        <w:ind w:firstLine="480"/>
      </w:pPr>
      <w:r>
        <w:t>（5）广泛动员全社会力量参与节水型社会的建设。加大节水宣传力度，充分利用新闻媒体，大力宣传节水方针、政策、法规，普及节水知识，增强全社会的水忧患意识和节水意识。</w:t>
      </w:r>
    </w:p>
    <w:p>
      <w:pPr>
        <w:pStyle w:val="6"/>
        <w:rPr>
          <w:szCs w:val="24"/>
        </w:rPr>
      </w:pPr>
      <w:bookmarkStart w:id="120" w:name="_Toc8945"/>
      <w:bookmarkStart w:id="121" w:name="_Toc28010"/>
      <w:bookmarkStart w:id="122" w:name="_Toc14240"/>
      <w:r>
        <w:rPr>
          <w:szCs w:val="24"/>
        </w:rPr>
        <w:t>3.2建立健全节水激励机制</w:t>
      </w:r>
      <w:bookmarkEnd w:id="120"/>
      <w:bookmarkEnd w:id="121"/>
      <w:bookmarkEnd w:id="122"/>
    </w:p>
    <w:p>
      <w:pPr>
        <w:ind w:firstLine="480"/>
      </w:pPr>
      <w:r>
        <w:t>加快城镇居民用水“一户一表”改造，实现全覆盖。参考昆明市阶梯水价政策实施成果，加快完善官渡区阶梯水价政策改革，继续推行城镇居民用水阶梯价格制度，通过价格杠杆积极推进节水型城市建设。同时，强化非居民用水户计划(定额)用水管理，积极实行城镇非居民用水超计划累进加价制度，在官渡区范围内全面实施以奖代补措施，严格考核重点用水行业的节水型企业创建情况，鼓励和支持重点用水企业采用节水新工艺、新技术，努力培育一批节水型示范企业，不断提高重点用水行业节水积极性和主动性。</w:t>
      </w:r>
    </w:p>
    <w:p>
      <w:pPr>
        <w:pStyle w:val="6"/>
        <w:rPr>
          <w:szCs w:val="24"/>
        </w:rPr>
      </w:pPr>
      <w:bookmarkStart w:id="123" w:name="_Toc13602"/>
      <w:bookmarkStart w:id="124" w:name="_Toc27266"/>
      <w:bookmarkStart w:id="125" w:name="_Toc25485"/>
      <w:r>
        <w:rPr>
          <w:szCs w:val="24"/>
        </w:rPr>
        <w:t>3.3培养公民节水洁水意识</w:t>
      </w:r>
      <w:bookmarkEnd w:id="123"/>
      <w:bookmarkEnd w:id="124"/>
      <w:bookmarkEnd w:id="125"/>
    </w:p>
    <w:p>
      <w:pPr>
        <w:ind w:firstLine="480"/>
      </w:pPr>
      <w:r>
        <w:t>要积极开展节水宣传教育，不断提高全民节水意识，结合“世界水日”、“中国水周”、“全国城市节约用水宣传周”，广泛开展节水宣传，提高民众节水意识；加大微博、微信、手机报等新媒体节水宣传力度。充分利用各种平台和媒体，加强水情教育，大力宣传节水和洁水观念，扩大社会参与度，及时发布节水政策，广泛发挥社会组织与志愿者参与节水的积极作用，强化节水的社会监督作用。</w:t>
      </w:r>
    </w:p>
    <w:p>
      <w:pPr>
        <w:ind w:firstLine="480"/>
      </w:pPr>
      <w:r>
        <w:br w:type="page"/>
      </w:r>
    </w:p>
    <w:p>
      <w:pPr>
        <w:pStyle w:val="5"/>
        <w:ind w:firstLine="602"/>
      </w:pPr>
      <w:bookmarkStart w:id="126" w:name="_Toc31890"/>
      <w:bookmarkStart w:id="127" w:name="_Toc23245"/>
      <w:bookmarkStart w:id="128" w:name="_Toc17726"/>
      <w:r>
        <w:t>4防治并重，完善江河安澜的防洪体系</w:t>
      </w:r>
      <w:bookmarkEnd w:id="126"/>
      <w:bookmarkEnd w:id="127"/>
      <w:bookmarkEnd w:id="128"/>
    </w:p>
    <w:p>
      <w:pPr>
        <w:ind w:firstLine="480"/>
      </w:pPr>
      <w:bookmarkStart w:id="129" w:name="_Toc436753298"/>
      <w:bookmarkStart w:id="130" w:name="_Toc428437127"/>
      <w:bookmarkStart w:id="131" w:name="_Toc435520641"/>
      <w:r>
        <w:t>践行“两个坚持、三个转变”的防灾减灾救灾理念，按照“自排为主、泵站为辅、调蓄相助”的原则和“下泄、中疏、上截、高蓄”的防洪思路，以流域防洪体系为依托，以中小河流治理、山洪灾害防治、病险水闸除险加固为重点，结合海绵城市建设，系统完善以河堤为骨架的安澜屏障，全面提升防洪排涝标准。</w:t>
      </w:r>
    </w:p>
    <w:p>
      <w:pPr>
        <w:pStyle w:val="6"/>
        <w:rPr>
          <w:szCs w:val="24"/>
        </w:rPr>
      </w:pPr>
      <w:bookmarkStart w:id="132" w:name="_Toc20548"/>
      <w:bookmarkStart w:id="133" w:name="_Toc23959"/>
      <w:bookmarkStart w:id="134" w:name="_Toc5607"/>
      <w:r>
        <w:rPr>
          <w:szCs w:val="24"/>
        </w:rPr>
        <w:t>4.1优化防洪空间布局</w:t>
      </w:r>
      <w:bookmarkEnd w:id="132"/>
      <w:bookmarkEnd w:id="133"/>
      <w:bookmarkEnd w:id="134"/>
    </w:p>
    <w:p>
      <w:pPr>
        <w:ind w:firstLine="480"/>
      </w:pPr>
      <w:r>
        <w:t>官渡区应考虑对城区防洪河道综合整治，按相关规划要求预留蓝线宽度和加高加固河堤，确保行洪达标外，还应综合考虑河岸防冲、淤问题，确保河堤稳固和河道通畅，同时，还需考虑生态河道的建设问题。城区排涝河道整治疏浚后，应提高城区重要部门、商业区及低洼地带的排水标准，继续考虑防淤工程措施，对淤积堵塞排水系统开展清淤、除渣，堵塞物打捞等措施，保障排水设施通畅。</w:t>
      </w:r>
    </w:p>
    <w:p>
      <w:pPr>
        <w:pStyle w:val="6"/>
        <w:rPr>
          <w:szCs w:val="24"/>
        </w:rPr>
      </w:pPr>
      <w:bookmarkStart w:id="135" w:name="_Toc26022"/>
      <w:bookmarkStart w:id="136" w:name="_Toc21203"/>
      <w:r>
        <w:rPr>
          <w:szCs w:val="24"/>
        </w:rPr>
        <w:t>4.2加快防洪薄弱环节建设</w:t>
      </w:r>
      <w:bookmarkEnd w:id="135"/>
      <w:bookmarkEnd w:id="136"/>
    </w:p>
    <w:p>
      <w:pPr>
        <w:pStyle w:val="2"/>
        <w:rPr>
          <w:rFonts w:cs="Times New Roman"/>
          <w:szCs w:val="24"/>
        </w:rPr>
      </w:pPr>
      <w:bookmarkStart w:id="137" w:name="_Toc20599"/>
      <w:r>
        <w:rPr>
          <w:rFonts w:cs="Times New Roman"/>
          <w:szCs w:val="24"/>
        </w:rPr>
        <w:t>4.2.1中小河流治理</w:t>
      </w:r>
      <w:bookmarkEnd w:id="129"/>
      <w:bookmarkEnd w:id="130"/>
      <w:bookmarkEnd w:id="131"/>
      <w:bookmarkEnd w:id="137"/>
    </w:p>
    <w:p>
      <w:pPr>
        <w:ind w:firstLine="480"/>
      </w:pPr>
      <w:r>
        <w:t>以列入《加快灾后水利薄弱环节建设实施方案》的中小河流为重点，优先治理防洪问题突出、近年来发生过较大洪涝灾害的重要河段。以河道清障、清淤疏浚、堤防加固加高为主要措施，加大中小河流治理力度。</w:t>
      </w:r>
    </w:p>
    <w:p>
      <w:pPr>
        <w:pStyle w:val="2"/>
        <w:rPr>
          <w:rFonts w:cs="Times New Roman"/>
          <w:szCs w:val="24"/>
        </w:rPr>
      </w:pPr>
      <w:bookmarkStart w:id="138" w:name="_Toc14070"/>
      <w:bookmarkStart w:id="139" w:name="_Toc436753300"/>
      <w:bookmarkStart w:id="140" w:name="_Toc428437129"/>
      <w:bookmarkStart w:id="141" w:name="_Toc435520643"/>
      <w:r>
        <w:rPr>
          <w:rFonts w:hint="eastAsia" w:cs="Times New Roman"/>
          <w:szCs w:val="24"/>
        </w:rPr>
        <w:t>4.2.2河道安全整治</w:t>
      </w:r>
      <w:bookmarkEnd w:id="138"/>
    </w:p>
    <w:p>
      <w:pPr>
        <w:pStyle w:val="4"/>
        <w:ind w:firstLine="480"/>
        <w:rPr>
          <w:rFonts w:hint="eastAsia" w:ascii="Times New Roman" w:hAnsi="Times New Roman"/>
          <w:color w:val="auto"/>
        </w:rPr>
      </w:pPr>
      <w:r>
        <w:rPr>
          <w:rFonts w:hint="eastAsia"/>
          <w:color w:val="auto"/>
        </w:rPr>
        <w:t>为保障河道能安全泄洪，</w:t>
      </w:r>
      <w:r>
        <w:rPr>
          <w:rFonts w:ascii="Times New Roman" w:hAnsi="Times New Roman"/>
          <w:color w:val="auto"/>
        </w:rPr>
        <w:t>“十四五”期间官渡区计划完成</w:t>
      </w:r>
      <w:r>
        <w:rPr>
          <w:rFonts w:hint="eastAsia"/>
          <w:color w:val="auto"/>
        </w:rPr>
        <w:t>1</w:t>
      </w:r>
      <w:r>
        <w:rPr>
          <w:rFonts w:ascii="Times New Roman" w:hAnsi="Times New Roman"/>
          <w:color w:val="auto"/>
        </w:rPr>
        <w:t>件</w:t>
      </w:r>
      <w:r>
        <w:rPr>
          <w:rFonts w:hint="eastAsia"/>
          <w:color w:val="auto"/>
        </w:rPr>
        <w:t>河道安全整治</w:t>
      </w:r>
      <w:r>
        <w:rPr>
          <w:rFonts w:ascii="Times New Roman" w:hAnsi="Times New Roman"/>
          <w:color w:val="auto"/>
        </w:rPr>
        <w:t>项目。</w:t>
      </w:r>
      <w:bookmarkStart w:id="142" w:name="_Toc16103"/>
    </w:p>
    <w:p>
      <w:pPr>
        <w:pStyle w:val="2"/>
        <w:rPr>
          <w:rFonts w:cs="Times New Roman"/>
          <w:szCs w:val="24"/>
        </w:rPr>
      </w:pPr>
      <w:r>
        <w:rPr>
          <w:rFonts w:cs="Times New Roman"/>
          <w:szCs w:val="24"/>
        </w:rPr>
        <w:t>4.2.</w:t>
      </w:r>
      <w:r>
        <w:rPr>
          <w:rFonts w:hint="eastAsia" w:cs="Times New Roman"/>
          <w:szCs w:val="24"/>
        </w:rPr>
        <w:t>3</w:t>
      </w:r>
      <w:r>
        <w:rPr>
          <w:rFonts w:cs="Times New Roman"/>
          <w:szCs w:val="24"/>
        </w:rPr>
        <w:t>淹水点治理</w:t>
      </w:r>
      <w:bookmarkEnd w:id="142"/>
    </w:p>
    <w:p>
      <w:pPr>
        <w:ind w:firstLine="480"/>
        <w:rPr>
          <w:rFonts w:hint="eastAsia"/>
        </w:rPr>
      </w:pPr>
      <w:r>
        <w:t>根据官渡区现状及规划发展方向，近年来，在官渡区城市建设不断发展的同时，弱透水面积在不断增大，洪水量级相应加大，城市防洪基础设施建设远远滞后于城市建设，城区河道抵御洪水能力未明显提高，现已暴露出城区防洪、排涝河道行洪能力减小，造成城区片区排水系统不畅，淹积水问题依然存在。“十四五”期间官渡区计划完成</w:t>
      </w:r>
      <w:r>
        <w:rPr>
          <w:rFonts w:hint="eastAsia"/>
        </w:rPr>
        <w:t>7</w:t>
      </w:r>
      <w:r>
        <w:t>件淹水点治理项目。</w:t>
      </w:r>
      <w:bookmarkStart w:id="143" w:name="_Toc10165"/>
    </w:p>
    <w:p>
      <w:pPr>
        <w:pStyle w:val="2"/>
        <w:rPr>
          <w:rFonts w:cs="Times New Roman"/>
          <w:szCs w:val="24"/>
        </w:rPr>
      </w:pPr>
      <w:r>
        <w:rPr>
          <w:rFonts w:cs="Times New Roman"/>
          <w:szCs w:val="24"/>
        </w:rPr>
        <w:t>4.2.</w:t>
      </w:r>
      <w:bookmarkEnd w:id="139"/>
      <w:bookmarkEnd w:id="140"/>
      <w:bookmarkEnd w:id="141"/>
      <w:r>
        <w:rPr>
          <w:rFonts w:hint="eastAsia" w:cs="Times New Roman"/>
          <w:szCs w:val="24"/>
        </w:rPr>
        <w:t>4</w:t>
      </w:r>
      <w:r>
        <w:rPr>
          <w:rFonts w:cs="Times New Roman"/>
          <w:szCs w:val="24"/>
        </w:rPr>
        <w:t>山洪</w:t>
      </w:r>
      <w:r>
        <w:rPr>
          <w:rFonts w:hint="eastAsia" w:cs="Times New Roman"/>
          <w:szCs w:val="24"/>
        </w:rPr>
        <w:t>灾害防治</w:t>
      </w:r>
      <w:bookmarkEnd w:id="143"/>
    </w:p>
    <w:p>
      <w:pPr>
        <w:ind w:firstLine="480"/>
      </w:pPr>
      <w:r>
        <w:rPr>
          <w:rFonts w:hint="eastAsia"/>
        </w:rPr>
        <w:t>官渡区山洪灾害以非工程措施为主。</w:t>
      </w:r>
      <w:r>
        <w:t>强化应急抢险救灾工程措施、非工程措施建设。按照“防治结合、以防为主”的方针，</w:t>
      </w:r>
      <w:r>
        <w:rPr>
          <w:rFonts w:hint="eastAsia"/>
        </w:rPr>
        <w:t>以重点防治区和近期发生山洪灾害的地区为重点，继续加大山洪灾害防治力度，充分发挥群策群防群控体系在山洪灾害防御中的作用</w:t>
      </w:r>
      <w:r>
        <w:t>。</w:t>
      </w:r>
      <w:r>
        <w:rPr>
          <w:rFonts w:hint="eastAsia"/>
        </w:rPr>
        <w:t>非工程措施按照扩大覆盖范围、加大监测密度、提高预报精度、升级预警设备的要求，以学校、社区、旅游景区等人口密集地区为重点，完善山洪灾害监测预警系统；持续开展群测群防体系建设，提高山丘区群众主动防灾避险意识和能力。</w:t>
      </w:r>
    </w:p>
    <w:p>
      <w:pPr>
        <w:spacing w:line="360" w:lineRule="auto"/>
        <w:ind w:firstLine="480"/>
        <w:jc w:val="center"/>
      </w:pPr>
      <w:r>
        <w:object>
          <v:shape id="_x0000_i1025" o:spt="75" type="#_x0000_t75" style="height:193.5pt;width:414.75pt;" o:ole="t" filled="f" o:preferrelative="t" stroked="f" coordsize="21600,21600">
            <v:path/>
            <v:fill on="f" focussize="0,0"/>
            <v:stroke on="f" joinstyle="miter"/>
            <v:imagedata r:id="rId17" o:title=""/>
            <o:lock v:ext="edit" aspectratio="t"/>
            <w10:wrap type="none"/>
            <w10:anchorlock/>
          </v:shape>
          <o:OLEObject Type="Embed" ProgID="Visio.Drawing.11" ShapeID="_x0000_i1025" DrawAspect="Content" ObjectID="_1468075725" r:id="rId16">
            <o:LockedField>false</o:LockedField>
          </o:OLEObject>
        </w:object>
      </w:r>
      <w:r>
        <w:rPr>
          <w:b/>
          <w:bCs/>
          <w:sz w:val="21"/>
          <w:szCs w:val="21"/>
        </w:rPr>
        <w:t>图4-1 山洪灾害防治体系示意图</w:t>
      </w:r>
    </w:p>
    <w:p>
      <w:pPr>
        <w:pStyle w:val="6"/>
        <w:rPr>
          <w:rFonts w:eastAsiaTheme="minorEastAsia"/>
          <w:szCs w:val="24"/>
        </w:rPr>
      </w:pPr>
      <w:bookmarkStart w:id="144" w:name="_Toc2204"/>
      <w:bookmarkStart w:id="145" w:name="_Toc18022"/>
      <w:bookmarkStart w:id="146" w:name="_Toc4763"/>
      <w:r>
        <w:rPr>
          <w:szCs w:val="24"/>
        </w:rPr>
        <w:t>4.3加强风险防控能力</w:t>
      </w:r>
      <w:bookmarkEnd w:id="144"/>
      <w:bookmarkEnd w:id="145"/>
      <w:bookmarkEnd w:id="146"/>
    </w:p>
    <w:p>
      <w:pPr>
        <w:ind w:firstLine="480"/>
      </w:pPr>
      <w:r>
        <w:t>全面开展水闸安全鉴定，全面消除现有病险水闸的安全隐患，恢复其防洪等功能。加强水闸运行管理和日常维修养护，建立健全长效机制，确保工程安全运行；加大投入力度，加快除险加固步伐，同步完善工程安全监测设施。</w:t>
      </w:r>
    </w:p>
    <w:p>
      <w:pPr>
        <w:ind w:firstLine="480"/>
        <w:sectPr>
          <w:footerReference r:id="rId14" w:type="default"/>
          <w:pgSz w:w="11906" w:h="16838"/>
          <w:pgMar w:top="1440" w:right="1803" w:bottom="1440" w:left="1803" w:header="851" w:footer="992" w:gutter="0"/>
          <w:pgNumType w:start="1"/>
          <w:cols w:space="0" w:num="1"/>
          <w:docGrid w:type="lines" w:linePitch="395" w:charSpace="0"/>
        </w:sectPr>
      </w:pPr>
    </w:p>
    <w:p>
      <w:pPr>
        <w:pStyle w:val="5"/>
        <w:ind w:firstLine="602"/>
      </w:pPr>
      <w:bookmarkStart w:id="147" w:name="_Toc26900"/>
      <w:bookmarkStart w:id="148" w:name="_Toc11370"/>
      <w:bookmarkStart w:id="149" w:name="_Toc22052"/>
      <w:r>
        <w:t>5质量统筹，构建空间均衡的水资源配置体系</w:t>
      </w:r>
      <w:bookmarkEnd w:id="147"/>
      <w:bookmarkEnd w:id="148"/>
      <w:bookmarkEnd w:id="149"/>
    </w:p>
    <w:p>
      <w:pPr>
        <w:spacing w:line="520" w:lineRule="exact"/>
        <w:ind w:firstLine="480"/>
        <w:rPr>
          <w:kern w:val="0"/>
        </w:rPr>
      </w:pPr>
      <w:r>
        <w:rPr>
          <w:kern w:val="0"/>
        </w:rPr>
        <w:t>按照“源、厂、网”一体化的要求，打造“多源联调、丰枯互济”的水源调配体系、“集约高效、城乡一体”的供水厂网体系以及“储备充足、调度灵活”的应急储备体系，实现丰源、增厂、扩网“三增”和降风险“一降”，全方位保障供水安全。</w:t>
      </w:r>
    </w:p>
    <w:p>
      <w:pPr>
        <w:pStyle w:val="6"/>
        <w:rPr>
          <w:szCs w:val="24"/>
        </w:rPr>
      </w:pPr>
      <w:bookmarkStart w:id="150" w:name="_Toc19745"/>
      <w:bookmarkStart w:id="151" w:name="_Toc12332"/>
      <w:bookmarkStart w:id="152" w:name="_Toc15493"/>
      <w:r>
        <w:rPr>
          <w:szCs w:val="24"/>
        </w:rPr>
        <w:t>5.1水资源供求状况分析</w:t>
      </w:r>
      <w:bookmarkEnd w:id="150"/>
      <w:bookmarkEnd w:id="151"/>
      <w:bookmarkEnd w:id="152"/>
    </w:p>
    <w:p>
      <w:pPr>
        <w:pStyle w:val="2"/>
        <w:rPr>
          <w:rFonts w:cs="Times New Roman"/>
          <w:szCs w:val="24"/>
        </w:rPr>
      </w:pPr>
      <w:bookmarkStart w:id="153" w:name="_Toc20296"/>
      <w:r>
        <w:rPr>
          <w:rFonts w:cs="Times New Roman"/>
          <w:szCs w:val="24"/>
        </w:rPr>
        <w:t>5.1.1需水预测</w:t>
      </w:r>
      <w:bookmarkEnd w:id="153"/>
    </w:p>
    <w:p>
      <w:pPr>
        <w:pStyle w:val="3"/>
        <w:rPr>
          <w:rFonts w:cs="Times New Roman"/>
          <w:szCs w:val="24"/>
        </w:rPr>
      </w:pPr>
      <w:r>
        <w:rPr>
          <w:rFonts w:cs="Times New Roman"/>
          <w:szCs w:val="24"/>
        </w:rPr>
        <w:t>5.1.1.1</w:t>
      </w:r>
      <w:r>
        <w:rPr>
          <w:rFonts w:hint="eastAsia" w:cs="Times New Roman"/>
          <w:szCs w:val="24"/>
        </w:rPr>
        <w:t>居民</w:t>
      </w:r>
      <w:r>
        <w:rPr>
          <w:rFonts w:cs="Times New Roman"/>
          <w:szCs w:val="24"/>
        </w:rPr>
        <w:t>需水预测</w:t>
      </w:r>
    </w:p>
    <w:p>
      <w:pPr>
        <w:ind w:firstLine="480"/>
      </w:pPr>
      <w:r>
        <w:t>2020年官渡区常驻人口为160.23万人，城镇化率98.65%。参考相关规划，结合2020年社会经济统计资料的实际情况，官渡区口增长未因城市建设而大幅度提高，官渡区人口增长率为8‰，预测到2025年城镇化率达到100%。因此：</w:t>
      </w:r>
    </w:p>
    <w:p>
      <w:pPr>
        <w:widowControl/>
        <w:ind w:firstLine="480"/>
        <w:jc w:val="left"/>
      </w:pPr>
      <w:r>
        <w:t>预测到2025年，官渡区人口增长率与现状一致，总人口为166.74万人</w:t>
      </w:r>
      <w:r>
        <w:rPr>
          <w:rFonts w:hint="eastAsia"/>
        </w:rPr>
        <w:t>。</w:t>
      </w:r>
    </w:p>
    <w:p>
      <w:pPr>
        <w:widowControl/>
        <w:ind w:firstLine="480"/>
        <w:jc w:val="left"/>
      </w:pPr>
      <w:r>
        <w:rPr>
          <w:rFonts w:hint="eastAsia" w:ascii="宋体" w:hAnsi="宋体" w:cs="宋体"/>
          <w:color w:val="000000"/>
          <w:kern w:val="0"/>
        </w:rPr>
        <w:t>官渡区地处内陆属于严重缺水的城市，本规划根据国家标准《城市给水工程规划规范</w:t>
      </w:r>
      <w:r>
        <w:rPr>
          <w:color w:val="000000"/>
          <w:kern w:val="0"/>
        </w:rPr>
        <w:t>GB50282-2016</w:t>
      </w:r>
      <w:r>
        <w:rPr>
          <w:rFonts w:hint="eastAsia" w:ascii="宋体" w:hAnsi="宋体" w:cs="宋体"/>
          <w:color w:val="000000"/>
          <w:kern w:val="0"/>
        </w:rPr>
        <w:t>》以及《城市居民生活用水量标准</w:t>
      </w:r>
      <w:r>
        <w:rPr>
          <w:color w:val="000000"/>
          <w:kern w:val="0"/>
        </w:rPr>
        <w:t>GB/T50331-2002</w:t>
      </w:r>
      <w:r>
        <w:rPr>
          <w:rFonts w:hint="eastAsia" w:ascii="宋体" w:hAnsi="宋体" w:cs="宋体"/>
          <w:color w:val="000000"/>
          <w:kern w:val="0"/>
        </w:rPr>
        <w:t>》，结合《昆明市城市总体规划》，</w:t>
      </w:r>
      <w:r>
        <w:t>参照《</w:t>
      </w:r>
      <w:r>
        <w:rPr>
          <w:rFonts w:hint="eastAsia"/>
        </w:rPr>
        <w:t>昆明市“十四五”城市给水发展规划（2021-2025年）</w:t>
      </w:r>
      <w:r>
        <w:t>》</w:t>
      </w:r>
      <w:r>
        <w:rPr>
          <w:rFonts w:hint="eastAsia"/>
        </w:rPr>
        <w:t>、</w:t>
      </w:r>
      <w:r>
        <w:t>《云南省用水定额</w:t>
      </w:r>
      <w:r>
        <w:rPr>
          <w:rFonts w:hint="eastAsia"/>
        </w:rPr>
        <w:t>》</w:t>
      </w:r>
      <w:r>
        <w:rPr>
          <w:rFonts w:hint="eastAsia" w:ascii="宋体" w:hAnsi="宋体" w:cs="宋体"/>
          <w:color w:val="000000"/>
          <w:kern w:val="0"/>
        </w:rPr>
        <w:t>对用水量指标做相应调整。</w:t>
      </w:r>
    </w:p>
    <w:p>
      <w:pPr>
        <w:widowControl/>
        <w:numPr>
          <w:ilvl w:val="1"/>
          <w:numId w:val="9"/>
        </w:numPr>
        <w:ind w:firstLine="482"/>
        <w:jc w:val="left"/>
      </w:pPr>
      <w:r>
        <w:rPr>
          <w:rFonts w:hint="eastAsia" w:ascii="宋体" w:hAnsi="宋体" w:cs="宋体"/>
          <w:b/>
          <w:bCs/>
          <w:color w:val="000000"/>
          <w:kern w:val="0"/>
        </w:rPr>
        <w:t xml:space="preserve">居民生活用水量指标 </w:t>
      </w:r>
    </w:p>
    <w:p>
      <w:pPr>
        <w:widowControl/>
        <w:ind w:firstLine="480"/>
        <w:jc w:val="left"/>
        <w:rPr>
          <w:rFonts w:ascii="宋体" w:hAnsi="宋体" w:cs="宋体"/>
          <w:color w:val="000000"/>
          <w:kern w:val="0"/>
        </w:rPr>
      </w:pPr>
      <w:r>
        <w:rPr>
          <w:rFonts w:hint="eastAsia" w:ascii="宋体" w:hAnsi="宋体" w:cs="宋体"/>
          <w:color w:val="000000"/>
          <w:kern w:val="0"/>
        </w:rPr>
        <w:t>根据最新的《室外给水设计标准》，官渡区属于二区</w:t>
      </w:r>
      <w:r>
        <w:rPr>
          <w:color w:val="000000"/>
          <w:kern w:val="0"/>
        </w:rPr>
        <w:t>Ⅱ</w:t>
      </w:r>
      <w:r>
        <w:rPr>
          <w:rFonts w:hint="eastAsia" w:ascii="宋体" w:hAnsi="宋体" w:cs="宋体"/>
          <w:color w:val="000000"/>
          <w:kern w:val="0"/>
        </w:rPr>
        <w:t>型大城市，平均日居民生活用水定额为</w:t>
      </w:r>
      <w:r>
        <w:rPr>
          <w:rFonts w:hint="eastAsia"/>
          <w:color w:val="000000"/>
          <w:kern w:val="0"/>
        </w:rPr>
        <w:t>7</w:t>
      </w:r>
      <w:r>
        <w:rPr>
          <w:color w:val="000000"/>
          <w:kern w:val="0"/>
        </w:rPr>
        <w:t>0</w:t>
      </w:r>
      <w:r>
        <w:rPr>
          <w:rFonts w:hint="eastAsia" w:ascii="宋体" w:hAnsi="宋体" w:cs="宋体"/>
          <w:color w:val="000000"/>
          <w:kern w:val="0"/>
        </w:rPr>
        <w:t>～</w:t>
      </w:r>
      <w:r>
        <w:rPr>
          <w:color w:val="000000"/>
          <w:kern w:val="0"/>
        </w:rPr>
        <w:t>1</w:t>
      </w:r>
      <w:r>
        <w:rPr>
          <w:rFonts w:hint="eastAsia"/>
          <w:color w:val="000000"/>
          <w:kern w:val="0"/>
        </w:rPr>
        <w:t>2</w:t>
      </w:r>
      <w:r>
        <w:rPr>
          <w:color w:val="000000"/>
          <w:kern w:val="0"/>
        </w:rPr>
        <w:t>0L/</w:t>
      </w:r>
      <w:r>
        <w:rPr>
          <w:rFonts w:hint="eastAsia" w:ascii="宋体" w:hAnsi="宋体" w:cs="宋体"/>
          <w:color w:val="000000"/>
          <w:kern w:val="0"/>
        </w:rPr>
        <w:t>人</w:t>
      </w:r>
      <w:r>
        <w:rPr>
          <w:color w:val="000000"/>
          <w:kern w:val="0"/>
        </w:rPr>
        <w:t>·d</w:t>
      </w:r>
      <w:r>
        <w:rPr>
          <w:rFonts w:hint="eastAsia" w:ascii="宋体" w:hAnsi="宋体" w:cs="宋体"/>
          <w:color w:val="000000"/>
          <w:kern w:val="0"/>
        </w:rPr>
        <w:t>，考虑节水城市的建设，确定本规划居民生活用水平均指标。如下：</w:t>
      </w:r>
    </w:p>
    <w:tbl>
      <w:tblPr>
        <w:tblStyle w:val="22"/>
        <w:tblW w:w="5000" w:type="pct"/>
        <w:tblInd w:w="0" w:type="dxa"/>
        <w:tblLayout w:type="autofit"/>
        <w:tblCellMar>
          <w:top w:w="0" w:type="dxa"/>
          <w:left w:w="108" w:type="dxa"/>
          <w:bottom w:w="0" w:type="dxa"/>
          <w:right w:w="108" w:type="dxa"/>
        </w:tblCellMar>
      </w:tblPr>
      <w:tblGrid>
        <w:gridCol w:w="6978"/>
        <w:gridCol w:w="1544"/>
      </w:tblGrid>
      <w:tr>
        <w:tblPrEx>
          <w:tblCellMar>
            <w:top w:w="0" w:type="dxa"/>
            <w:left w:w="108" w:type="dxa"/>
            <w:bottom w:w="0" w:type="dxa"/>
            <w:right w:w="108" w:type="dxa"/>
          </w:tblCellMar>
        </w:tblPrEx>
        <w:trPr>
          <w:trHeight w:val="400" w:hRule="atLeast"/>
        </w:trPr>
        <w:tc>
          <w:tcPr>
            <w:tcW w:w="5000" w:type="pct"/>
            <w:gridSpan w:val="2"/>
            <w:tcBorders>
              <w:top w:val="nil"/>
              <w:left w:val="nil"/>
              <w:bottom w:val="nil"/>
              <w:right w:val="nil"/>
            </w:tcBorders>
            <w:shd w:val="clear" w:color="auto" w:fill="auto"/>
            <w:noWrap/>
            <w:vAlign w:val="center"/>
          </w:tcPr>
          <w:p>
            <w:pPr>
              <w:widowControl/>
              <w:ind w:firstLine="482"/>
              <w:jc w:val="center"/>
              <w:textAlignment w:val="center"/>
              <w:rPr>
                <w:rFonts w:ascii="宋体" w:hAnsi="宋体" w:cs="宋体"/>
                <w:color w:val="000000"/>
              </w:rPr>
            </w:pPr>
            <w:r>
              <w:rPr>
                <w:b/>
                <w:bCs/>
                <w:color w:val="000000"/>
                <w:kern w:val="0"/>
              </w:rPr>
              <w:t>表5-1  居民生活用水平均指标</w:t>
            </w:r>
          </w:p>
        </w:tc>
      </w:tr>
      <w:tr>
        <w:tblPrEx>
          <w:tblCellMar>
            <w:top w:w="0" w:type="dxa"/>
            <w:left w:w="108" w:type="dxa"/>
            <w:bottom w:w="0" w:type="dxa"/>
            <w:right w:w="108" w:type="dxa"/>
          </w:tblCellMar>
        </w:tblPrEx>
        <w:trPr>
          <w:trHeight w:val="400" w:hRule="atLeast"/>
        </w:trPr>
        <w:tc>
          <w:tcPr>
            <w:tcW w:w="40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480"/>
              <w:jc w:val="center"/>
              <w:textAlignment w:val="bottom"/>
              <w:rPr>
                <w:rFonts w:ascii="宋体" w:hAnsi="宋体" w:cs="宋体"/>
                <w:color w:val="000000"/>
              </w:rPr>
            </w:pPr>
            <w:r>
              <w:rPr>
                <w:rFonts w:hint="eastAsia" w:ascii="宋体" w:hAnsi="宋体" w:cs="宋体"/>
                <w:color w:val="000000"/>
                <w:kern w:val="0"/>
              </w:rPr>
              <w:t>平均日居民生活用水指标（L /人·d）</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480"/>
              <w:textAlignment w:val="bottom"/>
              <w:rPr>
                <w:color w:val="000000"/>
              </w:rPr>
            </w:pPr>
            <w:r>
              <w:rPr>
                <w:color w:val="000000"/>
                <w:kern w:val="0"/>
              </w:rPr>
              <w:t>110</w:t>
            </w:r>
          </w:p>
        </w:tc>
      </w:tr>
    </w:tbl>
    <w:p>
      <w:pPr>
        <w:widowControl/>
        <w:numPr>
          <w:ilvl w:val="1"/>
          <w:numId w:val="9"/>
        </w:numPr>
        <w:ind w:firstLine="482"/>
        <w:jc w:val="left"/>
        <w:rPr>
          <w:rFonts w:ascii="宋体" w:hAnsi="宋体" w:cs="宋体"/>
          <w:b/>
          <w:bCs/>
          <w:color w:val="000000"/>
          <w:kern w:val="0"/>
        </w:rPr>
      </w:pPr>
      <w:r>
        <w:rPr>
          <w:rFonts w:hint="eastAsia" w:ascii="宋体" w:hAnsi="宋体" w:cs="宋体"/>
          <w:b/>
          <w:bCs/>
          <w:color w:val="000000"/>
          <w:kern w:val="0"/>
        </w:rPr>
        <w:t xml:space="preserve">日变化系数的确定 </w:t>
      </w:r>
    </w:p>
    <w:p>
      <w:pPr>
        <w:widowControl/>
        <w:ind w:firstLine="480"/>
        <w:jc w:val="left"/>
      </w:pPr>
      <w:r>
        <w:rPr>
          <w:rFonts w:hint="eastAsia" w:ascii="宋体" w:hAnsi="宋体" w:cs="宋体"/>
          <w:color w:val="000000"/>
          <w:kern w:val="0"/>
        </w:rPr>
        <w:t>一年中每日的用水量随产业结构、季节和生活习惯等不同而有所变化。在规划设计年限内，用水最多一日的用水量，称为最高日用水量。最高日用水量与一年中平均日用水量的比值即为供水量日变化系数（</w:t>
      </w:r>
      <w:r>
        <w:rPr>
          <w:color w:val="000000"/>
          <w:kern w:val="0"/>
        </w:rPr>
        <w:t>Kz</w:t>
      </w:r>
      <w:r>
        <w:rPr>
          <w:rFonts w:hint="eastAsia" w:ascii="宋体" w:hAnsi="宋体" w:cs="宋体"/>
          <w:color w:val="000000"/>
          <w:kern w:val="0"/>
        </w:rPr>
        <w:t xml:space="preserve">）。 </w:t>
      </w:r>
    </w:p>
    <w:p>
      <w:pPr>
        <w:widowControl/>
        <w:ind w:firstLine="480"/>
        <w:jc w:val="left"/>
      </w:pPr>
      <w:r>
        <w:rPr>
          <w:rFonts w:hint="eastAsia" w:ascii="宋体" w:hAnsi="宋体" w:cs="宋体"/>
          <w:color w:val="000000"/>
          <w:kern w:val="0"/>
        </w:rPr>
        <w:t>日变化系数的取值与城市规模大小、城市居民用水习惯、工业用水量变化、城市气候特点等直接相关。根据《城市给水工程规划规范</w:t>
      </w:r>
      <w:r>
        <w:rPr>
          <w:color w:val="000000"/>
          <w:kern w:val="0"/>
        </w:rPr>
        <w:t>GB50282-2016</w:t>
      </w:r>
      <w:r>
        <w:rPr>
          <w:rFonts w:hint="eastAsia" w:ascii="宋体" w:hAnsi="宋体" w:cs="宋体"/>
          <w:color w:val="000000"/>
          <w:kern w:val="0"/>
        </w:rPr>
        <w:t>》，各类城市日变化系数可采用下表中的数值：</w:t>
      </w:r>
    </w:p>
    <w:p>
      <w:pPr>
        <w:widowControl/>
        <w:ind w:firstLine="482"/>
        <w:jc w:val="center"/>
        <w:rPr>
          <w:rFonts w:ascii="宋体" w:hAnsi="宋体" w:cs="宋体"/>
          <w:b/>
          <w:bCs/>
          <w:color w:val="000000"/>
          <w:kern w:val="0"/>
        </w:rPr>
      </w:pPr>
      <w:r>
        <w:rPr>
          <w:b/>
          <w:bCs/>
          <w:color w:val="000000"/>
          <w:kern w:val="0"/>
        </w:rPr>
        <w:t>表5-2 日变化系数</w:t>
      </w:r>
    </w:p>
    <w:tbl>
      <w:tblPr>
        <w:tblStyle w:val="22"/>
        <w:tblW w:w="4998" w:type="pct"/>
        <w:tblInd w:w="0" w:type="dxa"/>
        <w:tblLayout w:type="autofit"/>
        <w:tblCellMar>
          <w:top w:w="0" w:type="dxa"/>
          <w:left w:w="108" w:type="dxa"/>
          <w:bottom w:w="0" w:type="dxa"/>
          <w:right w:w="108" w:type="dxa"/>
        </w:tblCellMar>
      </w:tblPr>
      <w:tblGrid>
        <w:gridCol w:w="1900"/>
        <w:gridCol w:w="2095"/>
        <w:gridCol w:w="2078"/>
        <w:gridCol w:w="2446"/>
      </w:tblGrid>
      <w:tr>
        <w:tblPrEx>
          <w:tblCellMar>
            <w:top w:w="0" w:type="dxa"/>
            <w:left w:w="108" w:type="dxa"/>
            <w:bottom w:w="0" w:type="dxa"/>
            <w:right w:w="108" w:type="dxa"/>
          </w:tblCellMar>
        </w:tblPrEx>
        <w:trPr>
          <w:trHeight w:val="400" w:hRule="atLeast"/>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textAlignment w:val="bottom"/>
              <w:rPr>
                <w:rFonts w:ascii="宋体" w:hAnsi="宋体" w:cs="宋体"/>
                <w:color w:val="000000"/>
                <w:sz w:val="21"/>
                <w:szCs w:val="21"/>
              </w:rPr>
            </w:pPr>
            <w:r>
              <w:rPr>
                <w:rFonts w:hint="eastAsia" w:ascii="宋体" w:hAnsi="宋体" w:cs="宋体"/>
                <w:color w:val="000000"/>
                <w:kern w:val="0"/>
                <w:sz w:val="21"/>
                <w:szCs w:val="21"/>
              </w:rPr>
              <w:t>特大城市</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textAlignment w:val="bottom"/>
              <w:rPr>
                <w:rFonts w:ascii="宋体" w:hAnsi="宋体" w:cs="宋体"/>
                <w:color w:val="000000"/>
                <w:sz w:val="21"/>
                <w:szCs w:val="21"/>
              </w:rPr>
            </w:pPr>
            <w:r>
              <w:rPr>
                <w:rFonts w:hint="eastAsia" w:ascii="宋体" w:hAnsi="宋体" w:cs="宋体"/>
                <w:color w:val="000000"/>
                <w:kern w:val="0"/>
                <w:sz w:val="21"/>
                <w:szCs w:val="21"/>
              </w:rPr>
              <w:t>大城市</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textAlignment w:val="bottom"/>
              <w:rPr>
                <w:rFonts w:ascii="宋体" w:hAnsi="宋体" w:cs="宋体"/>
                <w:color w:val="000000"/>
                <w:sz w:val="21"/>
                <w:szCs w:val="21"/>
              </w:rPr>
            </w:pPr>
            <w:r>
              <w:rPr>
                <w:rFonts w:hint="eastAsia" w:ascii="宋体" w:hAnsi="宋体" w:cs="宋体"/>
                <w:color w:val="000000"/>
                <w:kern w:val="0"/>
                <w:sz w:val="21"/>
                <w:szCs w:val="21"/>
              </w:rPr>
              <w:t>中等城市</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textAlignment w:val="bottom"/>
              <w:rPr>
                <w:rFonts w:ascii="宋体" w:hAnsi="宋体" w:cs="宋体"/>
                <w:color w:val="000000"/>
                <w:sz w:val="21"/>
                <w:szCs w:val="21"/>
              </w:rPr>
            </w:pPr>
            <w:r>
              <w:rPr>
                <w:rFonts w:hint="eastAsia" w:ascii="宋体" w:hAnsi="宋体" w:cs="宋体"/>
                <w:color w:val="000000"/>
                <w:kern w:val="0"/>
                <w:sz w:val="21"/>
                <w:szCs w:val="21"/>
              </w:rPr>
              <w:t>小城市</w:t>
            </w:r>
          </w:p>
        </w:tc>
      </w:tr>
      <w:tr>
        <w:tblPrEx>
          <w:tblCellMar>
            <w:top w:w="0" w:type="dxa"/>
            <w:left w:w="108" w:type="dxa"/>
            <w:bottom w:w="0" w:type="dxa"/>
            <w:right w:w="108" w:type="dxa"/>
          </w:tblCellMar>
        </w:tblPrEx>
        <w:trPr>
          <w:trHeight w:val="400" w:hRule="atLeast"/>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textAlignment w:val="bottom"/>
              <w:rPr>
                <w:color w:val="000000"/>
                <w:sz w:val="21"/>
                <w:szCs w:val="21"/>
              </w:rPr>
            </w:pPr>
            <w:r>
              <w:rPr>
                <w:color w:val="000000"/>
                <w:kern w:val="0"/>
                <w:sz w:val="21"/>
                <w:szCs w:val="21"/>
              </w:rPr>
              <w:t>1.1</w:t>
            </w:r>
            <w:r>
              <w:rPr>
                <w:color w:val="000000"/>
                <w:kern w:val="0"/>
              </w:rPr>
              <w:t>～</w:t>
            </w:r>
            <w:r>
              <w:rPr>
                <w:color w:val="000000"/>
                <w:kern w:val="0"/>
                <w:sz w:val="21"/>
                <w:szCs w:val="21"/>
              </w:rPr>
              <w:t>1.3</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textAlignment w:val="bottom"/>
              <w:rPr>
                <w:color w:val="000000"/>
                <w:sz w:val="21"/>
                <w:szCs w:val="21"/>
              </w:rPr>
            </w:pPr>
            <w:r>
              <w:rPr>
                <w:color w:val="000000"/>
                <w:kern w:val="0"/>
                <w:sz w:val="21"/>
                <w:szCs w:val="21"/>
              </w:rPr>
              <w:t>1.2</w:t>
            </w:r>
            <w:r>
              <w:rPr>
                <w:color w:val="000000"/>
                <w:kern w:val="0"/>
              </w:rPr>
              <w:t>～</w:t>
            </w:r>
            <w:r>
              <w:rPr>
                <w:color w:val="000000"/>
                <w:kern w:val="0"/>
                <w:sz w:val="21"/>
                <w:szCs w:val="21"/>
              </w:rPr>
              <w:t>1.4</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textAlignment w:val="bottom"/>
              <w:rPr>
                <w:color w:val="000000"/>
                <w:sz w:val="21"/>
                <w:szCs w:val="21"/>
              </w:rPr>
            </w:pPr>
            <w:r>
              <w:rPr>
                <w:color w:val="000000"/>
                <w:kern w:val="0"/>
                <w:sz w:val="21"/>
                <w:szCs w:val="21"/>
              </w:rPr>
              <w:t>1.3</w:t>
            </w:r>
            <w:r>
              <w:rPr>
                <w:color w:val="000000"/>
                <w:kern w:val="0"/>
              </w:rPr>
              <w:t>～</w:t>
            </w:r>
            <w:r>
              <w:rPr>
                <w:color w:val="000000"/>
                <w:kern w:val="0"/>
                <w:sz w:val="21"/>
                <w:szCs w:val="21"/>
              </w:rPr>
              <w:t>1.5</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firstLineChars="0"/>
              <w:jc w:val="center"/>
              <w:textAlignment w:val="bottom"/>
              <w:rPr>
                <w:color w:val="000000"/>
                <w:sz w:val="21"/>
                <w:szCs w:val="21"/>
              </w:rPr>
            </w:pPr>
            <w:r>
              <w:rPr>
                <w:color w:val="000000"/>
                <w:kern w:val="0"/>
                <w:sz w:val="21"/>
                <w:szCs w:val="21"/>
              </w:rPr>
              <w:t>1.4</w:t>
            </w:r>
            <w:r>
              <w:rPr>
                <w:color w:val="000000"/>
                <w:kern w:val="0"/>
              </w:rPr>
              <w:t>～</w:t>
            </w:r>
            <w:r>
              <w:rPr>
                <w:color w:val="000000"/>
                <w:kern w:val="0"/>
                <w:sz w:val="21"/>
                <w:szCs w:val="21"/>
              </w:rPr>
              <w:t>1.8</w:t>
            </w:r>
          </w:p>
        </w:tc>
      </w:tr>
    </w:tbl>
    <w:p>
      <w:pPr>
        <w:widowControl/>
        <w:ind w:firstLine="480"/>
        <w:jc w:val="left"/>
      </w:pPr>
      <w:r>
        <w:rPr>
          <w:rFonts w:hint="eastAsia" w:ascii="宋体" w:hAnsi="宋体" w:cs="宋体"/>
          <w:color w:val="000000"/>
          <w:kern w:val="0"/>
        </w:rPr>
        <w:t>从人口规模上来看，官渡区属于大城市，日变化系数范围为</w:t>
      </w:r>
      <w:r>
        <w:rPr>
          <w:color w:val="000000"/>
          <w:kern w:val="0"/>
        </w:rPr>
        <w:t>1.</w:t>
      </w:r>
      <w:r>
        <w:rPr>
          <w:rFonts w:hint="eastAsia"/>
          <w:color w:val="000000"/>
          <w:kern w:val="0"/>
        </w:rPr>
        <w:t>2</w:t>
      </w:r>
      <w:r>
        <w:rPr>
          <w:color w:val="000000"/>
          <w:kern w:val="0"/>
        </w:rPr>
        <w:t>～1.</w:t>
      </w:r>
      <w:r>
        <w:rPr>
          <w:rFonts w:hint="eastAsia"/>
          <w:color w:val="000000"/>
          <w:kern w:val="0"/>
        </w:rPr>
        <w:t>4</w:t>
      </w:r>
      <w:r>
        <w:rPr>
          <w:rFonts w:hint="eastAsia" w:ascii="宋体" w:hAnsi="宋体" w:cs="宋体"/>
          <w:color w:val="000000"/>
          <w:kern w:val="0"/>
        </w:rPr>
        <w:t>。在日变化系数的取值中，与气温有直接的关系。气温较高的城市宜选用上限值，昆明官渡区气候主要特点为：冬无严寒，夏无酷暑，四季如春，年温差小，具有湖滨小气候的特点，东暖夏凉，年际内城市用水较为均衡，用水量随季节稍有变化，但差异较小。综合以上因素分析，将日变化系数定为</w:t>
      </w:r>
      <w:r>
        <w:rPr>
          <w:color w:val="000000"/>
          <w:kern w:val="0"/>
        </w:rPr>
        <w:t>1.</w:t>
      </w:r>
      <w:r>
        <w:rPr>
          <w:rFonts w:hint="eastAsia"/>
          <w:color w:val="000000"/>
          <w:kern w:val="0"/>
        </w:rPr>
        <w:t>4</w:t>
      </w:r>
      <w:r>
        <w:rPr>
          <w:rFonts w:hint="eastAsia" w:ascii="宋体" w:hAnsi="宋体" w:cs="宋体"/>
          <w:color w:val="000000"/>
          <w:kern w:val="0"/>
        </w:rPr>
        <w:t>。</w:t>
      </w:r>
      <w:r>
        <w:rPr>
          <w:rFonts w:hint="eastAsia"/>
          <w:kern w:val="0"/>
          <w:szCs w:val="28"/>
        </w:rPr>
        <w:t>管网漏损率按10%考虑</w:t>
      </w:r>
      <w:r>
        <w:rPr>
          <w:rFonts w:hint="eastAsia"/>
        </w:rPr>
        <w:t>。</w:t>
      </w:r>
    </w:p>
    <w:p>
      <w:pPr>
        <w:widowControl/>
        <w:numPr>
          <w:ilvl w:val="1"/>
          <w:numId w:val="9"/>
        </w:numPr>
        <w:ind w:firstLine="482"/>
        <w:jc w:val="left"/>
        <w:rPr>
          <w:rFonts w:ascii="宋体" w:hAnsi="宋体" w:cs="宋体"/>
          <w:b/>
          <w:bCs/>
          <w:color w:val="000000"/>
          <w:kern w:val="0"/>
        </w:rPr>
      </w:pPr>
      <w:r>
        <w:rPr>
          <w:rFonts w:hint="eastAsia" w:ascii="宋体" w:hAnsi="宋体" w:cs="宋体"/>
          <w:b/>
          <w:bCs/>
          <w:color w:val="000000"/>
          <w:kern w:val="0"/>
        </w:rPr>
        <w:t>官渡区居民生活用水量预测</w:t>
      </w:r>
    </w:p>
    <w:tbl>
      <w:tblPr>
        <w:tblStyle w:val="22"/>
        <w:tblW w:w="5000" w:type="pct"/>
        <w:jc w:val="center"/>
        <w:tblLayout w:type="autofit"/>
        <w:tblCellMar>
          <w:top w:w="0" w:type="dxa"/>
          <w:left w:w="108" w:type="dxa"/>
          <w:bottom w:w="0" w:type="dxa"/>
          <w:right w:w="108" w:type="dxa"/>
        </w:tblCellMar>
      </w:tblPr>
      <w:tblGrid>
        <w:gridCol w:w="636"/>
        <w:gridCol w:w="1476"/>
        <w:gridCol w:w="1616"/>
        <w:gridCol w:w="932"/>
        <w:gridCol w:w="1266"/>
        <w:gridCol w:w="2596"/>
      </w:tblGrid>
      <w:tr>
        <w:tblPrEx>
          <w:tblCellMar>
            <w:top w:w="0" w:type="dxa"/>
            <w:left w:w="108" w:type="dxa"/>
            <w:bottom w:w="0" w:type="dxa"/>
            <w:right w:w="108" w:type="dxa"/>
          </w:tblCellMar>
        </w:tblPrEx>
        <w:trPr>
          <w:trHeight w:val="400" w:hRule="atLeast"/>
          <w:jc w:val="center"/>
        </w:trPr>
        <w:tc>
          <w:tcPr>
            <w:tcW w:w="5000" w:type="pct"/>
            <w:gridSpan w:val="6"/>
            <w:tcBorders>
              <w:top w:val="nil"/>
              <w:left w:val="nil"/>
              <w:bottom w:val="nil"/>
              <w:right w:val="nil"/>
            </w:tcBorders>
            <w:shd w:val="clear" w:color="auto" w:fill="auto"/>
            <w:noWrap/>
            <w:vAlign w:val="center"/>
          </w:tcPr>
          <w:p>
            <w:pPr>
              <w:widowControl/>
              <w:spacing w:line="240" w:lineRule="auto"/>
              <w:ind w:firstLine="0" w:firstLineChars="0"/>
              <w:jc w:val="center"/>
              <w:textAlignment w:val="center"/>
              <w:rPr>
                <w:rFonts w:ascii="宋体" w:hAnsi="宋体" w:cs="宋体"/>
                <w:b/>
                <w:bCs/>
                <w:color w:val="000000"/>
                <w:sz w:val="21"/>
                <w:szCs w:val="21"/>
              </w:rPr>
            </w:pPr>
            <w:r>
              <w:rPr>
                <w:b/>
                <w:bCs/>
                <w:color w:val="000000"/>
                <w:kern w:val="0"/>
              </w:rPr>
              <w:t>表5-3 官渡区居民需水量预测表</w:t>
            </w:r>
          </w:p>
        </w:tc>
      </w:tr>
      <w:tr>
        <w:tblPrEx>
          <w:tblCellMar>
            <w:top w:w="0" w:type="dxa"/>
            <w:left w:w="108" w:type="dxa"/>
            <w:bottom w:w="0" w:type="dxa"/>
            <w:right w:w="108" w:type="dxa"/>
          </w:tblCellMar>
        </w:tblPrEx>
        <w:trPr>
          <w:trHeight w:val="40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年份</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总人口(万人)</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居民生活用水量指标（L/人·d）</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日变化系数</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管网漏损率</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居民生活需水量（万</w:t>
            </w:r>
            <w:r>
              <w:rPr>
                <w:color w:val="000000"/>
                <w:kern w:val="0"/>
                <w:sz w:val="21"/>
                <w:szCs w:val="21"/>
              </w:rPr>
              <w:t>m³</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40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kern w:val="0"/>
                <w:sz w:val="21"/>
                <w:szCs w:val="21"/>
              </w:rPr>
            </w:pPr>
            <w:r>
              <w:rPr>
                <w:rFonts w:hint="eastAsia"/>
                <w:color w:val="000000"/>
                <w:kern w:val="0"/>
                <w:sz w:val="21"/>
                <w:szCs w:val="21"/>
              </w:rPr>
              <w:t>2025</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kern w:val="0"/>
                <w:sz w:val="21"/>
                <w:szCs w:val="21"/>
              </w:rPr>
            </w:pPr>
            <w:r>
              <w:rPr>
                <w:color w:val="000000"/>
                <w:kern w:val="0"/>
                <w:sz w:val="21"/>
                <w:szCs w:val="21"/>
              </w:rPr>
              <w:t>166.74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kern w:val="0"/>
                <w:sz w:val="21"/>
                <w:szCs w:val="21"/>
              </w:rPr>
            </w:pPr>
            <w:r>
              <w:rPr>
                <w:rFonts w:hint="eastAsia"/>
                <w:color w:val="000000"/>
                <w:kern w:val="0"/>
                <w:sz w:val="21"/>
                <w:szCs w:val="21"/>
              </w:rPr>
              <w:t>110</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kern w:val="0"/>
                <w:sz w:val="21"/>
                <w:szCs w:val="21"/>
              </w:rPr>
            </w:pPr>
            <w:r>
              <w:rPr>
                <w:rFonts w:hint="eastAsia"/>
                <w:color w:val="000000"/>
                <w:kern w:val="0"/>
                <w:sz w:val="21"/>
                <w:szCs w:val="21"/>
              </w:rPr>
              <w:t>1.4</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kern w:val="0"/>
                <w:sz w:val="21"/>
                <w:szCs w:val="21"/>
              </w:rPr>
            </w:pPr>
            <w:r>
              <w:rPr>
                <w:rFonts w:hint="eastAsia"/>
                <w:color w:val="000000"/>
                <w:kern w:val="0"/>
                <w:sz w:val="21"/>
                <w:szCs w:val="21"/>
              </w:rPr>
              <w:t>10%</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kern w:val="0"/>
                <w:sz w:val="21"/>
                <w:szCs w:val="21"/>
              </w:rPr>
            </w:pPr>
            <w:r>
              <w:rPr>
                <w:rFonts w:hint="eastAsia"/>
                <w:color w:val="000000"/>
                <w:kern w:val="0"/>
                <w:sz w:val="21"/>
                <w:szCs w:val="21"/>
              </w:rPr>
              <w:t>10310.0</w:t>
            </w:r>
          </w:p>
        </w:tc>
      </w:tr>
    </w:tbl>
    <w:p>
      <w:pPr>
        <w:ind w:firstLine="480"/>
      </w:pPr>
      <w:r>
        <w:t>预测到2025年，官渡区</w:t>
      </w:r>
      <w:r>
        <w:rPr>
          <w:rFonts w:hint="eastAsia"/>
        </w:rPr>
        <w:t>居民生活</w:t>
      </w:r>
      <w:r>
        <w:t>需水量为</w:t>
      </w:r>
      <w:r>
        <w:rPr>
          <w:rFonts w:hint="eastAsia"/>
        </w:rPr>
        <w:t>10310.0</w:t>
      </w:r>
      <w:r>
        <w:t>万m³。</w:t>
      </w:r>
    </w:p>
    <w:p>
      <w:pPr>
        <w:pStyle w:val="57"/>
      </w:pPr>
      <w:r>
        <w:rPr>
          <w:rFonts w:hint="eastAsia"/>
        </w:rPr>
        <w:t>5.1.1.2工业需水预测</w:t>
      </w:r>
    </w:p>
    <w:p>
      <w:pPr>
        <w:ind w:firstLine="480"/>
      </w:pPr>
      <w:r>
        <w:t>根据《2020年官渡区国民经济和社会发展统计公报》</w:t>
      </w:r>
      <w:r>
        <w:rPr>
          <w:rFonts w:hint="eastAsia"/>
        </w:rPr>
        <w:t>可知</w:t>
      </w:r>
      <w:r>
        <w:t>，官渡区2020年全年工业增加值207.11亿元，</w:t>
      </w:r>
      <w:r>
        <w:rPr>
          <w:rFonts w:hint="eastAsia"/>
          <w:kern w:val="0"/>
          <w:szCs w:val="28"/>
        </w:rPr>
        <w:t>预测2020~2025年期间</w:t>
      </w:r>
      <w:r>
        <w:rPr>
          <w:rFonts w:hint="eastAsia"/>
        </w:rPr>
        <w:t>工业增加值增长率为10%，为与定额相适应，需要将增加值折算为2000年不变价，即现状年工业增加值为62.13亿元，在此基础上进行预测规划年为101.67亿元，参考《全国水中长期供求规划》、</w:t>
      </w:r>
      <w:r>
        <w:t>《云南省用水定额</w:t>
      </w:r>
      <w:r>
        <w:rPr>
          <w:rFonts w:hint="eastAsia"/>
        </w:rPr>
        <w:t>》，结合官渡区工业发展布局，官渡区2025年工业万元增加值用水定额为30m</w:t>
      </w:r>
      <w:r>
        <w:rPr>
          <w:rFonts w:hint="eastAsia"/>
          <w:vertAlign w:val="superscript"/>
        </w:rPr>
        <w:t>3</w:t>
      </w:r>
      <w:r>
        <w:rPr>
          <w:rFonts w:hint="eastAsia"/>
        </w:rPr>
        <w:t>/元，</w:t>
      </w:r>
      <w:r>
        <w:rPr>
          <w:rFonts w:hint="eastAsia"/>
          <w:kern w:val="0"/>
          <w:szCs w:val="28"/>
        </w:rPr>
        <w:t>管网漏损率按10%考虑</w:t>
      </w:r>
      <w:r>
        <w:rPr>
          <w:rFonts w:hint="eastAsia"/>
        </w:rPr>
        <w:t>。</w:t>
      </w:r>
    </w:p>
    <w:tbl>
      <w:tblPr>
        <w:tblStyle w:val="22"/>
        <w:tblW w:w="8652" w:type="dxa"/>
        <w:tblInd w:w="96" w:type="dxa"/>
        <w:tblLayout w:type="fixed"/>
        <w:tblCellMar>
          <w:top w:w="0" w:type="dxa"/>
          <w:left w:w="108" w:type="dxa"/>
          <w:bottom w:w="0" w:type="dxa"/>
          <w:right w:w="108" w:type="dxa"/>
        </w:tblCellMar>
      </w:tblPr>
      <w:tblGrid>
        <w:gridCol w:w="735"/>
        <w:gridCol w:w="1889"/>
        <w:gridCol w:w="2009"/>
        <w:gridCol w:w="1463"/>
        <w:gridCol w:w="2556"/>
      </w:tblGrid>
      <w:tr>
        <w:tblPrEx>
          <w:tblCellMar>
            <w:top w:w="0" w:type="dxa"/>
            <w:left w:w="108" w:type="dxa"/>
            <w:bottom w:w="0" w:type="dxa"/>
            <w:right w:w="108" w:type="dxa"/>
          </w:tblCellMar>
        </w:tblPrEx>
        <w:trPr>
          <w:trHeight w:val="400" w:hRule="atLeast"/>
        </w:trPr>
        <w:tc>
          <w:tcPr>
            <w:tcW w:w="8652" w:type="dxa"/>
            <w:gridSpan w:val="5"/>
            <w:tcBorders>
              <w:top w:val="nil"/>
              <w:left w:val="nil"/>
              <w:bottom w:val="nil"/>
              <w:right w:val="nil"/>
            </w:tcBorders>
            <w:shd w:val="clear" w:color="auto" w:fill="auto"/>
            <w:noWrap/>
            <w:vAlign w:val="center"/>
          </w:tcPr>
          <w:p>
            <w:pPr>
              <w:widowControl/>
              <w:ind w:firstLine="482"/>
              <w:jc w:val="center"/>
              <w:textAlignment w:val="center"/>
              <w:rPr>
                <w:rFonts w:ascii="宋体" w:hAnsi="宋体" w:cs="宋体"/>
                <w:b/>
                <w:bCs/>
                <w:color w:val="000000"/>
              </w:rPr>
            </w:pPr>
            <w:r>
              <w:rPr>
                <w:b/>
                <w:bCs/>
                <w:color w:val="000000"/>
                <w:kern w:val="0"/>
              </w:rPr>
              <w:t>表5-4 官渡区工业需水量预测表</w:t>
            </w:r>
          </w:p>
        </w:tc>
      </w:tr>
      <w:tr>
        <w:tblPrEx>
          <w:tblCellMar>
            <w:top w:w="0" w:type="dxa"/>
            <w:left w:w="108" w:type="dxa"/>
            <w:bottom w:w="0" w:type="dxa"/>
            <w:right w:w="108"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年份</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规划年工业增加值（</w:t>
            </w:r>
            <w:r>
              <w:rPr>
                <w:rFonts w:hint="eastAsia"/>
              </w:rPr>
              <w:t>亿元</w:t>
            </w:r>
            <w:r>
              <w:rPr>
                <w:rFonts w:hint="eastAsia" w:ascii="宋体" w:hAnsi="宋体" w:cs="宋体"/>
                <w:color w:val="000000"/>
                <w:kern w:val="0"/>
                <w:sz w:val="21"/>
                <w:szCs w:val="21"/>
              </w:rPr>
              <w:t>）</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工业万元增加值用水定额（</w:t>
            </w:r>
            <w:r>
              <w:rPr>
                <w:color w:val="000000"/>
                <w:kern w:val="0"/>
                <w:sz w:val="21"/>
                <w:szCs w:val="21"/>
              </w:rPr>
              <w:t>m³/</w:t>
            </w:r>
            <w:r>
              <w:rPr>
                <w:rFonts w:hint="eastAsia" w:ascii="宋体" w:hAnsi="宋体" w:cs="宋体"/>
                <w:color w:val="000000"/>
                <w:kern w:val="0"/>
                <w:sz w:val="21"/>
                <w:szCs w:val="21"/>
              </w:rPr>
              <w:t>万元）</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管网漏损率</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ascii="宋体" w:hAnsi="宋体" w:cs="宋体"/>
                <w:color w:val="000000"/>
              </w:rPr>
            </w:pPr>
            <w:r>
              <w:rPr>
                <w:rFonts w:hint="eastAsia" w:ascii="宋体" w:hAnsi="宋体" w:cs="宋体"/>
                <w:color w:val="000000"/>
                <w:kern w:val="0"/>
                <w:sz w:val="21"/>
                <w:szCs w:val="21"/>
              </w:rPr>
              <w:t>工业需水量（万</w:t>
            </w:r>
            <w:r>
              <w:rPr>
                <w:color w:val="000000"/>
                <w:kern w:val="0"/>
                <w:sz w:val="21"/>
                <w:szCs w:val="21"/>
              </w:rPr>
              <w:t>m³</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2025</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101.67</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30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3355.0</w:t>
            </w:r>
          </w:p>
        </w:tc>
      </w:tr>
    </w:tbl>
    <w:p>
      <w:pPr>
        <w:pStyle w:val="21"/>
        <w:ind w:firstLine="240"/>
      </w:pPr>
      <w:r>
        <w:t>预测到2025年，官渡区</w:t>
      </w:r>
      <w:r>
        <w:rPr>
          <w:rFonts w:hint="eastAsia"/>
        </w:rPr>
        <w:t>工业</w:t>
      </w:r>
      <w:r>
        <w:t>需水量为</w:t>
      </w:r>
      <w:r>
        <w:rPr>
          <w:rFonts w:hint="eastAsia"/>
        </w:rPr>
        <w:t>3355.0</w:t>
      </w:r>
      <w:r>
        <w:t>万m³</w:t>
      </w:r>
      <w:r>
        <w:rPr>
          <w:rFonts w:hint="eastAsia"/>
        </w:rPr>
        <w:t>。</w:t>
      </w:r>
    </w:p>
    <w:p>
      <w:pPr>
        <w:pStyle w:val="57"/>
      </w:pPr>
      <w:r>
        <w:rPr>
          <w:rFonts w:hint="eastAsia"/>
        </w:rPr>
        <w:t>5.1.1.3城镇生态环境需水预测</w:t>
      </w:r>
    </w:p>
    <w:p>
      <w:pPr>
        <w:ind w:firstLine="480"/>
      </w:pPr>
      <w:r>
        <w:rPr>
          <w:rFonts w:hAnsi="宋体"/>
          <w:szCs w:val="28"/>
        </w:rPr>
        <w:t>城镇生态环境需水量主要包括城镇河湖需水量、城镇绿地建设需水量</w:t>
      </w:r>
      <w:r>
        <w:t>和城镇环境卫生需水量。本次采用人均日用水量方法进行预测。根据</w:t>
      </w:r>
      <w:r>
        <w:rPr>
          <w:rFonts w:hint="eastAsia"/>
        </w:rPr>
        <w:t>官渡区</w:t>
      </w:r>
      <w:r>
        <w:t>的现状，城镇发展规划</w:t>
      </w:r>
      <w:r>
        <w:rPr>
          <w:rFonts w:hint="eastAsia"/>
        </w:rPr>
        <w:t>，</w:t>
      </w:r>
      <w:r>
        <w:t>节水力度措施等因素</w:t>
      </w:r>
      <w:r>
        <w:rPr>
          <w:rFonts w:hint="eastAsia"/>
        </w:rPr>
        <w:t>，到2025年，官渡区</w:t>
      </w:r>
      <w:r>
        <w:t>人口166.74万人，城镇生态环境用水指标4</w:t>
      </w:r>
      <w:r>
        <w:rPr>
          <w:rFonts w:hint="eastAsia"/>
        </w:rPr>
        <w:t>3L</w:t>
      </w:r>
      <w:r>
        <w:t>／人·</w:t>
      </w:r>
      <w:r>
        <w:rPr>
          <w:rFonts w:hint="eastAsia"/>
        </w:rPr>
        <w:t>d。</w:t>
      </w:r>
    </w:p>
    <w:tbl>
      <w:tblPr>
        <w:tblStyle w:val="22"/>
        <w:tblW w:w="5000" w:type="pct"/>
        <w:tblInd w:w="0" w:type="dxa"/>
        <w:tblLayout w:type="autofit"/>
        <w:tblCellMar>
          <w:top w:w="0" w:type="dxa"/>
          <w:left w:w="108" w:type="dxa"/>
          <w:bottom w:w="0" w:type="dxa"/>
          <w:right w:w="108" w:type="dxa"/>
        </w:tblCellMar>
      </w:tblPr>
      <w:tblGrid>
        <w:gridCol w:w="1190"/>
        <w:gridCol w:w="2282"/>
        <w:gridCol w:w="1670"/>
        <w:gridCol w:w="3380"/>
      </w:tblGrid>
      <w:tr>
        <w:trPr>
          <w:trHeight w:val="400" w:hRule="atLeast"/>
        </w:trPr>
        <w:tc>
          <w:tcPr>
            <w:tcW w:w="5000" w:type="pct"/>
            <w:gridSpan w:val="4"/>
            <w:tcBorders>
              <w:top w:val="nil"/>
              <w:left w:val="nil"/>
              <w:bottom w:val="nil"/>
              <w:right w:val="nil"/>
            </w:tcBorders>
            <w:shd w:val="clear" w:color="auto" w:fill="auto"/>
            <w:noWrap/>
            <w:vAlign w:val="center"/>
          </w:tcPr>
          <w:p>
            <w:pPr>
              <w:widowControl/>
              <w:spacing w:line="240" w:lineRule="auto"/>
              <w:ind w:firstLine="0" w:firstLineChars="0"/>
              <w:jc w:val="center"/>
              <w:textAlignment w:val="center"/>
              <w:rPr>
                <w:rFonts w:ascii="宋体" w:hAnsi="宋体" w:cs="宋体"/>
                <w:b/>
                <w:bCs/>
                <w:color w:val="000000"/>
              </w:rPr>
            </w:pPr>
            <w:r>
              <w:rPr>
                <w:b/>
                <w:bCs/>
                <w:color w:val="000000"/>
                <w:kern w:val="0"/>
              </w:rPr>
              <w:t>表5-5 官渡区城镇生态环境需水量预测表</w:t>
            </w:r>
          </w:p>
        </w:tc>
      </w:tr>
      <w:tr>
        <w:tblPrEx>
          <w:tblCellMar>
            <w:top w:w="0" w:type="dxa"/>
            <w:left w:w="108" w:type="dxa"/>
            <w:bottom w:w="0" w:type="dxa"/>
            <w:right w:w="108" w:type="dxa"/>
          </w:tblCellMar>
        </w:tblPrEx>
        <w:trPr>
          <w:trHeight w:val="40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年份</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总人口（万人)</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城镇生态用水定额（L /人·d）</w:t>
            </w:r>
          </w:p>
        </w:tc>
        <w:tc>
          <w:tcPr>
            <w:tcW w:w="1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城镇生态环境需水量（万m</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40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2025</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166.74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43</w:t>
            </w:r>
          </w:p>
        </w:tc>
        <w:tc>
          <w:tcPr>
            <w:tcW w:w="19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2617.0</w:t>
            </w:r>
          </w:p>
        </w:tc>
      </w:tr>
    </w:tbl>
    <w:p>
      <w:pPr>
        <w:pStyle w:val="21"/>
        <w:ind w:firstLine="240"/>
      </w:pPr>
      <w:r>
        <w:t>预测到2025年，官渡区</w:t>
      </w:r>
      <w:r>
        <w:rPr>
          <w:rFonts w:hint="eastAsia"/>
        </w:rPr>
        <w:t>城镇生态环境</w:t>
      </w:r>
      <w:r>
        <w:t>需水量为</w:t>
      </w:r>
      <w:r>
        <w:rPr>
          <w:rFonts w:hint="eastAsia"/>
        </w:rPr>
        <w:t>2617.0</w:t>
      </w:r>
      <w:r>
        <w:t>万m³</w:t>
      </w:r>
      <w:r>
        <w:rPr>
          <w:rFonts w:hint="eastAsia"/>
        </w:rPr>
        <w:t>.</w:t>
      </w:r>
    </w:p>
    <w:p>
      <w:pPr>
        <w:pStyle w:val="21"/>
        <w:ind w:firstLine="240"/>
        <w:rPr>
          <w:kern w:val="0"/>
          <w:szCs w:val="28"/>
        </w:rPr>
      </w:pPr>
      <w:r>
        <w:rPr>
          <w:rFonts w:hint="eastAsia"/>
          <w:kern w:val="0"/>
          <w:szCs w:val="28"/>
        </w:rPr>
        <w:t>根据上述各项需水预测成果，到2025年官渡区需水总量为16828.0万m³。</w:t>
      </w:r>
    </w:p>
    <w:tbl>
      <w:tblPr>
        <w:tblStyle w:val="22"/>
        <w:tblW w:w="5000" w:type="pct"/>
        <w:tblInd w:w="0" w:type="dxa"/>
        <w:tblLayout w:type="autofit"/>
        <w:tblCellMar>
          <w:top w:w="0" w:type="dxa"/>
          <w:left w:w="108" w:type="dxa"/>
          <w:bottom w:w="0" w:type="dxa"/>
          <w:right w:w="108" w:type="dxa"/>
        </w:tblCellMar>
      </w:tblPr>
      <w:tblGrid>
        <w:gridCol w:w="1546"/>
        <w:gridCol w:w="3763"/>
        <w:gridCol w:w="3213"/>
      </w:tblGrid>
      <w:tr>
        <w:tblPrEx>
          <w:tblCellMar>
            <w:top w:w="0" w:type="dxa"/>
            <w:left w:w="108" w:type="dxa"/>
            <w:bottom w:w="0" w:type="dxa"/>
            <w:right w:w="108" w:type="dxa"/>
          </w:tblCellMar>
        </w:tblPrEx>
        <w:trPr>
          <w:trHeight w:val="400" w:hRule="atLeast"/>
        </w:trPr>
        <w:tc>
          <w:tcPr>
            <w:tcW w:w="5000" w:type="pct"/>
            <w:gridSpan w:val="3"/>
            <w:tcBorders>
              <w:top w:val="nil"/>
              <w:left w:val="nil"/>
              <w:bottom w:val="nil"/>
              <w:right w:val="nil"/>
            </w:tcBorders>
            <w:shd w:val="clear" w:color="auto" w:fill="auto"/>
            <w:noWrap/>
            <w:vAlign w:val="center"/>
          </w:tcPr>
          <w:p>
            <w:pPr>
              <w:widowControl/>
              <w:ind w:firstLine="482"/>
              <w:jc w:val="center"/>
              <w:textAlignment w:val="center"/>
              <w:rPr>
                <w:rFonts w:ascii="宋体" w:hAnsi="宋体" w:cs="宋体"/>
                <w:b/>
                <w:bCs/>
                <w:color w:val="000000"/>
              </w:rPr>
            </w:pPr>
            <w:r>
              <w:rPr>
                <w:b/>
                <w:bCs/>
                <w:color w:val="000000"/>
                <w:kern w:val="0"/>
              </w:rPr>
              <w:t>表5-6官渡区城2025年需水总量预测</w:t>
            </w:r>
          </w:p>
        </w:tc>
      </w:tr>
      <w:tr>
        <w:tblPrEx>
          <w:tblCellMar>
            <w:top w:w="0" w:type="dxa"/>
            <w:left w:w="108" w:type="dxa"/>
            <w:bottom w:w="0" w:type="dxa"/>
            <w:right w:w="108" w:type="dxa"/>
          </w:tblCellMar>
        </w:tblPrEx>
        <w:trPr>
          <w:trHeight w:val="4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序号</w:t>
            </w:r>
          </w:p>
        </w:tc>
        <w:tc>
          <w:tcPr>
            <w:tcW w:w="22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项目</w:t>
            </w:r>
          </w:p>
        </w:tc>
        <w:tc>
          <w:tcPr>
            <w:tcW w:w="1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需水量（万m³）</w:t>
            </w:r>
          </w:p>
        </w:tc>
      </w:tr>
      <w:tr>
        <w:tblPrEx>
          <w:tblCellMar>
            <w:top w:w="0" w:type="dxa"/>
            <w:left w:w="108" w:type="dxa"/>
            <w:bottom w:w="0" w:type="dxa"/>
            <w:right w:w="108" w:type="dxa"/>
          </w:tblCellMar>
        </w:tblPrEx>
        <w:trPr>
          <w:trHeight w:val="4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1</w:t>
            </w:r>
          </w:p>
        </w:tc>
        <w:tc>
          <w:tcPr>
            <w:tcW w:w="22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居民需水量</w:t>
            </w:r>
          </w:p>
        </w:tc>
        <w:tc>
          <w:tcPr>
            <w:tcW w:w="1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 xml:space="preserve">10310.0 </w:t>
            </w:r>
          </w:p>
        </w:tc>
      </w:tr>
      <w:tr>
        <w:tblPrEx>
          <w:tblCellMar>
            <w:top w:w="0" w:type="dxa"/>
            <w:left w:w="108" w:type="dxa"/>
            <w:bottom w:w="0" w:type="dxa"/>
            <w:right w:w="108" w:type="dxa"/>
          </w:tblCellMar>
        </w:tblPrEx>
        <w:trPr>
          <w:trHeight w:val="4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2</w:t>
            </w:r>
          </w:p>
        </w:tc>
        <w:tc>
          <w:tcPr>
            <w:tcW w:w="22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工业需水量</w:t>
            </w:r>
          </w:p>
        </w:tc>
        <w:tc>
          <w:tcPr>
            <w:tcW w:w="1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 xml:space="preserve">3355.0 </w:t>
            </w:r>
          </w:p>
        </w:tc>
      </w:tr>
      <w:tr>
        <w:tblPrEx>
          <w:tblCellMar>
            <w:top w:w="0" w:type="dxa"/>
            <w:left w:w="108" w:type="dxa"/>
            <w:bottom w:w="0" w:type="dxa"/>
            <w:right w:w="108" w:type="dxa"/>
          </w:tblCellMar>
        </w:tblPrEx>
        <w:trPr>
          <w:trHeight w:val="4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3</w:t>
            </w:r>
          </w:p>
        </w:tc>
        <w:tc>
          <w:tcPr>
            <w:tcW w:w="22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城镇生态环境需水量</w:t>
            </w:r>
          </w:p>
        </w:tc>
        <w:tc>
          <w:tcPr>
            <w:tcW w:w="1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 xml:space="preserve">2617.0 </w:t>
            </w:r>
          </w:p>
        </w:tc>
      </w:tr>
      <w:tr>
        <w:tblPrEx>
          <w:tblCellMar>
            <w:top w:w="0" w:type="dxa"/>
            <w:left w:w="108" w:type="dxa"/>
            <w:bottom w:w="0" w:type="dxa"/>
            <w:right w:w="108" w:type="dxa"/>
          </w:tblCellMar>
        </w:tblPrEx>
        <w:trPr>
          <w:trHeight w:val="400" w:hRule="atLeast"/>
        </w:trPr>
        <w:tc>
          <w:tcPr>
            <w:tcW w:w="31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合计：</w:t>
            </w:r>
          </w:p>
        </w:tc>
        <w:tc>
          <w:tcPr>
            <w:tcW w:w="1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color w:val="000000"/>
                <w:sz w:val="21"/>
                <w:szCs w:val="21"/>
              </w:rPr>
            </w:pPr>
            <w:r>
              <w:rPr>
                <w:color w:val="000000"/>
                <w:kern w:val="0"/>
                <w:sz w:val="21"/>
                <w:szCs w:val="21"/>
              </w:rPr>
              <w:t xml:space="preserve">16282.0 </w:t>
            </w:r>
          </w:p>
        </w:tc>
      </w:tr>
    </w:tbl>
    <w:p>
      <w:pPr>
        <w:pStyle w:val="2"/>
        <w:rPr>
          <w:rFonts w:cs="Times New Roman"/>
          <w:szCs w:val="24"/>
        </w:rPr>
      </w:pPr>
      <w:bookmarkStart w:id="154" w:name="_Toc22778"/>
      <w:r>
        <w:rPr>
          <w:rFonts w:cs="Times New Roman"/>
          <w:szCs w:val="24"/>
        </w:rPr>
        <w:t>5.1.2供水能力预测</w:t>
      </w:r>
      <w:bookmarkEnd w:id="154"/>
    </w:p>
    <w:p>
      <w:pPr>
        <w:widowControl/>
        <w:ind w:firstLine="480"/>
        <w:jc w:val="left"/>
      </w:pPr>
      <w:r>
        <w:t>官渡区无供水的水库、坝塘，居民用水主要为昆明市清源自来水公司和昆明市通用自来水公司供水，依托整个昆明市来调度。根据《昆明市水资源公报》</w:t>
      </w:r>
      <w:r>
        <w:rPr>
          <w:rFonts w:hint="eastAsia"/>
        </w:rPr>
        <w:t>、《昆明市“十四五”城市给水发展规划（2021-2025年）》、</w:t>
      </w:r>
      <w:r>
        <w:t>《滇中引水工程昆明段二期工程可行性研究报告》</w:t>
      </w:r>
      <w:r>
        <w:rPr>
          <w:rFonts w:hint="eastAsia"/>
        </w:rPr>
        <w:t>和《昆明市“十四五”水安全保障规划报告》可知</w:t>
      </w:r>
      <w:r>
        <w:t>到2025年昆明四城区可供水量达</w:t>
      </w:r>
      <w:r>
        <w:rPr>
          <w:rFonts w:hint="eastAsia"/>
        </w:rPr>
        <w:t>67685.0</w:t>
      </w:r>
      <w:r>
        <w:t>万m³，官渡区可供水量大约为</w:t>
      </w:r>
      <w:r>
        <w:rPr>
          <w:rFonts w:hint="eastAsia"/>
        </w:rPr>
        <w:t>16921.0</w:t>
      </w:r>
      <w:r>
        <w:t>万m³。</w:t>
      </w:r>
    </w:p>
    <w:p>
      <w:pPr>
        <w:pStyle w:val="2"/>
        <w:rPr>
          <w:rFonts w:cs="Times New Roman"/>
          <w:szCs w:val="24"/>
        </w:rPr>
      </w:pPr>
      <w:bookmarkStart w:id="155" w:name="_Toc5189"/>
      <w:r>
        <w:rPr>
          <w:rFonts w:cs="Times New Roman"/>
          <w:szCs w:val="24"/>
        </w:rPr>
        <w:t>5.1.3供需平衡分析</w:t>
      </w:r>
      <w:bookmarkEnd w:id="155"/>
    </w:p>
    <w:p>
      <w:pPr>
        <w:widowControl/>
        <w:ind w:firstLine="480"/>
        <w:jc w:val="left"/>
        <w:rPr>
          <w:kern w:val="0"/>
        </w:rPr>
      </w:pPr>
      <w:r>
        <w:rPr>
          <w:kern w:val="0"/>
        </w:rPr>
        <w:t>根据上述分析成果，到2025年，官渡区河道外需水总量为</w:t>
      </w:r>
      <w:r>
        <w:rPr>
          <w:rFonts w:hint="eastAsia"/>
          <w:kern w:val="0"/>
        </w:rPr>
        <w:t>16282.0</w:t>
      </w:r>
      <w:r>
        <w:rPr>
          <w:kern w:val="0"/>
        </w:rPr>
        <w:t>万m³，总供水能力达到</w:t>
      </w:r>
      <w:r>
        <w:rPr>
          <w:rFonts w:hint="eastAsia"/>
        </w:rPr>
        <w:t>16921.0</w:t>
      </w:r>
      <w:r>
        <w:rPr>
          <w:kern w:val="0"/>
        </w:rPr>
        <w:t>万m³，</w:t>
      </w:r>
      <w:r>
        <w:rPr>
          <w:rFonts w:hint="eastAsia"/>
          <w:kern w:val="0"/>
          <w:szCs w:val="28"/>
        </w:rPr>
        <w:t>供水能力略高于需水量，</w:t>
      </w:r>
      <w:r>
        <w:rPr>
          <w:rFonts w:hint="eastAsia"/>
          <w:kern w:val="0"/>
        </w:rPr>
        <w:t>总体基本实现</w:t>
      </w:r>
      <w:r>
        <w:rPr>
          <w:kern w:val="0"/>
        </w:rPr>
        <w:t>供需平衡</w:t>
      </w:r>
      <w:r>
        <w:rPr>
          <w:rFonts w:hint="eastAsia"/>
          <w:kern w:val="0"/>
        </w:rPr>
        <w:t>，但</w:t>
      </w:r>
      <w:r>
        <w:t>考虑官渡区实际情况，受限于自然地理条件和建设规划用地情况，已经没有兴修蓄水工程的条件，未来官渡区的水资源发展方向主要为自来水公司供水，为保障环境与及经济协调发展，</w:t>
      </w:r>
      <w:r>
        <w:rPr>
          <w:rFonts w:hint="eastAsia"/>
        </w:rPr>
        <w:t>同时</w:t>
      </w:r>
      <w:r>
        <w:t>配合实施雨水、污水回收利用等新兴节水工程</w:t>
      </w:r>
      <w:r>
        <w:rPr>
          <w:rFonts w:hint="eastAsia"/>
        </w:rPr>
        <w:t>，</w:t>
      </w:r>
      <w:r>
        <w:t>还需加强节水、中水利用并提高水资源利用率，以供定需，适当调整生产计划以控制需水。</w:t>
      </w:r>
    </w:p>
    <w:p>
      <w:pPr>
        <w:pStyle w:val="6"/>
        <w:rPr>
          <w:szCs w:val="24"/>
        </w:rPr>
      </w:pPr>
      <w:bookmarkStart w:id="156" w:name="_Toc30240"/>
      <w:bookmarkStart w:id="157" w:name="_Toc28910"/>
      <w:bookmarkStart w:id="158" w:name="_Toc9234"/>
      <w:r>
        <w:rPr>
          <w:szCs w:val="24"/>
        </w:rPr>
        <w:t>5.2落实最严格的水资源管理制度</w:t>
      </w:r>
      <w:bookmarkEnd w:id="156"/>
      <w:bookmarkEnd w:id="157"/>
      <w:bookmarkEnd w:id="158"/>
    </w:p>
    <w:p>
      <w:pPr>
        <w:ind w:firstLine="480"/>
      </w:pPr>
      <w:r>
        <w:t>根据官渡区目前确定的最严格的水资源管理制度控制指标（包括用水总量、万元工业增加值用水量、万元国内生产总值用水量等节水指标），加强规划和建设项目节水评价，严格执行取水许可制度，强化水资源论证管理，每年执行最严格水资源管理考核。</w:t>
      </w:r>
    </w:p>
    <w:p>
      <w:pPr>
        <w:ind w:firstLine="480"/>
      </w:pPr>
      <w:r>
        <w:t>官渡区的水资源总量不高，人均水资源占有量也低于全省、全国的平均水平，加上水资源时空分布不均，受地形、工程分布等限制，水资源一直是困扰官渡区的重要问题。自最严格的水资源管理制度（即“三条红线”）提出后，官渡区一直以来都严格贯彻落实水资源管理制度，积极进行水资源的合理开发和保护工作。在“十四五”时期，官渡区将继续坚持，从水资源的开发、节约和监控三个方面提升水资源的监管能力。</w:t>
      </w:r>
    </w:p>
    <w:p>
      <w:pPr>
        <w:ind w:firstLine="480"/>
      </w:pPr>
      <w:r>
        <w:t>（1）加强水资源开发利用监管</w:t>
      </w:r>
    </w:p>
    <w:p>
      <w:pPr>
        <w:ind w:firstLine="480"/>
      </w:pPr>
      <w:r>
        <w:t>严格遵照官渡区此前完成“三条红线”用水指标分解成果，并根据每一年度的实际情况进行调整，实施水资源消耗总量与强度双控制度，开展年度区域用水水量分配制度；严格用水定额和计划用水管理。完善用水量统计制度，提高用水量计量率；开展重要河道重要断面的生态基流监测及视频监控，加强生态流量的监管，建立河道外用水及河道内生态基流监控预警机制；落实水资源红黄绿分区管理。通过上述措施强化对官渡区水资源开发利用过程中的监管，实现水资源可持续利用。</w:t>
      </w:r>
    </w:p>
    <w:p>
      <w:pPr>
        <w:ind w:firstLine="480"/>
      </w:pPr>
      <w:r>
        <w:t>（2）加强水资源节约监管</w:t>
      </w:r>
    </w:p>
    <w:p>
      <w:pPr>
        <w:ind w:firstLine="480"/>
      </w:pPr>
      <w:r>
        <w:t>根据官渡区的实际情况和执行情况，逐年提出节约用水目标，落实各部门责任和任务，加强日常监督、考核；进一步推进计划与定额相结合的计划用水管理机制；强化取用水计量监测统计，从源头上把好节约用水关口。</w:t>
      </w:r>
    </w:p>
    <w:p>
      <w:pPr>
        <w:ind w:firstLine="480"/>
      </w:pPr>
      <w:r>
        <w:t>（</w:t>
      </w:r>
      <w:r>
        <w:rPr>
          <w:rFonts w:hint="eastAsia"/>
        </w:rPr>
        <w:t>3</w:t>
      </w:r>
      <w:r>
        <w:t>）加强水资源监控能力建设</w:t>
      </w:r>
    </w:p>
    <w:p>
      <w:pPr>
        <w:spacing w:line="520" w:lineRule="exact"/>
        <w:ind w:firstLine="480"/>
        <w:rPr>
          <w:kern w:val="0"/>
        </w:rPr>
      </w:pPr>
      <w:r>
        <w:t>在“十四五”时期内基本建立起与水资源开发利用控制、用水效率控制和水功能区限制纳污红线管理相适应的重要取水户、重要水功能区和主要县界断面三大监控体系，并完成与市级系统的联网。通过不断完善水资源监控信息系统，初步形成与实行最严格水资源管理制度相适应的水资源监控能力，逐步建立起可以支撑水资源开发、节约、保护管理和“三条红线”监督考核能力的监控设施体系。</w:t>
      </w:r>
    </w:p>
    <w:p>
      <w:pPr>
        <w:pStyle w:val="6"/>
        <w:rPr>
          <w:szCs w:val="24"/>
        </w:rPr>
      </w:pPr>
      <w:bookmarkStart w:id="159" w:name="_Toc10310"/>
      <w:bookmarkStart w:id="160" w:name="_Toc21392"/>
      <w:bookmarkStart w:id="161" w:name="_Toc27420"/>
      <w:r>
        <w:rPr>
          <w:szCs w:val="24"/>
        </w:rPr>
        <w:t>5.3完善供水格局</w:t>
      </w:r>
      <w:bookmarkEnd w:id="159"/>
      <w:bookmarkEnd w:id="160"/>
      <w:bookmarkEnd w:id="161"/>
    </w:p>
    <w:p>
      <w:pPr>
        <w:spacing w:line="520" w:lineRule="exact"/>
        <w:ind w:firstLine="480"/>
        <w:rPr>
          <w:kern w:val="0"/>
        </w:rPr>
      </w:pPr>
      <w:r>
        <w:rPr>
          <w:kern w:val="0"/>
        </w:rPr>
        <w:t>在“节水优先、空间均衡、系统治理、两手发力”的新时期水利工作方针中，水资源“空间均衡”在宏观上要求按照人口、资源、环境相均衡，经济、社会、生态效益相统一的原则，调控水资源空间分配格局，促进水资源配置与经济社会空间协调发展。</w:t>
      </w:r>
    </w:p>
    <w:p>
      <w:pPr>
        <w:numPr>
          <w:ilvl w:val="1"/>
          <w:numId w:val="10"/>
        </w:numPr>
        <w:ind w:firstLine="480"/>
      </w:pPr>
      <w:r>
        <w:t>通过科学规划、宏观调控、产业转移，优化产业空间布局</w:t>
      </w:r>
      <w:r>
        <w:rPr>
          <w:rFonts w:hint="eastAsia"/>
        </w:rPr>
        <w:t>。</w:t>
      </w:r>
    </w:p>
    <w:p>
      <w:pPr>
        <w:ind w:firstLine="480"/>
      </w:pPr>
      <w:r>
        <w:t>优化产业空间布局不仅要考虑供给侧本身的发展需求，还要考虑资源禀赋、环境容量的约束，走人口、资源、环境协调发展之路。工业需要从生产端入手不断优化工业要素资源配置，根据环境容量、资源禀赋程度调整产业布局。农业需要按照“稳粮、优经、扩饲”的目标，优化调整粮经饲三元种植结构和空间布局；引导产能向环境容量大、条件好的地区转移，发展规模高效养殖业，做大做强优势特色产业；科学合理划定粮食生产功能区和重要农产品生产保护区，进一步优化农业区域布局。</w:t>
      </w:r>
    </w:p>
    <w:p>
      <w:pPr>
        <w:numPr>
          <w:ilvl w:val="1"/>
          <w:numId w:val="10"/>
        </w:numPr>
        <w:ind w:firstLine="480"/>
      </w:pPr>
      <w:r>
        <w:t>通过转型升级、提质增效，优化供给结构</w:t>
      </w:r>
      <w:r>
        <w:rPr>
          <w:rFonts w:hint="eastAsia"/>
        </w:rPr>
        <w:t>。</w:t>
      </w:r>
    </w:p>
    <w:p>
      <w:pPr>
        <w:ind w:firstLine="480"/>
      </w:pPr>
      <w:r>
        <w:t>在提质增效、供给结构优化中，应考虑对水资源的消耗，通过技术创新和结构调整，提高水资源利用效率。工业鼓励企业技术创新、设备更新、产品出新，不断提高供给质量和效率，促进新供给和新需求有效对接。农业需要实施优势特色农业提质增效行动计划，促进蔬菜瓜果、花卉苗木和特色养殖等产业提档升级。</w:t>
      </w:r>
    </w:p>
    <w:p>
      <w:pPr>
        <w:numPr>
          <w:ilvl w:val="1"/>
          <w:numId w:val="10"/>
        </w:numPr>
        <w:ind w:firstLine="480"/>
      </w:pPr>
      <w:r>
        <w:t>通过化解过剩产能，引导特色优势产业有序健康发展</w:t>
      </w:r>
      <w:r>
        <w:rPr>
          <w:rFonts w:hint="eastAsia"/>
        </w:rPr>
        <w:t>。</w:t>
      </w:r>
    </w:p>
    <w:p>
      <w:pPr>
        <w:ind w:firstLine="480"/>
      </w:pPr>
      <w:r>
        <w:t>一方面，适应新时期发展需求，抓战略性新兴产业培育，着力打造一批新兴产业；另一方面，抓传统产业改造升级，提升产品质量，做大做强优势特色产业。为了促进经济社会有序健康发展，必然会考虑到资源环境的约束，因此，无论是打造新兴产业还是改造升级传统产业,都要与资源环境相协调，以达到健康发展的目标。</w:t>
      </w:r>
    </w:p>
    <w:p>
      <w:pPr>
        <w:numPr>
          <w:ilvl w:val="1"/>
          <w:numId w:val="10"/>
        </w:numPr>
        <w:ind w:firstLine="480"/>
      </w:pPr>
      <w:r>
        <w:t>全方位、多途径，遏制资源过度消耗和环境透支，全面实现绿色生态可持续发展</w:t>
      </w:r>
      <w:r>
        <w:rPr>
          <w:rFonts w:hint="eastAsia"/>
        </w:rPr>
        <w:t>。</w:t>
      </w:r>
    </w:p>
    <w:p>
      <w:pPr>
        <w:ind w:firstLine="480"/>
      </w:pPr>
      <w:r>
        <w:t>通过调整产业结构，发展规模高效产业，做大做强优势特色产业，发展适度规模经营，建设现代产业园，推进清洁生产，发展旅游产业，加强科技研发与推广，开发人力资源，提升公共服务水平，深化制度改革，完善制度建设等一系列措施，实现绿色生态可持续发展。</w:t>
      </w:r>
    </w:p>
    <w:p>
      <w:pPr>
        <w:pStyle w:val="6"/>
      </w:pPr>
      <w:bookmarkStart w:id="162" w:name="_Toc28532"/>
      <w:r>
        <w:rPr>
          <w:rFonts w:hint="eastAsia"/>
        </w:rPr>
        <w:t>5.4</w:t>
      </w:r>
      <w:r>
        <w:t>非常规水</w:t>
      </w:r>
      <w:r>
        <w:rPr>
          <w:rFonts w:hint="eastAsia"/>
        </w:rPr>
        <w:t>源</w:t>
      </w:r>
      <w:r>
        <w:t>利用</w:t>
      </w:r>
      <w:bookmarkEnd w:id="162"/>
    </w:p>
    <w:p>
      <w:pPr>
        <w:ind w:firstLine="480"/>
      </w:pPr>
      <w:r>
        <w:t>提高水资源利用率及污水再生回用率，加大非常规水利用量占用水总量的比重。采取“集中与分散”相结合的方式，继续加大城镇、工业产业园区再生水利用设施建设，结合污水处理厂提标改造及湿地净化系统建设，推进工业园区等再生水管网建设。结合海绵城市建设，充分利用城市公园、绿地等海绵体存蓄的雨水量</w:t>
      </w:r>
      <w:r>
        <w:rPr>
          <w:rFonts w:hint="eastAsia"/>
        </w:rPr>
        <w:t>。</w:t>
      </w:r>
    </w:p>
    <w:p>
      <w:pPr>
        <w:pStyle w:val="6"/>
        <w:rPr>
          <w:rFonts w:eastAsiaTheme="minorEastAsia"/>
          <w:szCs w:val="24"/>
        </w:rPr>
      </w:pPr>
      <w:bookmarkStart w:id="163" w:name="_Toc4793"/>
      <w:bookmarkStart w:id="164" w:name="_Toc30880"/>
      <w:bookmarkStart w:id="165" w:name="_Toc8140"/>
      <w:r>
        <w:rPr>
          <w:szCs w:val="24"/>
        </w:rPr>
        <w:t>5.</w:t>
      </w:r>
      <w:r>
        <w:rPr>
          <w:rFonts w:hint="eastAsia"/>
          <w:szCs w:val="24"/>
        </w:rPr>
        <w:t>5</w:t>
      </w:r>
      <w:r>
        <w:rPr>
          <w:szCs w:val="24"/>
        </w:rPr>
        <w:t>健全水资源配置体系</w:t>
      </w:r>
      <w:bookmarkEnd w:id="163"/>
      <w:bookmarkEnd w:id="164"/>
      <w:bookmarkEnd w:id="165"/>
    </w:p>
    <w:p>
      <w:pPr>
        <w:spacing w:line="480" w:lineRule="exact"/>
        <w:ind w:firstLine="480"/>
      </w:pPr>
      <w:r>
        <w:t>水资源配置体系的健全，需要构建水资源智能化调配决策系统，以实现水资源调配的智能化，使水利工作由传统水利向智慧水利转变，包括建设水资源监控体系、开展河湖水系连通工程等。</w:t>
      </w:r>
    </w:p>
    <w:p>
      <w:pPr>
        <w:spacing w:line="480" w:lineRule="exact"/>
        <w:ind w:firstLine="480"/>
      </w:pPr>
      <w:r>
        <w:t>做好节水型社会建设、水生态文明建设、水资源监控体系建设，创新水资源管理机制，为水资源空间均衡管控保驾护航。水资源空间均衡管控是一个系统性工程，除了工程保障外，还需要有一系列的软实力建设：坚持“节水优先”原则，开展节水型社会建设，这是水资源高效开发利用的“根本”；抓好生态环境保护这个发展的基础，做好水生态文明建设；打造水信息获取渠道和管理平台，做好水资源监控体系建设；推行最严格水资源管理制度，创新水资源管理机制，完善水资源管理法律法规。</w:t>
      </w:r>
      <w:r>
        <w:br w:type="page"/>
      </w:r>
    </w:p>
    <w:p>
      <w:pPr>
        <w:pStyle w:val="5"/>
        <w:ind w:firstLine="602"/>
      </w:pPr>
      <w:bookmarkStart w:id="166" w:name="_Toc9826"/>
      <w:bookmarkStart w:id="167" w:name="_Toc15658"/>
      <w:bookmarkStart w:id="168" w:name="_Toc855"/>
      <w:r>
        <w:t>6防治结合，恢复水清岸绿的水生态体系</w:t>
      </w:r>
      <w:bookmarkEnd w:id="166"/>
      <w:bookmarkEnd w:id="167"/>
      <w:bookmarkEnd w:id="168"/>
    </w:p>
    <w:p>
      <w:pPr>
        <w:ind w:firstLine="480"/>
      </w:pPr>
      <w:r>
        <w:t>“十四五”期间</w:t>
      </w:r>
      <w:r>
        <w:rPr>
          <w:rFonts w:hint="eastAsia"/>
        </w:rPr>
        <w:t>官渡区</w:t>
      </w:r>
      <w:r>
        <w:t>水生态安全体系建设需要践行“绿水青山就是金山银山”，立足“山水林田湖草生命共同体”的理念，坚持“保护优先、系统修复、生态良好、环境优美”的原则，“退、减、调、治、管”多管齐下，以革命性举措抓好高原湖泊保护治理</w:t>
      </w:r>
      <w:r>
        <w:rPr>
          <w:rFonts w:hint="eastAsia"/>
        </w:rPr>
        <w:t>，</w:t>
      </w:r>
      <w:r>
        <w:t>以打造量足质好、河畅水活、岸绿景美的“两核、三廊、多点”绿色生态水网为抓手，构建人水和谐、健康秀美的水生态系统，提出</w:t>
      </w:r>
      <w:r>
        <w:rPr>
          <w:rFonts w:hint="eastAsia"/>
        </w:rPr>
        <w:t>官渡区</w:t>
      </w:r>
      <w:r>
        <w:t>水生态空间划定与管控、河湖保护与修复、农村水系综合整治、水土保持生态建设等任务，加快推进水生态文明建设</w:t>
      </w:r>
      <w:r>
        <w:rPr>
          <w:rFonts w:hint="eastAsia"/>
        </w:rPr>
        <w:t>。</w:t>
      </w:r>
    </w:p>
    <w:p>
      <w:pPr>
        <w:widowControl/>
        <w:ind w:firstLine="480"/>
        <w:jc w:val="left"/>
      </w:pPr>
      <w:r>
        <w:t>滇池是世界关注的高原湖泊，是长江上游生态安全格局的重要组成部分，滇池治理是我国生态文明建设的标志性工程之一。习近平总书记多次强调要加强滇池保护和治理力度，要求云南努力成为我国生态文明建设的排头兵，积极推动滇池治理实现新突破，并带动其他湖泊江河的治理和保护。云南省和昆明市始终把滇池治理作为头等大事和头号工程，作为争当生态文明建设排头兵的重大举措和美丽春城、生态昆明建设的重中之重。官渡区全区位于滇池流域，是滇池的最后一道防线和滇池治理的主阵地，水生态体系的建设和水污染防治工作必然受到高度关注和重视。官渡区专门编制《官渡区“十四五”滇池水环境治理规划》来解决官渡区</w:t>
      </w:r>
      <w:r>
        <w:rPr>
          <w:rFonts w:hint="eastAsia"/>
        </w:rPr>
        <w:t>滇池流域</w:t>
      </w:r>
      <w:r>
        <w:t>水生态、水环境问题。</w:t>
      </w:r>
    </w:p>
    <w:p>
      <w:pPr>
        <w:pStyle w:val="6"/>
        <w:rPr>
          <w:szCs w:val="24"/>
        </w:rPr>
      </w:pPr>
      <w:bookmarkStart w:id="169" w:name="_Toc17672"/>
      <w:bookmarkStart w:id="170" w:name="_Toc26211"/>
      <w:bookmarkStart w:id="171" w:name="_Toc16175"/>
      <w:r>
        <w:rPr>
          <w:szCs w:val="24"/>
        </w:rPr>
        <w:t>6.1加强水生态空间保护</w:t>
      </w:r>
      <w:bookmarkEnd w:id="169"/>
      <w:bookmarkEnd w:id="170"/>
      <w:bookmarkEnd w:id="171"/>
    </w:p>
    <w:p>
      <w:pPr>
        <w:pStyle w:val="2"/>
        <w:rPr>
          <w:rFonts w:cs="Times New Roman"/>
          <w:szCs w:val="24"/>
        </w:rPr>
      </w:pPr>
      <w:bookmarkStart w:id="172" w:name="_Toc3089"/>
      <w:r>
        <w:rPr>
          <w:rFonts w:cs="Times New Roman"/>
          <w:szCs w:val="24"/>
        </w:rPr>
        <w:t>6.1.1河湖空间管控和水利空间管控</w:t>
      </w:r>
      <w:bookmarkEnd w:id="172"/>
    </w:p>
    <w:p>
      <w:pPr>
        <w:ind w:firstLine="480"/>
      </w:pPr>
      <w:r>
        <w:t>“十四五”时期，官渡区计划继续开展河湖空间管控项目和水利空间管控项目，继续完成管理范围的划定及保护工作。</w:t>
      </w:r>
    </w:p>
    <w:p>
      <w:pPr>
        <w:pStyle w:val="2"/>
        <w:rPr>
          <w:rFonts w:cs="Times New Roman"/>
          <w:szCs w:val="24"/>
        </w:rPr>
      </w:pPr>
      <w:bookmarkStart w:id="173" w:name="_Toc32383"/>
      <w:r>
        <w:rPr>
          <w:rFonts w:cs="Times New Roman"/>
          <w:szCs w:val="24"/>
        </w:rPr>
        <w:t>6.1.2重点河湖生态治理与修复项目</w:t>
      </w:r>
      <w:bookmarkEnd w:id="173"/>
    </w:p>
    <w:p>
      <w:pPr>
        <w:ind w:firstLine="480"/>
      </w:pPr>
      <w:r>
        <w:t>十四五”期间官渡区计划完成</w:t>
      </w:r>
      <w:r>
        <w:rPr>
          <w:rFonts w:hint="eastAsia"/>
        </w:rPr>
        <w:t>3</w:t>
      </w:r>
      <w:r>
        <w:t>件河湖生态治理与修复项目。</w:t>
      </w:r>
    </w:p>
    <w:p>
      <w:pPr>
        <w:pStyle w:val="56"/>
      </w:pPr>
    </w:p>
    <w:p>
      <w:pPr>
        <w:pStyle w:val="56"/>
      </w:pPr>
    </w:p>
    <w:p>
      <w:pPr>
        <w:pStyle w:val="56"/>
      </w:pPr>
    </w:p>
    <w:p>
      <w:pPr>
        <w:pStyle w:val="56"/>
      </w:pPr>
    </w:p>
    <w:p>
      <w:pPr>
        <w:pStyle w:val="2"/>
        <w:rPr>
          <w:rFonts w:cs="Times New Roman"/>
          <w:szCs w:val="24"/>
        </w:rPr>
      </w:pPr>
      <w:bookmarkStart w:id="174" w:name="_Toc26183"/>
      <w:r>
        <w:rPr>
          <w:rFonts w:cs="Times New Roman"/>
          <w:szCs w:val="24"/>
        </w:rPr>
        <w:t>6.1.3水环境治理任务</w:t>
      </w:r>
      <w:bookmarkEnd w:id="174"/>
    </w:p>
    <w:p>
      <w:pPr>
        <w:ind w:firstLine="480"/>
      </w:pPr>
      <w:r>
        <w:t>以习近平新时代中国特色</w:t>
      </w:r>
      <w:r>
        <w:rPr>
          <w:rFonts w:hint="eastAsia"/>
          <w:lang w:val="en-US" w:eastAsia="zh-CN"/>
        </w:rPr>
        <w:t>社会</w:t>
      </w:r>
      <w:r>
        <w:t>主义</w:t>
      </w:r>
      <w:r>
        <w:rPr>
          <w:rFonts w:hint="eastAsia"/>
          <w:lang w:val="en-US" w:eastAsia="zh-CN"/>
        </w:rPr>
        <w:t>思想</w:t>
      </w:r>
      <w:r>
        <w:t>为指导，认真学习贯彻习近平生态文明思想，落实绿色、创新、协调、开放、共享的发展理念，严格遵循“立、截、疏、修、调、保”六字方针，全面实施城区水环境综合整治，彻底整治城区水污染现象，改善城市居民人民环境，为建设富强、创新、文明、美丽新官渡做出新的贡献。坚持“治污为本、基础先行、引疏结合、多管齐下”的基本原则：多措并举、综合施策、统筹推进城区水环境治理工作</w:t>
      </w:r>
      <w:r>
        <w:rPr>
          <w:kern w:val="0"/>
        </w:rPr>
        <w:t>；进一步建章立制，健全机制，形成政府主导、全社会共同参与的水环境整治氛围；实施截污工程</w:t>
      </w:r>
      <w:r>
        <w:rPr>
          <w:rFonts w:hint="eastAsia"/>
          <w:kern w:val="0"/>
        </w:rPr>
        <w:t>、雨污分流工程，</w:t>
      </w:r>
      <w:r>
        <w:rPr>
          <w:kern w:val="0"/>
        </w:rPr>
        <w:t>在河道两侧完善城市排水管网系统，扩大污水管网覆盖率，提高污水收集率，杜绝污水直接排入河道；实施河道整治工程</w:t>
      </w:r>
      <w:r>
        <w:rPr>
          <w:rFonts w:hint="eastAsia"/>
          <w:kern w:val="0"/>
        </w:rPr>
        <w:t>，</w:t>
      </w:r>
      <w:r>
        <w:rPr>
          <w:kern w:val="0"/>
        </w:rPr>
        <w:t>进行河道生态护岸的建设，增强护岸的景观效果及生态效果。</w:t>
      </w:r>
      <w:r>
        <w:t>“十四五”期间官渡区计划完成1</w:t>
      </w:r>
      <w:r>
        <w:rPr>
          <w:rFonts w:hint="eastAsia"/>
        </w:rPr>
        <w:t>2</w:t>
      </w:r>
      <w:r>
        <w:t>件水环境治理项目。</w:t>
      </w:r>
    </w:p>
    <w:p>
      <w:pPr>
        <w:spacing w:line="240" w:lineRule="auto"/>
        <w:ind w:firstLine="0" w:firstLineChars="0"/>
        <w:jc w:val="center"/>
        <w:rPr>
          <w:b/>
        </w:rPr>
      </w:pPr>
    </w:p>
    <w:p>
      <w:pPr>
        <w:pStyle w:val="6"/>
        <w:rPr>
          <w:szCs w:val="24"/>
        </w:rPr>
      </w:pPr>
      <w:bookmarkStart w:id="175" w:name="_Toc9738"/>
      <w:bookmarkStart w:id="176" w:name="_Toc28838"/>
      <w:bookmarkStart w:id="177" w:name="_Toc23201"/>
      <w:r>
        <w:rPr>
          <w:szCs w:val="24"/>
        </w:rPr>
        <w:t>6.2推进水生态治理及保护修复</w:t>
      </w:r>
      <w:bookmarkEnd w:id="175"/>
      <w:bookmarkEnd w:id="176"/>
      <w:bookmarkEnd w:id="177"/>
    </w:p>
    <w:p>
      <w:pPr>
        <w:pStyle w:val="2"/>
        <w:rPr>
          <w:rFonts w:cs="Times New Roman"/>
          <w:szCs w:val="24"/>
        </w:rPr>
      </w:pPr>
      <w:bookmarkStart w:id="178" w:name="_Toc20372"/>
      <w:r>
        <w:rPr>
          <w:rFonts w:cs="Times New Roman"/>
          <w:szCs w:val="24"/>
        </w:rPr>
        <w:t>6.2.1水土保持生态建设任务</w:t>
      </w:r>
      <w:bookmarkEnd w:id="178"/>
    </w:p>
    <w:p>
      <w:pPr>
        <w:ind w:firstLine="480"/>
      </w:pPr>
      <w:r>
        <w:t>官渡区深入贯彻落实习近平生态文明思想，积极践行“绿水青山就是金山银山”的理念，紧密结合当地实际，采取切实有力措施，协调有关部门认真履行水土流失防治义务，官渡区目前已全部城镇化，没有专项进行水土保持的区域，现主要工作为水土保持监督执法工作。官渡区认真落实水土保持相关法律法规，完善相关政策措施，认真履行水土保持监管职责，全面加强监督预防保护工作，严控人为水土流失，促进生态自我修复。</w:t>
      </w:r>
    </w:p>
    <w:p>
      <w:pPr>
        <w:pStyle w:val="2"/>
        <w:rPr>
          <w:rFonts w:cs="Times New Roman"/>
          <w:szCs w:val="24"/>
        </w:rPr>
      </w:pPr>
      <w:bookmarkStart w:id="179" w:name="_Toc12057"/>
      <w:r>
        <w:rPr>
          <w:rFonts w:cs="Times New Roman"/>
          <w:szCs w:val="24"/>
        </w:rPr>
        <w:t>6.2.2强化水环境监管</w:t>
      </w:r>
      <w:bookmarkEnd w:id="179"/>
    </w:p>
    <w:p>
      <w:pPr>
        <w:ind w:firstLine="480"/>
      </w:pPr>
      <w:r>
        <w:t>根据中共中央和水利部近期下达的一系列水环境整治工作要求，在“十四五”时期，官渡区继续落实河长制相关工作，以及“河湖清‘四乱’”、“水域岸线管控”等工作并加大水政执法监督力度。</w:t>
      </w:r>
    </w:p>
    <w:p>
      <w:pPr>
        <w:numPr>
          <w:ilvl w:val="0"/>
          <w:numId w:val="11"/>
        </w:numPr>
        <w:ind w:left="0" w:firstLine="480"/>
      </w:pPr>
      <w:r>
        <w:t>发挥好河湖长作用</w:t>
      </w:r>
    </w:p>
    <w:p>
      <w:pPr>
        <w:ind w:firstLine="480"/>
      </w:pPr>
      <w:r>
        <w:t>进一步推动河（湖）长制从全面“建立”到全面“见效”转变，努力推进河长制工作取得新实效。严格落实《昆明市全面深化河长制工作实施方案》要求及昆明市滇池治理河长会议精神，全面推行河湖网格化管理机制，形成“全面覆盖、网格到底、人员入格、责任定格”的管理网络体系，科学划分河湖监管单元，形成单元独立、集成运行、系统治理的河湖单元化监管新模式。加强河长湖长考核，促进河长湖长履职尽</w:t>
      </w:r>
      <w:r>
        <w:rPr>
          <w:rFonts w:hint="eastAsia"/>
          <w:lang w:val="en-US" w:eastAsia="zh-CN"/>
        </w:rPr>
        <w:t>责</w:t>
      </w:r>
      <w:bookmarkStart w:id="292" w:name="_GoBack"/>
      <w:bookmarkEnd w:id="292"/>
      <w:r>
        <w:t>，鼓励每位河长湖长多走“一公里”。</w:t>
      </w:r>
    </w:p>
    <w:p>
      <w:pPr>
        <w:numPr>
          <w:ilvl w:val="0"/>
          <w:numId w:val="11"/>
        </w:numPr>
        <w:ind w:left="0" w:firstLine="480"/>
      </w:pPr>
      <w:r>
        <w:t>持续开展河湖“清四乱”行动</w:t>
      </w:r>
    </w:p>
    <w:p>
      <w:pPr>
        <w:ind w:firstLine="480"/>
      </w:pPr>
      <w:r>
        <w:t>在总结此前“清四乱”工作的经验和教训的同时，建立起符合官渡区实际的长效工作机制，建立“四乱”问题滚动台账，持续开展乱占、乱采、乱堆、乱建清理行动，打造干净、整洁的水环境。</w:t>
      </w:r>
    </w:p>
    <w:p>
      <w:pPr>
        <w:numPr>
          <w:ilvl w:val="0"/>
          <w:numId w:val="11"/>
        </w:numPr>
        <w:ind w:left="0" w:firstLine="480"/>
      </w:pPr>
      <w:r>
        <w:t>强化岸线空间管控</w:t>
      </w:r>
    </w:p>
    <w:p>
      <w:pPr>
        <w:ind w:firstLine="480"/>
      </w:pPr>
      <w:r>
        <w:t>根据</w:t>
      </w:r>
      <w:r>
        <w:rPr>
          <w:rFonts w:hint="eastAsia"/>
        </w:rPr>
        <w:t>官渡区已编制</w:t>
      </w:r>
      <w:r>
        <w:t>完成的主要河湖岸线利用与保护规划成果，划定官渡区重要河湖的岸线边界线和功能分区，并在各功能分区内严格落实用途管制工作，今后如果有新项目建设必须符合规划要求，并且要取得官渡区出具的行政许可，与规划要求不符的一律不得许可新建，并有条件的逐步清理整顿管控区域内不符合要求的原有设施。</w:t>
      </w:r>
    </w:p>
    <w:p>
      <w:pPr>
        <w:numPr>
          <w:ilvl w:val="0"/>
          <w:numId w:val="11"/>
        </w:numPr>
        <w:ind w:left="0" w:firstLine="480"/>
      </w:pPr>
      <w:r>
        <w:t>落实河长制工作及“一河（湖）一策”方案</w:t>
      </w:r>
    </w:p>
    <w:p>
      <w:pPr>
        <w:ind w:firstLine="480"/>
      </w:pPr>
      <w:r>
        <w:t>严格按照官渡区此前已经完成的各“一河（湖）一策”方案系统推进河湖水域岸线划定及保护和水资源水生态水环境等问题的保护治理工作，实现从“治乱”到“治病”“治根”，维护河湖健康生命。同时，做好“一河（湖）一策”方案中有关监测设施工程的建设和营运监管工作，切实发挥监测工程在水环境方面的保护功能。</w:t>
      </w:r>
    </w:p>
    <w:p>
      <w:pPr>
        <w:numPr>
          <w:ilvl w:val="0"/>
          <w:numId w:val="11"/>
        </w:numPr>
        <w:ind w:left="0" w:firstLine="480"/>
      </w:pPr>
      <w:r>
        <w:t>加大河湖执法督查力度</w:t>
      </w:r>
    </w:p>
    <w:p>
      <w:pPr>
        <w:ind w:firstLine="480"/>
      </w:pPr>
      <w:r>
        <w:t>执法和督察能力是关乎官渡区水环境监管措施是否能够执行以及执行效果的最核心的能力，在“十四五”时期，官渡区应当进一步健全河湖执法核查和重大违法案件挂牌督办机制，推进水行政执法与相关环保、林业、刑事司法等有关执法部门的有效衔接，在结合河湖“清四乱”等系列专项行动进行联合执法的同时，推动水政执法走向“严紧硬”。</w:t>
      </w:r>
    </w:p>
    <w:p>
      <w:pPr>
        <w:pStyle w:val="6"/>
        <w:rPr>
          <w:szCs w:val="24"/>
        </w:rPr>
      </w:pPr>
      <w:bookmarkStart w:id="180" w:name="_Toc30795"/>
      <w:bookmarkStart w:id="181" w:name="_Toc12934"/>
      <w:r>
        <w:rPr>
          <w:szCs w:val="24"/>
        </w:rPr>
        <w:t>6.3加强河湖生态流量保障</w:t>
      </w:r>
      <w:bookmarkEnd w:id="180"/>
      <w:bookmarkEnd w:id="181"/>
    </w:p>
    <w:p>
      <w:pPr>
        <w:ind w:firstLine="480"/>
      </w:pPr>
      <w:r>
        <w:t>积极开展河道补水及滇池水位调度工作目前昆明市污水处理厂尾水排放标准执行比国家一级A排放标准更严格的《昆明市城镇污水处理厂主要水污染物排放限值》，而官渡区辖区内现有第二、六、十、十一水质净化厂，尾水资源丰富，应积极研究尾水补给河道调配方案，并配合市级开展滇池水位调度工作，确保河道生态流量，改善河道水环境。</w:t>
      </w:r>
    </w:p>
    <w:p>
      <w:pPr>
        <w:pStyle w:val="6"/>
        <w:rPr>
          <w:szCs w:val="24"/>
        </w:rPr>
      </w:pPr>
      <w:bookmarkStart w:id="182" w:name="_Toc3936"/>
      <w:bookmarkStart w:id="183" w:name="_Toc3892"/>
      <w:bookmarkStart w:id="184" w:name="_Toc9876"/>
      <w:r>
        <w:rPr>
          <w:rFonts w:eastAsia="宋体"/>
          <w:szCs w:val="24"/>
        </w:rPr>
        <w:t>6</w:t>
      </w:r>
      <w:r>
        <w:rPr>
          <w:szCs w:val="24"/>
        </w:rPr>
        <w:t>.4</w:t>
      </w:r>
      <w:r>
        <w:rPr>
          <w:rFonts w:eastAsia="宋体"/>
          <w:szCs w:val="24"/>
        </w:rPr>
        <w:t>水文化保障</w:t>
      </w:r>
      <w:bookmarkEnd w:id="182"/>
      <w:bookmarkEnd w:id="183"/>
      <w:bookmarkEnd w:id="184"/>
    </w:p>
    <w:p>
      <w:pPr>
        <w:ind w:firstLine="480"/>
      </w:pPr>
      <w:r>
        <w:t>“十四五”期间官渡区计划开展官渡区水文化遗产挖掘与保护、水文化宣传与教育工作。从文献整编、水文化遗产普查、水文化遗产信息化管理等方面，提出水文化遗产挖掘与保护的建设任务；从宣传平台、教育基地、水文化研究等方面，提出水文化宣传与教育的建设任务，以官渡区保护及开发为纽带，初步建立水文化体系。</w:t>
      </w:r>
    </w:p>
    <w:p>
      <w:pPr>
        <w:pStyle w:val="2"/>
        <w:rPr>
          <w:rFonts w:cs="Times New Roman"/>
          <w:szCs w:val="24"/>
        </w:rPr>
      </w:pPr>
      <w:bookmarkStart w:id="185" w:name="_Toc13395"/>
      <w:r>
        <w:rPr>
          <w:rFonts w:cs="Times New Roman"/>
          <w:szCs w:val="24"/>
        </w:rPr>
        <w:t>6.4.1水文化建设内容</w:t>
      </w:r>
      <w:bookmarkEnd w:id="185"/>
    </w:p>
    <w:p>
      <w:pPr>
        <w:ind w:firstLine="480"/>
      </w:pPr>
      <w:r>
        <w:t>建设完善的水文化设施，一方面要保护和再利用己有的水文化设施，提高对水文化设施保护的意识，整合城市内分散的水文化设施资源，保护好水文化古迹所在的整体历史环境和风貌促进开发建设协调进行呈现水文化遗产的当代价值，并将水文化古迹的保护与旅游资源的开发利用有机结合起来；另一方面，要兴建新的水文化设施在积极实施水文化遗产保护的同时还要通过对新环境的设计和建构表达对历史的思考和时代精冲的展现。</w:t>
      </w:r>
    </w:p>
    <w:p>
      <w:pPr>
        <w:ind w:firstLine="480"/>
      </w:pPr>
      <w:r>
        <w:t>“十四五”期间官渡区计划完成1件水文化建设项目，基本情况见表6-3。</w:t>
      </w:r>
    </w:p>
    <w:p>
      <w:pPr>
        <w:pStyle w:val="5"/>
        <w:ind w:firstLine="602"/>
      </w:pPr>
      <w:bookmarkStart w:id="186" w:name="_Toc14150"/>
      <w:bookmarkStart w:id="187" w:name="_Toc10215"/>
      <w:bookmarkStart w:id="188" w:name="_Toc91"/>
      <w:r>
        <w:t>7多措并举，加强城乡一体的供水体系</w:t>
      </w:r>
      <w:bookmarkEnd w:id="186"/>
      <w:bookmarkEnd w:id="187"/>
      <w:r>
        <w:rPr>
          <w:rFonts w:hint="eastAsia"/>
        </w:rPr>
        <w:t>建设</w:t>
      </w:r>
      <w:bookmarkEnd w:id="188"/>
    </w:p>
    <w:p>
      <w:pPr>
        <w:pStyle w:val="6"/>
        <w:rPr>
          <w:szCs w:val="24"/>
        </w:rPr>
      </w:pPr>
      <w:bookmarkStart w:id="189" w:name="_Toc22894"/>
      <w:bookmarkStart w:id="190" w:name="_Toc16207"/>
      <w:r>
        <w:rPr>
          <w:szCs w:val="24"/>
        </w:rPr>
        <w:t>7.1完善城市供水系统</w:t>
      </w:r>
      <w:bookmarkEnd w:id="189"/>
      <w:bookmarkEnd w:id="190"/>
    </w:p>
    <w:p>
      <w:pPr>
        <w:pStyle w:val="2"/>
        <w:rPr>
          <w:rFonts w:cs="Times New Roman"/>
          <w:szCs w:val="24"/>
        </w:rPr>
      </w:pPr>
      <w:bookmarkStart w:id="191" w:name="_Toc24124"/>
      <w:r>
        <w:rPr>
          <w:rFonts w:cs="Times New Roman"/>
          <w:szCs w:val="24"/>
        </w:rPr>
        <w:t>7.1.1筹集改造资金，升级供水设施</w:t>
      </w:r>
      <w:bookmarkEnd w:id="191"/>
    </w:p>
    <w:p>
      <w:pPr>
        <w:ind w:firstLine="480"/>
      </w:pPr>
      <w:r>
        <w:t>官渡区应该鼓励供水、排水等水务企业重组，集合优质资产，成立集团公司，通过市场融资、贷款等手段，获取社会资金的注入，</w:t>
      </w:r>
      <w:r>
        <w:rPr>
          <w:rFonts w:hint="eastAsia"/>
        </w:rPr>
        <w:t>弥补</w:t>
      </w:r>
      <w:r>
        <w:t>政府投资的不足。</w:t>
      </w:r>
    </w:p>
    <w:p>
      <w:pPr>
        <w:pStyle w:val="2"/>
        <w:rPr>
          <w:rFonts w:cs="Times New Roman"/>
          <w:szCs w:val="24"/>
        </w:rPr>
      </w:pPr>
      <w:bookmarkStart w:id="192" w:name="_Toc24389"/>
      <w:r>
        <w:rPr>
          <w:rFonts w:cs="Times New Roman"/>
          <w:szCs w:val="24"/>
        </w:rPr>
        <w:t>7.1.2提高水处理技术和自动化水平</w:t>
      </w:r>
      <w:bookmarkEnd w:id="192"/>
    </w:p>
    <w:p>
      <w:pPr>
        <w:spacing w:line="480" w:lineRule="exact"/>
        <w:ind w:firstLine="480"/>
      </w:pPr>
      <w:r>
        <w:t>加强对水质检验、水质深度净化技术、新型、高效、低成本的混凝剂、助凝剂、消毒剂的研究。在自动化方面，提高仪器、仪表的可靠性和使用寿命；提高其测量精度和抗干扰能力；加强智能化控制单元及网络技术应用的研究，提高系统的技术性能和可靠程度。充分利用计算机技术，以获得最佳、最经济的自动投药效果，从而有效地保证水质和降低耗用。完善水厂的供配电系统自动化,保证电气设备的安全运行和有效地防止人身事故的发生，及时对设备进行更新换代。在南方潮湿环境下，开展高精度远程传输智能水表研究，有利于供水企业节约人力成本，提高管理水平。</w:t>
      </w:r>
    </w:p>
    <w:p>
      <w:pPr>
        <w:pStyle w:val="2"/>
        <w:spacing w:line="480" w:lineRule="exact"/>
        <w:rPr>
          <w:rFonts w:cs="Times New Roman"/>
          <w:szCs w:val="24"/>
        </w:rPr>
      </w:pPr>
      <w:bookmarkStart w:id="193" w:name="_Toc12073"/>
      <w:r>
        <w:rPr>
          <w:rFonts w:cs="Times New Roman"/>
          <w:szCs w:val="24"/>
        </w:rPr>
        <w:t>7.1.3 优化供水布局</w:t>
      </w:r>
      <w:bookmarkEnd w:id="193"/>
    </w:p>
    <w:p>
      <w:pPr>
        <w:spacing w:line="480" w:lineRule="exact"/>
        <w:ind w:firstLine="480"/>
      </w:pPr>
      <w:r>
        <w:t>对于官渡区，考虑建造多个供水系统，但在合理规划官渡区地域分区的基础上，尽量节约资金成本。对于较远距离和较高地势的居民楼供水，充分利用中途加压设备，解决低层用户水压小，流量少等问题。</w:t>
      </w:r>
    </w:p>
    <w:p>
      <w:pPr>
        <w:pStyle w:val="2"/>
        <w:spacing w:line="480" w:lineRule="exact"/>
        <w:rPr>
          <w:rFonts w:cs="Times New Roman"/>
          <w:szCs w:val="24"/>
        </w:rPr>
      </w:pPr>
      <w:bookmarkStart w:id="194" w:name="_Toc16689"/>
      <w:r>
        <w:rPr>
          <w:rFonts w:cs="Times New Roman"/>
          <w:szCs w:val="24"/>
        </w:rPr>
        <w:t>7.1.4 强化管网监测</w:t>
      </w:r>
      <w:bookmarkEnd w:id="194"/>
    </w:p>
    <w:p>
      <w:pPr>
        <w:spacing w:line="480" w:lineRule="exact"/>
        <w:ind w:firstLine="480"/>
      </w:pPr>
      <w:r>
        <w:t>供水管网规划从长远出发，管网的布局必须安全、合理、可靠。加强城市供水调度管理的研究。管网定点进行动态测压、测流，计算机实时管网平差，制定最佳调度方案，从而保证管网合理的压力，最大限度地节约能耗。大力推广地理信息系统技术,将供水系统信息与城市不断更新的各种信息有机的结合起来，经过空间分析</w:t>
      </w:r>
      <w:r>
        <w:rPr>
          <w:rFonts w:hint="eastAsia"/>
        </w:rPr>
        <w:t>，</w:t>
      </w:r>
      <w:r>
        <w:t>制定供水发展规划、实时调度管网的维修，提高规划的科学性、供水调度的实用性和管网维修的可靠性。</w:t>
      </w:r>
    </w:p>
    <w:p>
      <w:pPr>
        <w:pStyle w:val="6"/>
        <w:spacing w:line="480" w:lineRule="exact"/>
        <w:rPr>
          <w:szCs w:val="24"/>
        </w:rPr>
      </w:pPr>
      <w:bookmarkStart w:id="195" w:name="_Toc22001"/>
      <w:r>
        <w:rPr>
          <w:szCs w:val="24"/>
        </w:rPr>
        <w:t>7.2提升乡村供水水平</w:t>
      </w:r>
      <w:bookmarkEnd w:id="195"/>
    </w:p>
    <w:p>
      <w:pPr>
        <w:ind w:firstLine="480"/>
      </w:pPr>
      <w:r>
        <w:t>到2020年官渡区仅有金马和矣六街道10个村小组抽取深层地下水作为水源，为稳步推进农村饮水安全向农村供水保障转变，提升农村供水标准和质量。</w:t>
      </w:r>
    </w:p>
    <w:p>
      <w:pPr>
        <w:pStyle w:val="2"/>
      </w:pPr>
      <w:bookmarkStart w:id="196" w:name="_Toc1885"/>
      <w:r>
        <w:rPr>
          <w:rFonts w:hint="eastAsia"/>
        </w:rPr>
        <w:t>7.2.1</w:t>
      </w:r>
      <w:r>
        <w:t>健全管理机制，提升运行管理水平</w:t>
      </w:r>
      <w:bookmarkEnd w:id="196"/>
    </w:p>
    <w:p>
      <w:pPr>
        <w:spacing w:line="480" w:lineRule="exact"/>
        <w:ind w:firstLine="480"/>
      </w:pPr>
      <w:r>
        <w:t>官渡区水务部门及街道办要督促指导供水单位建立健全供水工程水源巡查保护、设施维修养护、水质净化消毒、设备操作规范、药剂存储投加、水费收缴公示、水厂值守交接、供水运行记录、事故应急处置等各项规章制度，并不定期对其各项制度落实情况开展督查。通过设置公益性岗位或聘请水管人员来解决农村供水工程管理问题，小型分散工程根据工作量，采取专职或兼职以及多岗融合等方式，保证每一处工程都有人管。</w:t>
      </w:r>
    </w:p>
    <w:p>
      <w:pPr>
        <w:pStyle w:val="2"/>
      </w:pPr>
      <w:bookmarkStart w:id="197" w:name="_Toc29570"/>
      <w:r>
        <w:rPr>
          <w:rFonts w:hint="eastAsia"/>
        </w:rPr>
        <w:t>7.2.2</w:t>
      </w:r>
      <w:r>
        <w:t>提升水质检测能力</w:t>
      </w:r>
      <w:bookmarkEnd w:id="197"/>
    </w:p>
    <w:p>
      <w:pPr>
        <w:spacing w:line="480" w:lineRule="exact"/>
        <w:ind w:firstLine="480"/>
      </w:pPr>
      <w:r>
        <w:t>按照规范化水厂创建要求将水质、安全检查纳入日常管理，增设水质自检设备和人员，供水工程必须配备水质日常指标检测设备，加快推进区级农村饮水安全水质“检验检测机构资质认定”工作。要健全应急保障机制提升应急保障水平，进一步完善区级农村供水应急预案，明确水毁工程、水量不足、管网爆管、水源遭受污染等情况下的应急处置措施。要充分发挥村级水管员的作用，畅通信息报送渠道，加强</w:t>
      </w:r>
      <w:r>
        <w:rPr>
          <w:rFonts w:hint="eastAsia"/>
        </w:rPr>
        <w:t>区</w:t>
      </w:r>
      <w:r>
        <w:t>镇联动，保证群众日常生活用水，坚决杜绝因管理不到位、责任不落实、人员不作为等原因导致出现群体性供水事故发生。要畅通问题反映渠道，健全完善农村供水应急监督机制，落实专人回应群众诉求，及时解决群众反馈的用水问题，做到“电话第一时间接听，诉求第一时间处理，故障第一时间排除”。</w:t>
      </w:r>
    </w:p>
    <w:p>
      <w:pPr>
        <w:pStyle w:val="6"/>
        <w:spacing w:line="480" w:lineRule="exact"/>
        <w:rPr>
          <w:rFonts w:eastAsiaTheme="minorEastAsia"/>
          <w:szCs w:val="24"/>
        </w:rPr>
      </w:pPr>
      <w:bookmarkStart w:id="198" w:name="_Toc31369"/>
      <w:bookmarkStart w:id="199" w:name="_Toc32648"/>
      <w:r>
        <w:rPr>
          <w:szCs w:val="24"/>
        </w:rPr>
        <w:t>7.3加快防洪抗旱薄弱环节建设</w:t>
      </w:r>
      <w:bookmarkEnd w:id="198"/>
      <w:bookmarkEnd w:id="199"/>
    </w:p>
    <w:p>
      <w:pPr>
        <w:spacing w:line="480" w:lineRule="exact"/>
        <w:ind w:firstLine="480"/>
      </w:pPr>
      <w:r>
        <w:t>在强化节水和现有工程挖潜的前提下，统筹考虑当地水及外调水，合理确定城镇应急备用水源方案，加快推进城镇应急备用水源建设。采取已建水源工程提升、抗旱应急备用井、引调提水工程相结合的方式，通过科学配置和优化调度，发挥各类水源调节互补的抗旱作用，着力保障重点旱区乡镇居民的饮水安全，提高抗旱应急供水能力。</w:t>
      </w:r>
    </w:p>
    <w:p>
      <w:pPr>
        <w:ind w:firstLine="480"/>
      </w:pPr>
      <w:r>
        <w:br w:type="page"/>
      </w:r>
    </w:p>
    <w:p>
      <w:pPr>
        <w:pStyle w:val="5"/>
        <w:ind w:firstLine="602"/>
      </w:pPr>
      <w:bookmarkStart w:id="200" w:name="_Toc13205"/>
      <w:bookmarkStart w:id="201" w:name="_Toc12692"/>
      <w:bookmarkStart w:id="202" w:name="_Toc13572"/>
      <w:r>
        <w:t>8稳步推进，健全调控精准的智慧水利体系</w:t>
      </w:r>
      <w:bookmarkEnd w:id="200"/>
      <w:bookmarkEnd w:id="201"/>
      <w:bookmarkEnd w:id="202"/>
    </w:p>
    <w:p>
      <w:pPr>
        <w:ind w:firstLine="480"/>
      </w:pPr>
      <w:r>
        <w:t>以智慧水务引领水务现代化为目标，以大数据、互联网、云计算、人工智能等新技术为驱动，以建设基础设施、信息资源和应用支撑、应用服务、安全保障四大体系为抓手，加快推进智慧水务建设，着力以智慧水务引领水务现代化。</w:t>
      </w:r>
    </w:p>
    <w:p>
      <w:pPr>
        <w:pStyle w:val="6"/>
        <w:rPr>
          <w:szCs w:val="24"/>
        </w:rPr>
      </w:pPr>
      <w:bookmarkStart w:id="203" w:name="_Toc26390"/>
      <w:bookmarkStart w:id="204" w:name="_Toc31377"/>
      <w:bookmarkStart w:id="205" w:name="_Toc15110"/>
      <w:r>
        <w:rPr>
          <w:szCs w:val="24"/>
        </w:rPr>
        <w:t>8.1水利信息采集系统建设</w:t>
      </w:r>
      <w:bookmarkEnd w:id="203"/>
      <w:bookmarkEnd w:id="204"/>
      <w:bookmarkEnd w:id="205"/>
    </w:p>
    <w:p>
      <w:pPr>
        <w:ind w:firstLine="480"/>
      </w:pPr>
      <w:r>
        <w:t>“十四五”期间官渡区计划依托“十三五”时期建设的区级数据中心及监控、指挥系统建设成果进一步完善水利信息采集系统建设工程。</w:t>
      </w:r>
      <w:bookmarkStart w:id="206" w:name="_Toc15286"/>
    </w:p>
    <w:p>
      <w:pPr>
        <w:pStyle w:val="6"/>
        <w:rPr>
          <w:szCs w:val="24"/>
        </w:rPr>
      </w:pPr>
      <w:bookmarkStart w:id="207" w:name="_Toc31678"/>
      <w:bookmarkStart w:id="208" w:name="_Toc13796"/>
      <w:r>
        <w:rPr>
          <w:szCs w:val="24"/>
        </w:rPr>
        <w:t>8.2加快数据中心的建设</w:t>
      </w:r>
      <w:bookmarkEnd w:id="206"/>
      <w:bookmarkEnd w:id="207"/>
      <w:bookmarkEnd w:id="208"/>
    </w:p>
    <w:p>
      <w:pPr>
        <w:ind w:firstLine="480"/>
      </w:pPr>
      <w:r>
        <w:t>“十四五”期间官渡区计划依托市级系统进行区级水资源管理信息系统、防汛抗旱指挥调度系统、山洪灾害监测预警平台、水土保持监测系统、河湖长制管理系统、水利电子政务系统共6个系统的业务应用系统平台建设，纳入政务服务中心统一受理审批，依托“互联网+政务服务”平台，结合“一部手机办事通”，努力实现涉水事项“一窗办理”、“一网通办”。</w:t>
      </w:r>
    </w:p>
    <w:p>
      <w:pPr>
        <w:pStyle w:val="6"/>
        <w:rPr>
          <w:szCs w:val="24"/>
        </w:rPr>
      </w:pPr>
      <w:bookmarkStart w:id="209" w:name="_Toc5597"/>
      <w:bookmarkStart w:id="210" w:name="_Toc22252"/>
      <w:r>
        <w:rPr>
          <w:szCs w:val="24"/>
        </w:rPr>
        <w:t>8.3完善信息监测系统</w:t>
      </w:r>
      <w:bookmarkEnd w:id="209"/>
      <w:bookmarkEnd w:id="210"/>
    </w:p>
    <w:p>
      <w:pPr>
        <w:ind w:firstLine="480"/>
      </w:pPr>
      <w:r>
        <w:t>充分利用物联网和移动终端技术，按照加大监测密度、提升监测自动化程度的要求，完善雨情、水情、墒情、水利工程安全及运行等监测系统，地下水监测系统，工业企业用水量监测系统，生态流量监测系统，水土保持监测系统，形成全天候、多元化的信息采集系统，不断提高信息的完备性、真实性和时效性。</w:t>
      </w:r>
    </w:p>
    <w:p>
      <w:pPr>
        <w:ind w:firstLine="480"/>
      </w:pPr>
      <w:r>
        <w:t>（1）加强基本水情信息监测。结合防汛抗旱指挥系统建设、骨干河流治理、山洪灾害防治等，提升改造运行年限较长的雨情水情自动监测站点，在监测缺失或站点密度不足的地区新建雨情水情自动监测站点。</w:t>
      </w:r>
    </w:p>
    <w:p>
      <w:pPr>
        <w:ind w:firstLine="480"/>
      </w:pPr>
      <w:r>
        <w:t>（2）加强水资源监测。进一步拓展监测范围，基本实现取水口、引水口、提水泵站在线监测全覆盖。</w:t>
      </w:r>
    </w:p>
    <w:p>
      <w:pPr>
        <w:ind w:firstLine="480"/>
      </w:pPr>
      <w:r>
        <w:t>（3）加强地下水监测。以实施地下水监测工程为契机，提升改造老化的地下水监测站点，在监测缺失或站点密度不足的地区新建地下水监测站点。</w:t>
      </w:r>
    </w:p>
    <w:p>
      <w:pPr>
        <w:ind w:firstLine="480"/>
      </w:pPr>
      <w:r>
        <w:t>（4）加强水土保持监测。继续开展水土保持天地一体化建设，对已完成审批项目的水土保持防治责任范围进行矢量化，并录入全国水土保持监督管理系统。积极加强对水土保持监测站点的日常运行管理，明确管理人员，保障运行管理经费，组织开展定期监测工作，为更好的开展水土流失治理提供科学依据；结合</w:t>
      </w:r>
      <w:r>
        <w:rPr>
          <w:rFonts w:hint="eastAsia"/>
        </w:rPr>
        <w:t>昆明市</w:t>
      </w:r>
      <w:r>
        <w:t>水土保持规划，以提升改造为主，进一步完善水土保持监测体系。</w:t>
      </w:r>
    </w:p>
    <w:p>
      <w:pPr>
        <w:ind w:firstLine="480"/>
      </w:pPr>
      <w:r>
        <w:t>（5）加强水生态监测。入河排污口的水质监测及河道流量监测。将水质监测范围由河道扩展到沟渠，增加入滇河道监测断面数量，对涉及河长制考核的河流断面、</w:t>
      </w:r>
      <w:r>
        <w:rPr>
          <w:rFonts w:hint="eastAsia"/>
        </w:rPr>
        <w:t>滇池</w:t>
      </w:r>
      <w:r>
        <w:t>水体加强监测力度。建立健全水质监测网络，拓展生态补偿范围。按照统一的规范标准开展滇池流域外水质监测设施建设，逐步实现全区河道行政交界断面及重要支流入河口、水功能区水质监测全覆盖。</w:t>
      </w:r>
    </w:p>
    <w:p>
      <w:pPr>
        <w:ind w:firstLine="480"/>
      </w:pPr>
      <w:r>
        <w:t>（6）加强水利工程安全监测。提升改造现有水利工程的安全监测站点，在未进行安全监测的水利工程新建安全监测站点，到2025年，实现水闸、输水工程等水利工程安全自动监测全覆盖。</w:t>
      </w:r>
    </w:p>
    <w:p>
      <w:pPr>
        <w:ind w:firstLine="480"/>
      </w:pPr>
      <w:r>
        <w:t>（7）提升感知智能水平。加强遥感数据的水利专题产品的业务化应用，实现遥感监测的专题应用；完善生态流量、重点水利工程、行蓄洪空间、山洪灾害易发区、取水口等的视频监控系统，加强重点对象的可视化管理。应用无人机、遥控船、机器人等新型监测手段，补充对水利工程和管理活动的动态感知。</w:t>
      </w:r>
    </w:p>
    <w:p>
      <w:pPr>
        <w:ind w:firstLine="480"/>
      </w:pPr>
      <w:r>
        <w:t>（8）完善水务信息网及传输网络。加强光纤通信网络、无线互联网络、水利物联网、应急卫星通信网等的建设，完善信息采集及传输网络，不断扩充水务业务网络覆盖面和宽带。完善基础环境。完善水利综合会商中心，建设水资源管理、水行政监管功能于一体的水利综合会商中心；完善视频会议系统，建设高清视频会议云平台，为各类业务应用提供云视频资源。三是水利信息云建设。采用共享政府云服务、购置云服务、自建云服务等形式，建设以昆明市为主县（区）为辅的“水利信息云”系统。</w:t>
      </w:r>
    </w:p>
    <w:p>
      <w:pPr>
        <w:ind w:firstLine="480"/>
      </w:pPr>
      <w:r>
        <w:t>“十四五”期间官渡区计划完成</w:t>
      </w:r>
      <w:r>
        <w:rPr>
          <w:rFonts w:hint="eastAsia"/>
        </w:rPr>
        <w:t>1</w:t>
      </w:r>
      <w:r>
        <w:t>件水信息建设项目。</w:t>
      </w:r>
    </w:p>
    <w:p>
      <w:pPr>
        <w:ind w:firstLine="482"/>
        <w:jc w:val="center"/>
        <w:rPr>
          <w:b/>
          <w:bCs/>
        </w:rPr>
      </w:pPr>
    </w:p>
    <w:p>
      <w:pPr>
        <w:ind w:firstLine="482"/>
        <w:jc w:val="center"/>
        <w:rPr>
          <w:b/>
          <w:bCs/>
        </w:rPr>
      </w:pPr>
    </w:p>
    <w:p>
      <w:pPr>
        <w:ind w:firstLine="482"/>
        <w:jc w:val="center"/>
        <w:rPr>
          <w:b/>
          <w:bCs/>
        </w:rPr>
      </w:pPr>
    </w:p>
    <w:p>
      <w:pPr>
        <w:ind w:firstLine="482"/>
        <w:jc w:val="center"/>
        <w:rPr>
          <w:b/>
          <w:bCs/>
        </w:rPr>
      </w:pPr>
    </w:p>
    <w:p>
      <w:pPr>
        <w:pStyle w:val="6"/>
        <w:rPr>
          <w:szCs w:val="24"/>
        </w:rPr>
      </w:pPr>
      <w:bookmarkStart w:id="211" w:name="_Toc12128"/>
      <w:bookmarkStart w:id="212" w:name="_Toc30001"/>
      <w:r>
        <w:rPr>
          <w:szCs w:val="24"/>
        </w:rPr>
        <w:t>8.4完善应用服务系统</w:t>
      </w:r>
      <w:bookmarkEnd w:id="211"/>
      <w:bookmarkEnd w:id="212"/>
    </w:p>
    <w:p>
      <w:pPr>
        <w:ind w:firstLine="480"/>
      </w:pPr>
      <w:r>
        <w:t>依靠昆明市级的相关服务系统。完善业务应用系统。建立水供给安全保障系统、水防御安全保障系统、水生态安全保障系统、水文化安全保障系统、水信息安全保障系统、水管理安全保障系统、综合决策系统、电子政务系统八个业务应用系统，覆盖洪水、干旱、水利工程建设、水利工程安全运行、节水、水资源开发利用、城乡供水、江河湖泊、水土流失等九大业务和水务监督的信息化业务，全面提升精细管理、预测预报、分析评价与决策支持能力。建立一个公共服务系统建设。以推进政务公开、网上办事、信息发布为抓手，加强公共服务系统建设，提升水生态治理公共服务能力与水平，为公众提供方便、快捷、有效的服务</w:t>
      </w:r>
      <w:r>
        <w:rPr>
          <w:rFonts w:hint="eastAsia"/>
        </w:rPr>
        <w:t>。</w:t>
      </w:r>
    </w:p>
    <w:p>
      <w:pPr>
        <w:ind w:firstLine="480"/>
      </w:pPr>
      <w:r>
        <w:br w:type="page"/>
      </w:r>
    </w:p>
    <w:p>
      <w:pPr>
        <w:pStyle w:val="5"/>
        <w:ind w:firstLine="602"/>
      </w:pPr>
      <w:bookmarkStart w:id="213" w:name="_Toc25102"/>
      <w:bookmarkStart w:id="214" w:name="_Toc27728"/>
      <w:bookmarkStart w:id="215" w:name="_Toc8366"/>
      <w:r>
        <w:t>9提质增效，保障水工程安全</w:t>
      </w:r>
      <w:bookmarkEnd w:id="213"/>
      <w:bookmarkEnd w:id="214"/>
      <w:bookmarkEnd w:id="215"/>
    </w:p>
    <w:p>
      <w:pPr>
        <w:ind w:firstLine="480"/>
      </w:pPr>
      <w:r>
        <w:t>“十四五”期间，通过健全水利工程良性运行机制，合理划定工程管理与保护范围，落实水工程管护主体责任，健全工程维修养护机制，推动工程管理队伍专业化、规模化、规范化建设。</w:t>
      </w:r>
    </w:p>
    <w:p>
      <w:pPr>
        <w:pStyle w:val="6"/>
        <w:rPr>
          <w:rFonts w:eastAsiaTheme="minorEastAsia"/>
          <w:szCs w:val="24"/>
        </w:rPr>
      </w:pPr>
      <w:bookmarkStart w:id="216" w:name="_Toc11539"/>
      <w:bookmarkStart w:id="217" w:name="_Toc2512"/>
      <w:bookmarkStart w:id="218" w:name="_Toc4032"/>
      <w:r>
        <w:rPr>
          <w:rFonts w:eastAsiaTheme="minorEastAsia"/>
          <w:szCs w:val="24"/>
        </w:rPr>
        <w:t>9.1高质量建设水利基础设施网络</w:t>
      </w:r>
      <w:bookmarkEnd w:id="216"/>
      <w:bookmarkEnd w:id="217"/>
    </w:p>
    <w:p>
      <w:pPr>
        <w:ind w:firstLine="480"/>
      </w:pPr>
      <w:r>
        <w:t>特殊的水情决定了建设完备的水利基础设施网络的必要性，人均水资源量不足，涝灾害的威胁，水污染问题突出，水生态与生存发展环境受到挤压，这些新老水问题相互叠加，进一步加剧了官渡区水安全风险。要解决这些严峻的水问题，破解复杂水情对经济社会发展的制约，就必须建设较为完备的供水、防洪、生态等水利基础设施，形成功能系统完备的水利基础设施网络，为保障水安全提供有力的硬件支撑。</w:t>
      </w:r>
    </w:p>
    <w:p>
      <w:pPr>
        <w:ind w:firstLine="480"/>
      </w:pPr>
      <w:r>
        <w:t>官渡区应系统谋划、超前部署水利基础设施建设既为水利基础设施建设预留发展空间，也强化水对经济社会发展、生态环境保护的引导约束和协同保障，促进各类空间布局与水资源承载能力、防洪安全保障水平相适应。</w:t>
      </w:r>
    </w:p>
    <w:p>
      <w:pPr>
        <w:pStyle w:val="2"/>
        <w:rPr>
          <w:rFonts w:cs="Times New Roman"/>
          <w:szCs w:val="24"/>
        </w:rPr>
      </w:pPr>
      <w:bookmarkStart w:id="219" w:name="_Toc2072"/>
      <w:r>
        <w:rPr>
          <w:rFonts w:cs="Times New Roman"/>
          <w:szCs w:val="24"/>
        </w:rPr>
        <w:t>9.1.1统筹做好空间布局顶层设计</w:t>
      </w:r>
      <w:bookmarkEnd w:id="219"/>
    </w:p>
    <w:p>
      <w:pPr>
        <w:ind w:firstLine="480"/>
      </w:pPr>
      <w:r>
        <w:t>按照支撑建设现代化经济体系的要求，结合昆明市市主体功能区划和国土空间规划要求，围绕官渡区经济社会发展布局，协调各类空间布局，处理好水利基础设施建设与生态环境保护的关系。开展水利基础设施网络顶层设计工作，对水利基础设施网络超前谋篇布局，明确官渡区水利基础设施网络提质升级的目标、思路、标准、布局、任务和时序安排，指导下一步官渡区水利基础设施科学有序的建设。统筹做好“水资源、水生态、水环境、水安全”基础工作,以水为载体,拓展水服务功能,打造水景观、传承水文化、发展水产业、夯实水管理，实现“八水融合”，全面扩大涉水生态产品供给，触发将绿水青山转化为金山银山的经济新动能。</w:t>
      </w:r>
    </w:p>
    <w:bookmarkEnd w:id="218"/>
    <w:p>
      <w:pPr>
        <w:pStyle w:val="6"/>
        <w:rPr>
          <w:szCs w:val="24"/>
        </w:rPr>
      </w:pPr>
      <w:bookmarkStart w:id="220" w:name="_Toc12300"/>
      <w:bookmarkStart w:id="221" w:name="_Toc14170"/>
      <w:bookmarkStart w:id="222" w:name="_Toc14563"/>
      <w:r>
        <w:rPr>
          <w:szCs w:val="24"/>
        </w:rPr>
        <w:t>9.2推进工程调度运行管理现代化</w:t>
      </w:r>
      <w:bookmarkEnd w:id="220"/>
      <w:bookmarkEnd w:id="221"/>
    </w:p>
    <w:p>
      <w:pPr>
        <w:ind w:firstLine="480"/>
      </w:pPr>
      <w:r>
        <w:t>以点带面，加大投入，积极引进新技术、新方法，全面提升工程管理自动化、智能化水平，大力建设先进实用、决策科学、稳定可靠的运行管理信息化系统</w:t>
      </w:r>
    </w:p>
    <w:p>
      <w:pPr>
        <w:pStyle w:val="2"/>
        <w:rPr>
          <w:rFonts w:cs="Times New Roman"/>
          <w:szCs w:val="24"/>
        </w:rPr>
      </w:pPr>
      <w:bookmarkStart w:id="223" w:name="_Toc6746"/>
      <w:r>
        <w:rPr>
          <w:rFonts w:cs="Times New Roman"/>
          <w:szCs w:val="24"/>
        </w:rPr>
        <w:t>9.2.1提升水利工程运行管理信息化水平</w:t>
      </w:r>
      <w:bookmarkEnd w:id="223"/>
    </w:p>
    <w:p>
      <w:pPr>
        <w:ind w:firstLine="480"/>
      </w:pPr>
      <w:r>
        <w:t>加快工程运行控制自动化、决策智能化建设，逐步推动水利工程硬件设备更新换代与管理手段升级。建立水利工程运行管理应用系统，推动工程运行管理资源共享、优化运行。健全水利工程自动监控系统，提升水利工程的远程视频监视功能和协调管理能力。</w:t>
      </w:r>
    </w:p>
    <w:p>
      <w:pPr>
        <w:pStyle w:val="2"/>
        <w:rPr>
          <w:rFonts w:cs="Times New Roman"/>
          <w:szCs w:val="24"/>
        </w:rPr>
      </w:pPr>
      <w:bookmarkStart w:id="224" w:name="_Toc19806"/>
      <w:r>
        <w:rPr>
          <w:rFonts w:cs="Times New Roman"/>
          <w:szCs w:val="24"/>
        </w:rPr>
        <w:t>9.2.2加快建设江河湖库管理信息系统</w:t>
      </w:r>
      <w:bookmarkEnd w:id="224"/>
    </w:p>
    <w:p>
      <w:pPr>
        <w:ind w:firstLine="480"/>
      </w:pPr>
      <w:r>
        <w:t>充分利用遥感监测技术，实现骨干河道、重点堤防、湖泊及重点水利工程等实时动态监测、监视管理。</w:t>
      </w:r>
    </w:p>
    <w:p>
      <w:pPr>
        <w:pStyle w:val="2"/>
        <w:rPr>
          <w:rFonts w:cs="Times New Roman"/>
          <w:szCs w:val="24"/>
        </w:rPr>
      </w:pPr>
      <w:bookmarkStart w:id="225" w:name="_Toc21816"/>
      <w:r>
        <w:rPr>
          <w:rFonts w:cs="Times New Roman"/>
          <w:szCs w:val="24"/>
        </w:rPr>
        <w:t>9.2.3加快完善工程管理信息系统</w:t>
      </w:r>
      <w:bookmarkEnd w:id="225"/>
    </w:p>
    <w:p>
      <w:pPr>
        <w:ind w:firstLine="480"/>
      </w:pPr>
      <w:r>
        <w:t>加强互联互通的水利信息骨干网络建设，健全具有水利工程基础信息在线查询、统计分析等功能的工程信息数据库；注重基层管理单位和管理前站的网络布设，完善各级水管单位管理考核、达标创建、维修养护、日常管理等子系统，不断扩大信息网络覆盖率。</w:t>
      </w:r>
    </w:p>
    <w:p>
      <w:pPr>
        <w:pStyle w:val="6"/>
        <w:rPr>
          <w:szCs w:val="24"/>
        </w:rPr>
      </w:pPr>
      <w:bookmarkStart w:id="226" w:name="_Toc14056"/>
      <w:bookmarkStart w:id="227" w:name="_Toc21441"/>
      <w:r>
        <w:rPr>
          <w:szCs w:val="24"/>
        </w:rPr>
        <w:t>9.3提高工程安全风险防御能力</w:t>
      </w:r>
      <w:bookmarkEnd w:id="226"/>
      <w:bookmarkEnd w:id="227"/>
    </w:p>
    <w:p>
      <w:pPr>
        <w:pStyle w:val="2"/>
        <w:rPr>
          <w:rFonts w:cs="Times New Roman"/>
          <w:szCs w:val="24"/>
        </w:rPr>
      </w:pPr>
      <w:bookmarkStart w:id="228" w:name="_Toc21072"/>
      <w:r>
        <w:rPr>
          <w:rFonts w:cs="Times New Roman"/>
          <w:szCs w:val="24"/>
        </w:rPr>
        <w:t>9.3.1进一步加强供水应急保障体系建设</w:t>
      </w:r>
      <w:bookmarkEnd w:id="222"/>
      <w:bookmarkEnd w:id="228"/>
    </w:p>
    <w:p>
      <w:pPr>
        <w:ind w:firstLine="480"/>
      </w:pPr>
      <w:r>
        <w:t>为了应对水污染、工程事故事件带来的损失和负面影响，必须建立健全城镇供水风险应急保障系统，落实风险防范责任，完善各类风险防范措施。</w:t>
      </w:r>
    </w:p>
    <w:p>
      <w:pPr>
        <w:pStyle w:val="2"/>
        <w:rPr>
          <w:rFonts w:cs="Times New Roman"/>
          <w:szCs w:val="24"/>
        </w:rPr>
      </w:pPr>
      <w:bookmarkStart w:id="229" w:name="_Toc31264"/>
      <w:r>
        <w:rPr>
          <w:rFonts w:cs="Times New Roman"/>
          <w:szCs w:val="24"/>
        </w:rPr>
        <w:t>9.3.2定期开展应急保障体系演练</w:t>
      </w:r>
      <w:bookmarkEnd w:id="229"/>
    </w:p>
    <w:p>
      <w:pPr>
        <w:ind w:firstLine="480"/>
      </w:pPr>
      <w:r>
        <w:t>为了落实风险防范责任，熟练各类风险防范措施，确保分级预警体系和应急保障处置能够发挥效力，要定期组织开展应急保障体系演练。</w:t>
      </w:r>
    </w:p>
    <w:p>
      <w:pPr>
        <w:spacing w:line="480" w:lineRule="exact"/>
        <w:ind w:firstLine="480"/>
      </w:pPr>
      <w:r>
        <w:t>在演练过程中，根据预设情况，对水利工程运行状况及安全形势进行研判，一旦发生安全事件，及时发出安全预警，及时按程序报告，并抓紧妥善处置。根据储备的相应的应急救援物资</w:t>
      </w:r>
      <w:r>
        <w:rPr>
          <w:rFonts w:hint="eastAsia"/>
        </w:rPr>
        <w:t>等</w:t>
      </w:r>
      <w:r>
        <w:t>进行应急处置演练，确保相关人员熟悉应急流程、物资调度和供水保障有关内容。</w:t>
      </w:r>
    </w:p>
    <w:p>
      <w:pPr>
        <w:pStyle w:val="2"/>
        <w:spacing w:line="480" w:lineRule="exact"/>
        <w:rPr>
          <w:rFonts w:cs="Times New Roman"/>
          <w:szCs w:val="24"/>
        </w:rPr>
      </w:pPr>
      <w:bookmarkStart w:id="230" w:name="_Toc8775"/>
      <w:bookmarkStart w:id="231" w:name="_Toc18319"/>
      <w:r>
        <w:rPr>
          <w:rFonts w:cs="Times New Roman"/>
          <w:szCs w:val="24"/>
        </w:rPr>
        <w:t>9.3.3工程管养维护长效运行机制建设</w:t>
      </w:r>
      <w:bookmarkEnd w:id="230"/>
      <w:bookmarkEnd w:id="231"/>
    </w:p>
    <w:p>
      <w:pPr>
        <w:spacing w:line="480" w:lineRule="exact"/>
        <w:ind w:firstLine="480"/>
      </w:pPr>
      <w:r>
        <w:t>为了改变过去“重建轻管”的局面，推进水利工程管养维护长效运行机制的建设，“十四五”时期，将政府主导、市场化运作、企业化管理和公众参与相结合作为开展长效机制建设的基本模式和发展方向。</w:t>
      </w:r>
    </w:p>
    <w:p>
      <w:pPr>
        <w:spacing w:line="480" w:lineRule="exact"/>
        <w:ind w:firstLine="480"/>
      </w:pPr>
      <w:r>
        <w:t>在工程管养维护中要改变过去“大包大揽”的行为和思维，在建后管养中要充分汇集民智，采取政府购买服务、公办民营、民办公助、公私合营、租赁等管养形式，从根本上破解工程类民生工程项目“建得了、管不好”难题。</w:t>
      </w:r>
    </w:p>
    <w:p>
      <w:pPr>
        <w:pStyle w:val="2"/>
        <w:spacing w:line="480" w:lineRule="exact"/>
        <w:rPr>
          <w:rFonts w:cs="Times New Roman"/>
          <w:szCs w:val="24"/>
        </w:rPr>
      </w:pPr>
      <w:bookmarkStart w:id="232" w:name="_Toc25080"/>
      <w:r>
        <w:rPr>
          <w:rFonts w:cs="Times New Roman"/>
          <w:szCs w:val="24"/>
        </w:rPr>
        <w:t>9.3.4强化水利工程监管</w:t>
      </w:r>
      <w:bookmarkEnd w:id="232"/>
    </w:p>
    <w:p>
      <w:pPr>
        <w:spacing w:line="480" w:lineRule="exact"/>
        <w:ind w:firstLine="480"/>
      </w:pPr>
      <w:r>
        <w:t>改变官渡区水务工作长期以来“重建轻管”的思维方式，重点落实对水利工程开发建设过程中的质量的监管、落实对水利工程建设后的管养维护制度的监管、落实对水利工程投产运行后的安全鉴定和安全预案的监管、落实水利工程投产运行后的安全生产制度的监管，从而全面提升官渡区对辖区范围内水利工程设施的建设、管理、安全、生产的监管能力。</w:t>
      </w:r>
    </w:p>
    <w:p>
      <w:pPr>
        <w:numPr>
          <w:ilvl w:val="0"/>
          <w:numId w:val="12"/>
        </w:numPr>
        <w:spacing w:line="480" w:lineRule="exact"/>
        <w:ind w:left="0" w:firstLine="480"/>
      </w:pPr>
      <w:r>
        <w:t>加强水利工程建设监管</w:t>
      </w:r>
    </w:p>
    <w:p>
      <w:pPr>
        <w:spacing w:line="480" w:lineRule="exact"/>
        <w:ind w:firstLine="480"/>
      </w:pPr>
      <w:r>
        <w:t>按照水利工程“项目法人制、招投标制、工程监理制、合同管理制”四项制度强化水利工程建设监管工作，加强前期工作、“四制”执行、质量控制、安全生产、移民安置、工程验收等环节的监管，强化水利工程建设项目稽察成果的运用,健全水利市场信用机制，引导水利建设市场良性发展。</w:t>
      </w:r>
    </w:p>
    <w:p>
      <w:pPr>
        <w:numPr>
          <w:ilvl w:val="0"/>
          <w:numId w:val="12"/>
        </w:numPr>
        <w:spacing w:line="480" w:lineRule="exact"/>
        <w:ind w:left="0" w:firstLine="480"/>
      </w:pPr>
      <w:r>
        <w:t>加强水利工程运行监管</w:t>
      </w:r>
    </w:p>
    <w:p>
      <w:pPr>
        <w:spacing w:line="480" w:lineRule="exact"/>
        <w:ind w:firstLine="480"/>
      </w:pPr>
      <w:r>
        <w:t>完善水利工程运行管理制度和技术标准，加强对工程管护主体、管护人员和管护经费落实情况的监管；农村饮水工程要合理制定水价，足额收缴水费，建立良性运行机制，确保工程发挥效益。</w:t>
      </w:r>
    </w:p>
    <w:p>
      <w:pPr>
        <w:numPr>
          <w:ilvl w:val="0"/>
          <w:numId w:val="12"/>
        </w:numPr>
        <w:spacing w:line="480" w:lineRule="exact"/>
        <w:ind w:left="0" w:firstLine="480"/>
      </w:pPr>
      <w:r>
        <w:t>加强水利工程安全监管</w:t>
      </w:r>
    </w:p>
    <w:p>
      <w:pPr>
        <w:spacing w:line="480" w:lineRule="exact"/>
        <w:ind w:firstLine="480"/>
      </w:pPr>
      <w:r>
        <w:t>全面开展水利工程安全鉴定，摸清工程运行现状，及早消除安全隐患，确保工程安全运行。依法依规制定各类调度预案，科学实施</w:t>
      </w:r>
      <w:r>
        <w:rPr>
          <w:rFonts w:hint="eastAsia"/>
        </w:rPr>
        <w:t>河道</w:t>
      </w:r>
      <w:r>
        <w:t>工程防御洪水旱灾调度及应急水量调度，充分发挥水利工程减灾兴利效益。</w:t>
      </w:r>
    </w:p>
    <w:p>
      <w:pPr>
        <w:numPr>
          <w:ilvl w:val="0"/>
          <w:numId w:val="12"/>
        </w:numPr>
        <w:spacing w:line="480" w:lineRule="exact"/>
        <w:ind w:left="0" w:firstLine="480"/>
      </w:pPr>
      <w:r>
        <w:t>加强水利安全生产监管</w:t>
      </w:r>
    </w:p>
    <w:p>
      <w:pPr>
        <w:spacing w:line="480" w:lineRule="exact"/>
        <w:ind w:firstLine="480"/>
        <w:rPr>
          <w:rStyle w:val="32"/>
          <w:rFonts w:ascii="Times New Roman" w:hAnsi="Times New Roman"/>
          <w:sz w:val="24"/>
        </w:rPr>
      </w:pPr>
      <w:r>
        <w:t>按照国务院、省、市《关于推进安全生产领域改革发展的实施意见》的要求，全面推进水务行业安全生产领域改革发展，健全安全生产监管制度，提升安全生产监管能力。以农村饮水工程等为重点，加大对工程安全规范运行的监管；积极开展安全生产“七进”活动和“六项”行动，逐级建立安全生产监督管理机构和安全生产网格化监管责任清单，严格落实“一岗双责”责任制，完善水利安全责任体系建设。</w:t>
      </w:r>
      <w:r>
        <w:rPr>
          <w:rStyle w:val="32"/>
          <w:rFonts w:ascii="Times New Roman" w:hAnsi="Times New Roman"/>
          <w:sz w:val="24"/>
        </w:rPr>
        <w:br w:type="page"/>
      </w:r>
    </w:p>
    <w:p>
      <w:pPr>
        <w:pStyle w:val="5"/>
        <w:ind w:firstLine="602"/>
      </w:pPr>
      <w:bookmarkStart w:id="233" w:name="_Toc30119"/>
      <w:bookmarkStart w:id="234" w:name="_Toc5419"/>
      <w:bookmarkStart w:id="235" w:name="_Toc18167"/>
      <w:r>
        <w:t>10改革创新，推进水治理能力现代化</w:t>
      </w:r>
      <w:bookmarkEnd w:id="233"/>
      <w:bookmarkEnd w:id="234"/>
      <w:bookmarkEnd w:id="235"/>
    </w:p>
    <w:p>
      <w:pPr>
        <w:pStyle w:val="6"/>
        <w:rPr>
          <w:szCs w:val="24"/>
        </w:rPr>
      </w:pPr>
      <w:bookmarkStart w:id="236" w:name="_Toc25023"/>
      <w:bookmarkStart w:id="237" w:name="_Toc4295"/>
      <w:bookmarkStart w:id="238" w:name="_Toc15358"/>
      <w:r>
        <w:rPr>
          <w:szCs w:val="24"/>
        </w:rPr>
        <w:t>10.1</w:t>
      </w:r>
      <w:bookmarkEnd w:id="236"/>
      <w:r>
        <w:rPr>
          <w:szCs w:val="24"/>
        </w:rPr>
        <w:t>全面推进依法治水</w:t>
      </w:r>
      <w:bookmarkEnd w:id="237"/>
      <w:bookmarkEnd w:id="238"/>
    </w:p>
    <w:p>
      <w:pPr>
        <w:ind w:firstLine="480"/>
        <w:rPr>
          <w:rStyle w:val="32"/>
          <w:rFonts w:ascii="Times New Roman" w:hAnsi="Times New Roman"/>
          <w:sz w:val="24"/>
        </w:rPr>
      </w:pPr>
      <w:r>
        <w:t>严格依法治水管水，积极构建权责明晰、依法行政、办事高效、保障有力的水行政执法体系。深入推进水利依法行政。依法履行政府职能，继续转变职能、简政放权、加强监管，加快建立权力清单、责任清单，坚决防止“不作为”和“乱作为”，不断提高运用法治思维和法治方式推动水利改革发展的能力。健全依法决策机制，完善公众参与、专家论证、风险评估、合法性审查和集体讨论决定等决策程序，确保决策制度科学、程序正当、过程公开、责任明确。建立健全洪涝干旱灾害、突发水污染事件、水利安全生产事故等方面的应急反应机制，切实提高应对涉水突发事件的能力。强化水事纠纷预防排查，针对移涉水领域可能引发的矛盾纠纷，建立健全风险评估、预警研判和排查化解机制。提高水事纠纷调处能力，坚持属地为主、条块结合的水事纠纷调处机制，综合运用法律、政策、经济、行政等手段和教育、协商、疏导等办法，妥善处理和化解矛盾。加大水法宣传普及力度，定期开展水法培训，推动水利职工带头学法尊法守法用法，广泛开展群众性水法治文化活动，切实增强全社会的水法治意识和水法治观念</w:t>
      </w:r>
      <w:r>
        <w:rPr>
          <w:rStyle w:val="32"/>
          <w:rFonts w:ascii="Times New Roman" w:hAnsi="Times New Roman"/>
          <w:sz w:val="24"/>
        </w:rPr>
        <w:t>。</w:t>
      </w:r>
    </w:p>
    <w:p>
      <w:pPr>
        <w:pStyle w:val="6"/>
        <w:rPr>
          <w:szCs w:val="24"/>
        </w:rPr>
      </w:pPr>
      <w:bookmarkStart w:id="239" w:name="_Toc14716"/>
      <w:bookmarkStart w:id="240" w:name="_Toc4493"/>
      <w:r>
        <w:rPr>
          <w:szCs w:val="24"/>
        </w:rPr>
        <w:t>10.2落实政府水安全保障责任</w:t>
      </w:r>
      <w:bookmarkEnd w:id="239"/>
      <w:bookmarkEnd w:id="240"/>
    </w:p>
    <w:p>
      <w:pPr>
        <w:pStyle w:val="2"/>
      </w:pPr>
      <w:bookmarkStart w:id="241" w:name="_Toc23220"/>
      <w:r>
        <w:rPr>
          <w:rFonts w:hint="eastAsia"/>
        </w:rPr>
        <w:t>10.2.1</w:t>
      </w:r>
      <w:r>
        <w:t>强化组织领导</w:t>
      </w:r>
      <w:bookmarkEnd w:id="241"/>
    </w:p>
    <w:p>
      <w:pPr>
        <w:ind w:firstLine="480"/>
      </w:pPr>
      <w:r>
        <w:t>为全力谋划好昆明市官渡区“十四五”水安全保障规划，确保规划不仅具有较高的科学性、协调性、实用性和可操作性，不断提高人民群众生产生活质量，有效推动下一步官渡区水利事业改革发展，实行防汛抗旱、饮水安全保障、水资源管理等行政首长负责制。在机构设置、领导分工、干部配备上，要加强工作力量，主要领导要亲自抓，深入研究重大问题，集中解决突出矛盾。在谋划思路、制定规划、工作布局上，要把加快水利改革发展摆在突出位置，工作优先部署，投入重点保障，政策明显倾斜，措施大胆创新。在转变作风、狠抓落实、注重实效上，要求真务实、真抓实干，实行“一线工作法”，确保各项政策措施落到实处。</w:t>
      </w:r>
    </w:p>
    <w:p>
      <w:pPr>
        <w:ind w:firstLine="480"/>
      </w:pPr>
      <w:r>
        <w:t>各级水管部门要根据昆明市官渡区“十四五”水安全保障提出的要求，分解目标任务，明确责任分工，细化工作方案，合理配置公共资源，在绩效考核、责任落实、激励约束上，要把水利发展规划实施列入年度重点督查和责任考核事项。建立目标责任制和干部考核体系，逐级落实目标责任，将政策落实、资金筹措等情况作为主要考核内容，实行问责制。</w:t>
      </w:r>
    </w:p>
    <w:p>
      <w:pPr>
        <w:pStyle w:val="2"/>
      </w:pPr>
      <w:bookmarkStart w:id="242" w:name="_Toc5894"/>
      <w:r>
        <w:rPr>
          <w:rFonts w:hint="eastAsia"/>
        </w:rPr>
        <w:t>10.2.2</w:t>
      </w:r>
      <w:r>
        <w:t>明确工作职责</w:t>
      </w:r>
      <w:bookmarkEnd w:id="242"/>
    </w:p>
    <w:p>
      <w:pPr>
        <w:ind w:firstLine="480"/>
      </w:pPr>
      <w:r>
        <w:t>“十四五”水安全保障建设需要各有关部门和单位共同推进，为加快官渡区水务进展，实现预期目标，必须强化团结治水、合力兴水。水务部门要积极争取党政领导的重视和支持，加强与进展改革、财政、规划、国土、农业、住建等部门的协调配合，切实组织落实好水利建设投资、项目审批、环境影响评价、用地预审、移民安置等有关工作，落实规划确定的各项任务，确保各项水务任务落到实处。要搞好流域上下游与地方水务部门之间的协调配合，加强水务部门内部的团结协作，强化上下级之间的沟通联系，动员社会各方；建立规划实施的中期评估、检查和考核制度，将规划实施考核评估工作纳入规范化、制度化轨道；根据形势变化和规划执行情况及进度，适时进行必要的修订，避免偏离确定的原则和发展方向，增强实施规划的科学性和针对性；加强对规划实施、效果的检查评估，提升水务自身可持续发展能力和公共服务能力。</w:t>
      </w:r>
    </w:p>
    <w:p>
      <w:pPr>
        <w:pStyle w:val="6"/>
        <w:rPr>
          <w:szCs w:val="24"/>
        </w:rPr>
      </w:pPr>
      <w:bookmarkStart w:id="243" w:name="_Toc27696"/>
      <w:bookmarkStart w:id="244" w:name="_Toc4494"/>
      <w:r>
        <w:rPr>
          <w:szCs w:val="24"/>
        </w:rPr>
        <w:t>10.3充分发挥市场机制作用</w:t>
      </w:r>
      <w:bookmarkEnd w:id="243"/>
      <w:bookmarkEnd w:id="244"/>
    </w:p>
    <w:p>
      <w:pPr>
        <w:pStyle w:val="2"/>
      </w:pPr>
      <w:bookmarkStart w:id="245" w:name="_Toc6661"/>
      <w:r>
        <w:rPr>
          <w:rFonts w:hint="eastAsia"/>
        </w:rPr>
        <w:t>10.3.1</w:t>
      </w:r>
      <w:r>
        <w:t>健全水务投融资体制</w:t>
      </w:r>
      <w:bookmarkEnd w:id="245"/>
    </w:p>
    <w:p>
      <w:pPr>
        <w:ind w:firstLine="480"/>
      </w:pPr>
      <w:r>
        <w:t>加大公益性水务基础设施建设的政府投入力度。对水务企业的国有资产出让收益、经营权出让收益等，用于水务事业的进一步发展。创造良好的水务投资环境，加快形成向水务产业倾斜的投融资优惠政策和税收优惠政策，加大水务设施利用信贷资金、社会资金以及外资的力度。</w:t>
      </w:r>
    </w:p>
    <w:p>
      <w:pPr>
        <w:pStyle w:val="2"/>
      </w:pPr>
      <w:bookmarkStart w:id="246" w:name="_Toc25982"/>
      <w:r>
        <w:rPr>
          <w:rFonts w:hint="eastAsia"/>
        </w:rPr>
        <w:t>10.3.2</w:t>
      </w:r>
      <w:r>
        <w:t>推动水务市场产业化发展</w:t>
      </w:r>
      <w:bookmarkEnd w:id="246"/>
    </w:p>
    <w:p>
      <w:pPr>
        <w:ind w:firstLine="480"/>
      </w:pPr>
      <w:r>
        <w:t>加强政策引导，间接调控，强化监管，组织制定全面的产业发展规划，健全市场准入制度，引入公平竞争机制。遵循市场经济运行规律，建立科学合理的供水、污水处理等价格体系，整合水务产业结构，在坚持社会效益的前提下，积极探索水务产业化的有效途径，加快水务产业化进程，推动水务产业成为区域经济发展新的增长点。</w:t>
      </w:r>
    </w:p>
    <w:p>
      <w:pPr>
        <w:pStyle w:val="2"/>
      </w:pPr>
      <w:bookmarkStart w:id="247" w:name="_Toc11607"/>
      <w:r>
        <w:rPr>
          <w:rFonts w:hint="eastAsia"/>
        </w:rPr>
        <w:t>10.3.3</w:t>
      </w:r>
      <w:r>
        <w:t>同步推进水价改革，增强水管单位自身造血功能</w:t>
      </w:r>
      <w:bookmarkEnd w:id="247"/>
    </w:p>
    <w:p>
      <w:pPr>
        <w:ind w:firstLine="480"/>
      </w:pPr>
      <w:r>
        <w:t>水价改革是水管体制改革的一项重要内容。按照补偿成本、合理收益、节约用水、公平负担的原则，建立起合理的水价形成机制和水费计收方式。通过水价改革，增加水管单位水费收入，增强自身造血功能；促进水资源节约，推进节水型社会建设。</w:t>
      </w:r>
    </w:p>
    <w:p>
      <w:pPr>
        <w:pStyle w:val="2"/>
      </w:pPr>
      <w:bookmarkStart w:id="248" w:name="_Toc7017"/>
      <w:r>
        <w:rPr>
          <w:rFonts w:hint="eastAsia"/>
        </w:rPr>
        <w:t>10.3.4</w:t>
      </w:r>
      <w:r>
        <w:t>推进水利设施管养市场化运作</w:t>
      </w:r>
      <w:bookmarkEnd w:id="248"/>
    </w:p>
    <w:p>
      <w:pPr>
        <w:ind w:firstLine="480"/>
      </w:pPr>
      <w:r>
        <w:t>水利工程的某些要素可以通过合同、承包、补助、凭单、特许经营等形式由私营部门或机构完成，政府只需做制度性的安排或作为合伙方参与提供即可。按照“谁出资、谁受益”的市场化原则，推进小型水利工程的社会资本及多元化投入。市场化运作，能够有效理顺水利工程管理体制，便于政府集中精力于引导职能和监管职能，有助于实现管养分离，推进专业化运营进程、提升设施设备的专业化养护水平，并通过市场竞争激发活力，提高财政资金的实用效益，保证管养质量，确保工程效益的长效发挥。为积极引导和鼓励社会力量参与，水利工程建设中可以采用的市场化运作模式主要为设计施工总承包制、代建制、PPP模式等。</w:t>
      </w:r>
    </w:p>
    <w:p>
      <w:pPr>
        <w:pStyle w:val="6"/>
        <w:rPr>
          <w:szCs w:val="24"/>
        </w:rPr>
      </w:pPr>
      <w:bookmarkStart w:id="249" w:name="_Toc25703"/>
      <w:bookmarkStart w:id="250" w:name="_Toc29453"/>
      <w:bookmarkStart w:id="251" w:name="_Toc5053"/>
      <w:r>
        <w:rPr>
          <w:szCs w:val="24"/>
        </w:rPr>
        <w:t>10.4持续提升水利行业能力</w:t>
      </w:r>
      <w:bookmarkEnd w:id="249"/>
      <w:bookmarkEnd w:id="250"/>
    </w:p>
    <w:bookmarkEnd w:id="251"/>
    <w:p>
      <w:pPr>
        <w:pStyle w:val="2"/>
      </w:pPr>
      <w:bookmarkStart w:id="252" w:name="_Toc28294"/>
      <w:r>
        <w:rPr>
          <w:rFonts w:hint="eastAsia"/>
        </w:rPr>
        <w:t>10.4.1</w:t>
      </w:r>
      <w:r>
        <w:t>抓好干部教育培训工作</w:t>
      </w:r>
      <w:bookmarkEnd w:id="252"/>
    </w:p>
    <w:p>
      <w:pPr>
        <w:ind w:firstLine="480"/>
      </w:pPr>
      <w:r>
        <w:t>以习近平新时代中国特色社会主义思想教育培训作为首要任务，旗帜鲜明讲政治为根本要求，坚持联系实际、从严管理，提高培训针对性有效性，分类分级组织实施干部教育培训，提升各级各类干部人才的专业化能力，不断增强干部教育培训工作和生机活力，高质量教育培训干部、高水平服务全市水利事业发展。</w:t>
      </w:r>
    </w:p>
    <w:p>
      <w:pPr>
        <w:pStyle w:val="2"/>
      </w:pPr>
      <w:bookmarkStart w:id="253" w:name="_Toc32031"/>
      <w:r>
        <w:rPr>
          <w:rFonts w:hint="eastAsia"/>
        </w:rPr>
        <w:t>10.4.2</w:t>
      </w:r>
      <w:r>
        <w:t>做好人才引进、培养工作</w:t>
      </w:r>
      <w:bookmarkEnd w:id="253"/>
    </w:p>
    <w:p>
      <w:pPr>
        <w:ind w:firstLine="480"/>
      </w:pPr>
      <w:r>
        <w:t>以重大水利工程或科研专项为依托，加强水利科技创新人才特别是紧缺的复合型科技创新人才引进。坚持正确选人用人导向，坚持党管干部原则，严守干部选拔任用程序，不断改进识别干部办法，提升选人用人的质量和水平，从严从实管理监督干部，大力选拔任用忠诚干净担当的干部。坚持培养与引进并重，找准水利薄弱环节，继续实施“三支一扶”计划，探索水利员“村村通”工程和水利站“乡乡通”工程，做好水利“三支一扶”计划实施工作，改善基层水利人才短缺局面，扎实推动基层水利人才队伍建设。</w:t>
      </w:r>
    </w:p>
    <w:p>
      <w:pPr>
        <w:pStyle w:val="2"/>
      </w:pPr>
      <w:bookmarkStart w:id="254" w:name="_Toc30139"/>
      <w:r>
        <w:rPr>
          <w:rFonts w:hint="eastAsia"/>
        </w:rPr>
        <w:t>10.4.3</w:t>
      </w:r>
      <w:r>
        <w:t>建立科学的人才评价机制</w:t>
      </w:r>
      <w:bookmarkEnd w:id="254"/>
    </w:p>
    <w:p>
      <w:pPr>
        <w:spacing w:line="440" w:lineRule="exact"/>
        <w:ind w:firstLine="480"/>
      </w:pPr>
      <w:r>
        <w:t>树立科学的人才观，以公开、平等、竞争、择优为导向，注重实效，因人因地制宜，建立多元化的人才评价指标和体系。党政人才注重“群众公认”，经营管理人才注重“市场评价”，专业技术人才注重“同行公认”，技能人才注重“实际效益”，全面、客观、准确地反映各类人才的德才表现和工作实绩，促进各类优秀人才脱颖而出。</w:t>
      </w:r>
    </w:p>
    <w:p>
      <w:pPr>
        <w:pStyle w:val="2"/>
      </w:pPr>
      <w:bookmarkStart w:id="255" w:name="_Toc26721"/>
      <w:r>
        <w:rPr>
          <w:rFonts w:hint="eastAsia"/>
        </w:rPr>
        <w:t>10.4.4</w:t>
      </w:r>
      <w:r>
        <w:t>完善人才激励机制</w:t>
      </w:r>
      <w:bookmarkEnd w:id="255"/>
    </w:p>
    <w:p>
      <w:pPr>
        <w:spacing w:line="440" w:lineRule="exact"/>
        <w:ind w:firstLine="480"/>
      </w:pPr>
      <w:r>
        <w:t>坚持“以人为本”，重视情感激励，建立有效的政策和措施，实行有效激励，不断增强各类人才的成就感和责任感，激发各类人才的进取精神和竞争意识。</w:t>
      </w:r>
    </w:p>
    <w:p>
      <w:pPr>
        <w:pStyle w:val="2"/>
      </w:pPr>
      <w:bookmarkStart w:id="256" w:name="_Toc24043"/>
      <w:r>
        <w:rPr>
          <w:rFonts w:hint="eastAsia"/>
        </w:rPr>
        <w:t>10.4.5</w:t>
      </w:r>
      <w:r>
        <w:t>建立健全基层水务管理和服务体系</w:t>
      </w:r>
      <w:bookmarkEnd w:id="256"/>
    </w:p>
    <w:p>
      <w:pPr>
        <w:spacing w:line="440" w:lineRule="exact"/>
        <w:ind w:firstLine="480"/>
      </w:pPr>
      <w:r>
        <w:t>通过实施党政领导人才培训计划、水务技能人才评选、街道水管站站长培训等活动，推进各类人才队伍统筹协调发展，使一批水利高技能人才脱颖而出，在防汛抗旱、抗震救灾等紧要关头发挥重要作用；按照“村村有水管员、宗宗工程有人管”的工作要求，在每个社区落实若干名的水管员。水管员负责村级水务设施（村级河道、渠道、堤防、山塘、水闸、泵站和饮用水管网等）的日常巡查、管理和维护，农村水务突发事件应急处置和上报等工作。定期对水管员进行水务知识和相关操作培训，提高水管员应急处理能力。</w:t>
      </w:r>
    </w:p>
    <w:p>
      <w:pPr>
        <w:pStyle w:val="6"/>
        <w:rPr>
          <w:szCs w:val="24"/>
        </w:rPr>
      </w:pPr>
      <w:bookmarkStart w:id="257" w:name="_Toc13474"/>
      <w:bookmarkStart w:id="258" w:name="_Toc11274"/>
      <w:r>
        <w:rPr>
          <w:szCs w:val="24"/>
        </w:rPr>
        <w:t>10.5推进智慧水利建设</w:t>
      </w:r>
      <w:bookmarkEnd w:id="257"/>
      <w:bookmarkEnd w:id="258"/>
    </w:p>
    <w:p>
      <w:pPr>
        <w:numPr>
          <w:ilvl w:val="0"/>
          <w:numId w:val="13"/>
        </w:numPr>
        <w:ind w:left="0" w:firstLine="420" w:firstLineChars="0"/>
      </w:pPr>
      <w:r>
        <w:t>更新监测、预报设备。加强建设河流流域、实时水情接收、处理系统以及水情数据显示及查询系统、水文数据库；在原有雨量、水位的基础上增加水量水质、地下水、山地灾害等检测内容；提高预测预报能力，提高水文预报精度，增长预见期限，及时提供更加全面、准确的水文信息。</w:t>
      </w:r>
    </w:p>
    <w:p>
      <w:pPr>
        <w:numPr>
          <w:ilvl w:val="0"/>
          <w:numId w:val="13"/>
        </w:numPr>
        <w:ind w:left="0" w:firstLine="420" w:firstLineChars="0"/>
      </w:pPr>
      <w:r>
        <w:t>控制重点河流流域及区域的水污染、水环境恶化趋势，解决水污染造成的水资源短缺、引起的与水相关的生态环境恶化，加强水环境监控管理网络系统建设。</w:t>
      </w:r>
    </w:p>
    <w:p>
      <w:pPr>
        <w:numPr>
          <w:ilvl w:val="0"/>
          <w:numId w:val="13"/>
        </w:numPr>
        <w:ind w:left="0" w:firstLine="420" w:firstLineChars="0"/>
      </w:pPr>
      <w:r>
        <w:t>官渡区生态环境问题相对较为敏感，为有效地控制和减少水土流失，遏制生态环境恶化的趋势，加强水土流失监测、预警建设。</w:t>
      </w:r>
    </w:p>
    <w:p>
      <w:pPr>
        <w:pStyle w:val="5"/>
        <w:ind w:firstLine="602"/>
      </w:pPr>
      <w:r>
        <w:br w:type="page"/>
      </w:r>
      <w:bookmarkStart w:id="259" w:name="_Toc12264"/>
      <w:r>
        <w:rPr>
          <w:rStyle w:val="30"/>
          <w:rFonts w:hint="eastAsia"/>
          <w:b/>
          <w:bCs/>
        </w:rPr>
        <w:t xml:space="preserve">11 </w:t>
      </w:r>
      <w:r>
        <w:rPr>
          <w:rStyle w:val="30"/>
          <w:b/>
          <w:bCs/>
        </w:rPr>
        <w:t>规划项目环境影响评价</w:t>
      </w:r>
      <w:bookmarkEnd w:id="259"/>
    </w:p>
    <w:p>
      <w:pPr>
        <w:pStyle w:val="6"/>
      </w:pPr>
      <w:bookmarkStart w:id="260" w:name="_Toc10826"/>
      <w:r>
        <w:rPr>
          <w:rFonts w:hint="eastAsia"/>
        </w:rPr>
        <w:t>11.1</w:t>
      </w:r>
      <w:r>
        <w:t>规划协调性分析</w:t>
      </w:r>
      <w:bookmarkEnd w:id="260"/>
    </w:p>
    <w:p>
      <w:pPr>
        <w:numPr>
          <w:ilvl w:val="0"/>
          <w:numId w:val="14"/>
        </w:numPr>
        <w:ind w:left="0" w:firstLine="400" w:firstLineChars="0"/>
        <w:rPr>
          <w:b/>
          <w:bCs/>
        </w:rPr>
      </w:pPr>
      <w:r>
        <w:rPr>
          <w:b/>
          <w:bCs/>
        </w:rPr>
        <w:t>与国家层次法律法规的符合性分析</w:t>
      </w:r>
    </w:p>
    <w:p>
      <w:pPr>
        <w:ind w:firstLine="480"/>
      </w:pPr>
      <w:r>
        <w:t>本规划的编制符合《中华人民共和国环境保护法》、《中华人民共和国水土保持法》、《中华人民共和国水污染防治法》等涉及环境保护、水土保持、水污染防治等相关要求，同时上述各项法律、法规也是本次规划的编制依据，对规划编制具有重要的指导作用。</w:t>
      </w:r>
    </w:p>
    <w:p>
      <w:pPr>
        <w:numPr>
          <w:ilvl w:val="0"/>
          <w:numId w:val="14"/>
        </w:numPr>
        <w:ind w:left="0" w:firstLine="400" w:firstLineChars="0"/>
        <w:rPr>
          <w:b/>
          <w:bCs/>
        </w:rPr>
      </w:pPr>
      <w:r>
        <w:rPr>
          <w:b/>
          <w:bCs/>
        </w:rPr>
        <w:t xml:space="preserve">与《中华人民共和国自然保护区条例》的符合性分析 </w:t>
      </w:r>
    </w:p>
    <w:p>
      <w:pPr>
        <w:ind w:firstLine="480"/>
      </w:pPr>
      <w:r>
        <w:t>本次规划在工程的布局上，</w:t>
      </w:r>
      <w:r>
        <w:rPr>
          <w:rFonts w:hint="eastAsia"/>
        </w:rPr>
        <w:t>不涉及</w:t>
      </w:r>
      <w:r>
        <w:t>特殊生态敏感区。因此，不会对自然保护区的主要保护对象和生态系统的完整性产生直接影响。此外，通过对水资源统筹规划，能够缓解当地群众的生产生活对自然资源的依赖，在一定程度上减轻对这些自然保护区的干扰压力，促进流域可持续发展、维护区域生态环境。因此，本规划符合《中华人民共和国自然保护区条例》有关规定。</w:t>
      </w:r>
    </w:p>
    <w:p>
      <w:pPr>
        <w:numPr>
          <w:ilvl w:val="0"/>
          <w:numId w:val="14"/>
        </w:numPr>
        <w:ind w:left="0" w:firstLine="400" w:firstLineChars="0"/>
        <w:rPr>
          <w:b/>
          <w:bCs/>
        </w:rPr>
      </w:pPr>
      <w:r>
        <w:rPr>
          <w:b/>
          <w:bCs/>
        </w:rPr>
        <w:t>与《全国生态环境保护纲要》生态保护法规的符合性</w:t>
      </w:r>
    </w:p>
    <w:p>
      <w:pPr>
        <w:widowControl/>
        <w:ind w:firstLine="480"/>
        <w:jc w:val="left"/>
      </w:pPr>
      <w:r>
        <w:t>本次规划符合《全国生态环境保护纲要》提出的生态环境保护目标“通过生态环境保护，遏制生态环境破坏，减轻自然灾害的危害；促进自然资源的合理、科学利用，实现自然生态系统良性循环；维护国家生态环境安全，确保国民经济和社会的可持续发展”的要求，同时，也满足《全国生物物种资源保护与利用规划纲要》提出的总目标“使用现代科学技术和适用传统知识，保护生物多样性，保护物种及其栖息环境，持续利用生物物种及其遗传资源，公平分享因利用生物物种及遗传资源和相关传统知识产生的惠益，促进人与自然和谐共处”的要求。</w:t>
      </w:r>
    </w:p>
    <w:p>
      <w:pPr>
        <w:numPr>
          <w:ilvl w:val="0"/>
          <w:numId w:val="14"/>
        </w:numPr>
        <w:ind w:left="0" w:firstLine="400" w:firstLineChars="0"/>
        <w:rPr>
          <w:b/>
          <w:bCs/>
        </w:rPr>
      </w:pPr>
      <w:r>
        <w:rPr>
          <w:b/>
          <w:bCs/>
        </w:rPr>
        <w:t>与功能区划的协调性分析</w:t>
      </w:r>
    </w:p>
    <w:p>
      <w:pPr>
        <w:widowControl/>
        <w:numPr>
          <w:ilvl w:val="0"/>
          <w:numId w:val="15"/>
        </w:numPr>
        <w:ind w:left="0" w:firstLine="480"/>
        <w:jc w:val="left"/>
      </w:pPr>
      <w:r>
        <w:t>与国家及省区主体功能区划、生态功能区划协调性分析</w:t>
      </w:r>
    </w:p>
    <w:p>
      <w:pPr>
        <w:widowControl/>
        <w:ind w:firstLine="480"/>
        <w:jc w:val="left"/>
      </w:pPr>
      <w:r>
        <w:t>本次规划及布局力求保证区域经济及生态环境的可持续发展，与《国家主体功能区划》、《全国生态功能区划》、《云南省主体功能区划》、《云南省生态功能区划》的发展方向和原则相协调。</w:t>
      </w:r>
    </w:p>
    <w:p>
      <w:pPr>
        <w:widowControl/>
        <w:numPr>
          <w:ilvl w:val="0"/>
          <w:numId w:val="15"/>
        </w:numPr>
        <w:ind w:left="0" w:firstLine="480"/>
        <w:jc w:val="left"/>
      </w:pPr>
      <w:r>
        <w:t>与全国水功能区划的协调性</w:t>
      </w:r>
    </w:p>
    <w:p>
      <w:pPr>
        <w:ind w:firstLine="480"/>
      </w:pPr>
      <w:r>
        <w:t>规划内</w:t>
      </w:r>
      <w:r>
        <w:rPr>
          <w:rFonts w:hint="eastAsia"/>
        </w:rPr>
        <w:t>提出的水生态水环境任务任重道远</w:t>
      </w:r>
      <w:r>
        <w:t>。本规划中以入河排污控制量为控制目标，实施截污工程</w:t>
      </w:r>
      <w:r>
        <w:rPr>
          <w:rFonts w:hint="eastAsia"/>
        </w:rPr>
        <w:t>，</w:t>
      </w:r>
      <w:r>
        <w:t>在河道两侧完善城市排水管网系统，扩大污水管网覆盖率，提高污水收集率，杜绝污水直接排入河道；实施河道整治工程，增强护岸的景观效果及生态效果；改善流域局部污染现状，保持干流良好的水质状况，使水环境呈良性发展。</w:t>
      </w:r>
    </w:p>
    <w:p>
      <w:pPr>
        <w:ind w:firstLine="480"/>
      </w:pPr>
      <w:r>
        <w:t>因此，本规划与《全国重要江河湖泊水功能区划》具有较好的协调一致性</w:t>
      </w:r>
      <w:r>
        <w:rPr>
          <w:rFonts w:hint="eastAsia"/>
        </w:rPr>
        <w:t>。</w:t>
      </w:r>
    </w:p>
    <w:p>
      <w:pPr>
        <w:numPr>
          <w:ilvl w:val="0"/>
          <w:numId w:val="14"/>
        </w:numPr>
        <w:ind w:left="0" w:firstLine="400" w:firstLineChars="0"/>
        <w:rPr>
          <w:b/>
          <w:bCs/>
        </w:rPr>
      </w:pPr>
      <w:r>
        <w:rPr>
          <w:rFonts w:hint="eastAsia"/>
          <w:b/>
          <w:bCs/>
        </w:rPr>
        <w:t>与昆明市级工作部署的一致性分析</w:t>
      </w:r>
    </w:p>
    <w:p>
      <w:pPr>
        <w:ind w:firstLine="480"/>
      </w:pPr>
      <w:r>
        <w:rPr>
          <w:rFonts w:hint="eastAsia"/>
        </w:rPr>
        <w:t>本规划提出的官渡区</w:t>
      </w:r>
      <w:r>
        <w:t>落实绿色、创新、协调、开放、共享的发展理念，严格遵循“立、截、疏、修、调、保”六字方针，全面实施</w:t>
      </w:r>
      <w:r>
        <w:rPr>
          <w:rFonts w:hint="eastAsia"/>
        </w:rPr>
        <w:t>官渡区</w:t>
      </w:r>
      <w:r>
        <w:t>水环境综合整治，彻底整治城区水污染现象，</w:t>
      </w:r>
      <w:r>
        <w:rPr>
          <w:rFonts w:hint="eastAsia"/>
        </w:rPr>
        <w:t>与2019年7月昆明市人民政府发布的《昆明市人民政府办公室关于印发昆明市城市黑臭水体治理专项攻坚战实施方案的通知》中的工作任务和主要内容具有一致性。</w:t>
      </w:r>
    </w:p>
    <w:p>
      <w:pPr>
        <w:ind w:firstLine="480"/>
      </w:pPr>
      <w:r>
        <w:t>“十四五”时期</w:t>
      </w:r>
      <w:r>
        <w:rPr>
          <w:rFonts w:hint="eastAsia"/>
        </w:rPr>
        <w:t>，官渡区水环境方面主要补齐污水治理基础设施短板，重点实施城镇污水处理设施改造、配套管网建设等工程。水生态方面，坚持保护优先、自然恢复为主，修复受损河湖水生态系统，增强水生态系统韧性，重点实施河湖湿地修复与建设等工程，与昆明市滇管局2021年3月发布的《</w:t>
      </w:r>
      <w:r>
        <w:t>十四五”水生态环境保护有哪些新要求</w:t>
      </w:r>
      <w:r>
        <w:rPr>
          <w:rFonts w:hint="eastAsia"/>
        </w:rPr>
        <w:t>》相一致。</w:t>
      </w:r>
    </w:p>
    <w:p>
      <w:pPr>
        <w:ind w:firstLine="480"/>
      </w:pPr>
      <w:r>
        <w:t>因此，本规划与</w:t>
      </w:r>
      <w:r>
        <w:rPr>
          <w:rFonts w:hint="eastAsia"/>
        </w:rPr>
        <w:t>昆明市水生态水环境保护工作</w:t>
      </w:r>
      <w:r>
        <w:t>具有较好的一致性</w:t>
      </w:r>
      <w:r>
        <w:rPr>
          <w:rFonts w:hint="eastAsia"/>
        </w:rPr>
        <w:t>。</w:t>
      </w:r>
    </w:p>
    <w:p>
      <w:pPr>
        <w:pStyle w:val="6"/>
      </w:pPr>
      <w:bookmarkStart w:id="261" w:name="_Toc30499"/>
      <w:r>
        <w:rPr>
          <w:rFonts w:hint="eastAsia"/>
        </w:rPr>
        <w:t>11.2</w:t>
      </w:r>
      <w:r>
        <w:t>环境影响分析与评价</w:t>
      </w:r>
      <w:bookmarkEnd w:id="261"/>
    </w:p>
    <w:p>
      <w:pPr>
        <w:numPr>
          <w:ilvl w:val="0"/>
          <w:numId w:val="16"/>
        </w:numPr>
        <w:ind w:left="0" w:firstLine="400" w:firstLineChars="0"/>
        <w:rPr>
          <w:b/>
          <w:bCs/>
        </w:rPr>
      </w:pPr>
      <w:r>
        <w:rPr>
          <w:b/>
          <w:bCs/>
        </w:rPr>
        <w:t>规划实施对流域可持续发展的影响</w:t>
      </w:r>
    </w:p>
    <w:p>
      <w:pPr>
        <w:ind w:firstLine="480"/>
      </w:pPr>
      <w:r>
        <w:t>本规划的实施可增强区域防洪安全，可为</w:t>
      </w:r>
      <w:r>
        <w:rPr>
          <w:rFonts w:hint="eastAsia"/>
        </w:rPr>
        <w:t>官渡区</w:t>
      </w:r>
      <w:r>
        <w:t>生态和安全屏障提供有力的水利支撑和保障。规划的实施，可保障流域防洪安全，体现了以人为本的发展要求。通过加强水资源保护、水生态与环境保护，可促进生态保护与流域综合开发可持续发展</w:t>
      </w:r>
    </w:p>
    <w:p>
      <w:pPr>
        <w:numPr>
          <w:ilvl w:val="0"/>
          <w:numId w:val="16"/>
        </w:numPr>
        <w:ind w:left="0" w:firstLine="400" w:firstLineChars="0"/>
        <w:rPr>
          <w:b/>
          <w:bCs/>
        </w:rPr>
      </w:pPr>
      <w:r>
        <w:rPr>
          <w:b/>
          <w:bCs/>
        </w:rPr>
        <w:t>对生态环境的影响</w:t>
      </w:r>
    </w:p>
    <w:p>
      <w:pPr>
        <w:numPr>
          <w:ilvl w:val="0"/>
          <w:numId w:val="17"/>
        </w:numPr>
        <w:ind w:firstLine="480"/>
      </w:pPr>
      <w:r>
        <w:t>水生生态的影响</w:t>
      </w:r>
    </w:p>
    <w:p>
      <w:pPr>
        <w:ind w:firstLine="480"/>
      </w:pPr>
      <w:r>
        <w:t>评价区域不新建水库工程，不会改变鱼类栖息地的环境条件，阻碍鱼类集合间物种交流，因此，规划项目建设对鱼类资源无影响。</w:t>
      </w:r>
    </w:p>
    <w:p>
      <w:pPr>
        <w:numPr>
          <w:ilvl w:val="0"/>
          <w:numId w:val="17"/>
        </w:numPr>
        <w:ind w:firstLine="480"/>
      </w:pPr>
      <w:r>
        <w:t>陆生生态环境影响</w:t>
      </w:r>
    </w:p>
    <w:p>
      <w:pPr>
        <w:ind w:firstLine="480"/>
      </w:pPr>
      <w:r>
        <w:t>评价区域</w:t>
      </w:r>
      <w:r>
        <w:rPr>
          <w:rFonts w:hint="eastAsia"/>
        </w:rPr>
        <w:t>部分</w:t>
      </w:r>
      <w:r>
        <w:t>工程建设后植被类型将会发生变化，裸地及草地面积将减少，林地以及栽培植物面积将会增加。但是相对整合评价区域而言，工程建设占用的面积较少，不会对评价区域的植被类型发生大的改变。对陆生动物的影响主要分为有利和不利两个方面，其中不利影响主要表现为：</w:t>
      </w:r>
      <w:r>
        <w:rPr>
          <w:rFonts w:hint="eastAsia"/>
        </w:rPr>
        <w:t>由于生活环境的</w:t>
      </w:r>
      <w:r>
        <w:t>减少，可能会改变某些动物的生存和繁殖，人为活动的增加可能会出现</w:t>
      </w:r>
      <w:r>
        <w:rPr>
          <w:rFonts w:hint="eastAsia"/>
        </w:rPr>
        <w:t>部分</w:t>
      </w:r>
      <w:r>
        <w:t>陆生动物的</w:t>
      </w:r>
      <w:r>
        <w:rPr>
          <w:rFonts w:hint="eastAsia"/>
        </w:rPr>
        <w:t>死捕杀</w:t>
      </w:r>
      <w:r>
        <w:t>，减少动物数量。有利方面则主要是</w:t>
      </w:r>
      <w:r>
        <w:rPr>
          <w:rFonts w:hint="eastAsia"/>
        </w:rPr>
        <w:t>项目</w:t>
      </w:r>
      <w:r>
        <w:t>工程完成后将会增加地表植被</w:t>
      </w:r>
      <w:r>
        <w:rPr>
          <w:rFonts w:hint="eastAsia"/>
        </w:rPr>
        <w:t>覆盖面</w:t>
      </w:r>
      <w:r>
        <w:t>，进而给予评价区域陆生动物更好的栖息环境</w:t>
      </w:r>
      <w:r>
        <w:rPr>
          <w:rFonts w:hint="eastAsia"/>
        </w:rPr>
        <w:t>。</w:t>
      </w:r>
    </w:p>
    <w:p>
      <w:pPr>
        <w:pStyle w:val="6"/>
      </w:pPr>
      <w:bookmarkStart w:id="262" w:name="_Toc13003"/>
      <w:r>
        <w:rPr>
          <w:rFonts w:hint="eastAsia"/>
        </w:rPr>
        <w:t>11.3</w:t>
      </w:r>
      <w:r>
        <w:t>环境保护对策</w:t>
      </w:r>
      <w:bookmarkEnd w:id="262"/>
    </w:p>
    <w:p>
      <w:pPr>
        <w:numPr>
          <w:ilvl w:val="0"/>
          <w:numId w:val="18"/>
        </w:numPr>
        <w:ind w:left="0" w:firstLine="482"/>
        <w:rPr>
          <w:b/>
          <w:bCs/>
        </w:rPr>
      </w:pPr>
      <w:r>
        <w:rPr>
          <w:b/>
          <w:bCs/>
        </w:rPr>
        <w:t>水环境保护对策</w:t>
      </w:r>
    </w:p>
    <w:p>
      <w:pPr>
        <w:ind w:firstLine="480"/>
      </w:pPr>
      <w:r>
        <w:rPr>
          <w:rFonts w:hint="eastAsia"/>
        </w:rPr>
        <w:t>结合官渡区的</w:t>
      </w:r>
      <w:r>
        <w:t>规划</w:t>
      </w:r>
      <w:r>
        <w:rPr>
          <w:rFonts w:hint="eastAsia"/>
        </w:rPr>
        <w:t>项目情况</w:t>
      </w:r>
      <w:r>
        <w:t xml:space="preserve">完善城市排水系统，加快城区雨污分流系统的改造，结合城区发展规划加快开展污水处理厂建设。 </w:t>
      </w:r>
    </w:p>
    <w:p>
      <w:pPr>
        <w:ind w:firstLine="480"/>
      </w:pPr>
      <w:r>
        <w:t>城区工程建设应采取有效措施减缓或消除对环境的影响，实现工程建设与生态环境保护“三同时”。对排污单位发放排污许可证，制定</w:t>
      </w:r>
      <w:r>
        <w:rPr>
          <w:rFonts w:hint="eastAsia"/>
        </w:rPr>
        <w:t>官渡</w:t>
      </w:r>
      <w:r>
        <w:t>区《水污染排放物许可证管理实施细则》，对排污申报登记，许可证的审批、发放、监督管理等作出详细规定。</w:t>
      </w:r>
    </w:p>
    <w:p>
      <w:pPr>
        <w:numPr>
          <w:ilvl w:val="0"/>
          <w:numId w:val="18"/>
        </w:numPr>
        <w:ind w:left="0" w:firstLine="482"/>
        <w:rPr>
          <w:b/>
          <w:bCs/>
        </w:rPr>
      </w:pPr>
      <w:r>
        <w:rPr>
          <w:b/>
          <w:bCs/>
        </w:rPr>
        <w:t>生态保护措施</w:t>
      </w:r>
    </w:p>
    <w:p>
      <w:pPr>
        <w:numPr>
          <w:ilvl w:val="0"/>
          <w:numId w:val="19"/>
        </w:numPr>
        <w:ind w:left="0" w:firstLine="480"/>
      </w:pPr>
      <w:r>
        <w:t>陆生生态保护</w:t>
      </w:r>
    </w:p>
    <w:p>
      <w:pPr>
        <w:ind w:firstLine="480"/>
      </w:pPr>
      <w:r>
        <w:rPr>
          <w:rFonts w:hint="eastAsia"/>
        </w:rPr>
        <w:t>①</w:t>
      </w:r>
      <w:r>
        <w:t xml:space="preserve">在工程区开展可持续开发等生态环境保护宣传工作，为工程区域内的生态环境打造一个良好的社会环境和群众基础。 </w:t>
      </w:r>
    </w:p>
    <w:p>
      <w:pPr>
        <w:ind w:firstLine="480"/>
      </w:pPr>
      <w:r>
        <w:rPr>
          <w:rFonts w:hint="eastAsia"/>
        </w:rPr>
        <w:t>②</w:t>
      </w:r>
      <w:r>
        <w:t>严格控制占地范围，保护野生动植物生境。对于涉及到自然保护区的工程，应按照保护区的管理办法办理相关的批准手续。</w:t>
      </w:r>
    </w:p>
    <w:p>
      <w:pPr>
        <w:ind w:firstLine="480"/>
      </w:pPr>
      <w:r>
        <w:rPr>
          <w:rFonts w:hint="eastAsia"/>
        </w:rPr>
        <w:t>③</w:t>
      </w:r>
      <w:r>
        <w:t>水利工程规划建设中注意对河流自然形态的保护与修复，防洪工程措施尽可能保持河流的自然形态；河道堤防衬砌应多使用透水材料，以保持河流地表水与地下水的水力联系；从生态角度进行河道治理、堤防建设，采用生态材质、生态工法等方式合理安排改善河流水质和生态的生物措施。</w:t>
      </w:r>
    </w:p>
    <w:p>
      <w:pPr>
        <w:ind w:firstLine="480"/>
      </w:pPr>
      <w:r>
        <w:rPr>
          <w:rFonts w:hint="eastAsia"/>
        </w:rPr>
        <w:t>④</w:t>
      </w:r>
      <w:r>
        <w:t>涉及自然保护区和湿地</w:t>
      </w:r>
      <w:r>
        <w:rPr>
          <w:rFonts w:hint="eastAsia"/>
        </w:rPr>
        <w:t>的</w:t>
      </w:r>
      <w:r>
        <w:t>开发利用行为，要遵守《中华人民共和国自然保护区条例》和湿地管理和保护条例的规定。</w:t>
      </w:r>
    </w:p>
    <w:p>
      <w:pPr>
        <w:ind w:firstLine="480"/>
      </w:pPr>
      <w:r>
        <w:rPr>
          <w:rFonts w:hint="eastAsia"/>
        </w:rPr>
        <w:t>⑤</w:t>
      </w:r>
      <w:r>
        <w:t>在水利工程设计阶段，严格环境准入要求和环评审批，严禁违规建设，协调上下游用水要求，保障下游生态用水</w:t>
      </w:r>
      <w:r>
        <w:rPr>
          <w:rFonts w:hint="eastAsia"/>
        </w:rPr>
        <w:t>。</w:t>
      </w:r>
    </w:p>
    <w:p>
      <w:pPr>
        <w:numPr>
          <w:ilvl w:val="0"/>
          <w:numId w:val="19"/>
        </w:numPr>
        <w:ind w:left="0" w:firstLine="480"/>
      </w:pPr>
      <w:r>
        <w:t>水生生态保护措施</w:t>
      </w:r>
    </w:p>
    <w:p>
      <w:pPr>
        <w:ind w:firstLine="480"/>
      </w:pPr>
      <w:r>
        <w:rPr>
          <w:rFonts w:hint="eastAsia"/>
        </w:rPr>
        <w:t>①</w:t>
      </w:r>
      <w:r>
        <w:t>做好鱼类资源的保护和宣传工作。环保部门加强对水生生态水域环境的保护。</w:t>
      </w:r>
    </w:p>
    <w:p>
      <w:pPr>
        <w:ind w:firstLine="480"/>
      </w:pPr>
      <w:r>
        <w:rPr>
          <w:rFonts w:hint="eastAsia"/>
        </w:rPr>
        <w:t>②</w:t>
      </w:r>
      <w:r>
        <w:t>对于重要断面生态水量的保障，应加强流域水资源管理，实行最严格的水资源管理制度，保证河流合理生态流量，防止河道的脱流或断流；加强用水管理，实行严格的取用水管理制度，建设节水型社会，强化生活和工业节水，因地制宜发展节水农业，提高用水效率，保障生态用水</w:t>
      </w:r>
      <w:r>
        <w:rPr>
          <w:rFonts w:hint="eastAsia"/>
        </w:rPr>
        <w:t>。</w:t>
      </w:r>
    </w:p>
    <w:p>
      <w:pPr>
        <w:pStyle w:val="6"/>
      </w:pPr>
      <w:bookmarkStart w:id="263" w:name="_Toc22193"/>
      <w:r>
        <w:rPr>
          <w:rFonts w:hint="eastAsia"/>
        </w:rPr>
        <w:t>11.4</w:t>
      </w:r>
      <w:r>
        <w:t>评价结论及建议</w:t>
      </w:r>
      <w:bookmarkEnd w:id="263"/>
    </w:p>
    <w:p>
      <w:pPr>
        <w:ind w:firstLine="480"/>
      </w:pPr>
      <w:r>
        <w:t>昆明</w:t>
      </w:r>
      <w:r>
        <w:rPr>
          <w:rFonts w:hint="eastAsia"/>
        </w:rPr>
        <w:t>市官渡区</w:t>
      </w:r>
      <w:r>
        <w:t>“十四五”水安全保障规划的主要任务为解决流域防洪保障能力不足、生态环境恶化和信息化建设、管理能力薄弱等问题。规划实施后将带来显著的经济效益、社会效益和环境效益，有助于维系流域生态健康，水生态系统得到有效保护，以水资源的合理和可持续利用支撑流域经济社会的可持续发展。</w:t>
      </w:r>
    </w:p>
    <w:p>
      <w:pPr>
        <w:ind w:firstLine="480"/>
      </w:pPr>
      <w:r>
        <w:t xml:space="preserve">总体上，本规划与各层次的规划具有很好的协调一致性，起到互相协助促进的作用，有助于规划任务与目标的实现。 </w:t>
      </w:r>
    </w:p>
    <w:p>
      <w:pPr>
        <w:ind w:firstLine="480"/>
      </w:pPr>
      <w:r>
        <w:t>从环境合理性的角度看，规划各方案产生的环境影响均在可接受范围之内，在生态与环境方面不存在明显制约因素，推荐的规划方案基本可行。</w:t>
      </w:r>
    </w:p>
    <w:p>
      <w:pPr>
        <w:ind w:firstLine="480"/>
      </w:pPr>
      <w:r>
        <w:br w:type="page"/>
      </w:r>
    </w:p>
    <w:p>
      <w:pPr>
        <w:pStyle w:val="5"/>
        <w:ind w:firstLine="602"/>
      </w:pPr>
      <w:bookmarkStart w:id="264" w:name="_Toc28179"/>
      <w:bookmarkStart w:id="265" w:name="_Toc7115"/>
      <w:r>
        <w:t>1</w:t>
      </w:r>
      <w:r>
        <w:rPr>
          <w:rFonts w:hint="eastAsia"/>
        </w:rPr>
        <w:t>2</w:t>
      </w:r>
      <w:r>
        <w:t>投资匡算</w:t>
      </w:r>
      <w:bookmarkEnd w:id="264"/>
      <w:bookmarkEnd w:id="265"/>
    </w:p>
    <w:p>
      <w:pPr>
        <w:pStyle w:val="6"/>
        <w:rPr>
          <w:szCs w:val="24"/>
        </w:rPr>
      </w:pPr>
      <w:bookmarkStart w:id="266" w:name="_Toc18332"/>
      <w:bookmarkStart w:id="267" w:name="_Toc2094"/>
      <w:r>
        <w:rPr>
          <w:szCs w:val="24"/>
        </w:rPr>
        <w:t>1</w:t>
      </w:r>
      <w:r>
        <w:rPr>
          <w:rFonts w:hint="eastAsia"/>
          <w:szCs w:val="24"/>
        </w:rPr>
        <w:t>2</w:t>
      </w:r>
      <w:r>
        <w:rPr>
          <w:szCs w:val="24"/>
        </w:rPr>
        <w:t>.1投资匡算</w:t>
      </w:r>
      <w:bookmarkEnd w:id="266"/>
      <w:bookmarkEnd w:id="267"/>
    </w:p>
    <w:p>
      <w:pPr>
        <w:pStyle w:val="2"/>
        <w:rPr>
          <w:rFonts w:cs="Times New Roman"/>
          <w:szCs w:val="24"/>
        </w:rPr>
      </w:pPr>
      <w:bookmarkStart w:id="268" w:name="_Toc8482"/>
      <w:r>
        <w:rPr>
          <w:rFonts w:cs="Times New Roman" w:eastAsiaTheme="minorEastAsia"/>
          <w:szCs w:val="24"/>
        </w:rPr>
        <w:t>1</w:t>
      </w:r>
      <w:r>
        <w:rPr>
          <w:rFonts w:hint="eastAsia" w:cs="Times New Roman" w:eastAsiaTheme="minorEastAsia"/>
          <w:szCs w:val="24"/>
        </w:rPr>
        <w:t>2</w:t>
      </w:r>
      <w:r>
        <w:rPr>
          <w:rFonts w:cs="Times New Roman"/>
          <w:szCs w:val="24"/>
        </w:rPr>
        <w:t>.1.1编制依据</w:t>
      </w:r>
      <w:bookmarkEnd w:id="268"/>
    </w:p>
    <w:p>
      <w:pPr>
        <w:ind w:firstLine="480"/>
      </w:pPr>
      <w:r>
        <w:t>（1）水利部水总〔2014〕429号文颁发的《水利工程设计概(估)算编制规定》；</w:t>
      </w:r>
    </w:p>
    <w:p>
      <w:pPr>
        <w:ind w:firstLine="480"/>
      </w:pPr>
      <w:r>
        <w:t>（2）水利部办公厅办水总〔2016〕132号文颁发的《水利工程营业税改征增值税计价依据调整办法》；</w:t>
      </w:r>
    </w:p>
    <w:p>
      <w:pPr>
        <w:ind w:firstLine="480"/>
      </w:pPr>
      <w:r>
        <w:t>（3）云南省水利厅云南省发展和改革委员会云水规计〔2016〕171号文颁发的《云南省水利工程营业税改征增值税计价依据调整办法》；</w:t>
      </w:r>
    </w:p>
    <w:p>
      <w:pPr>
        <w:ind w:firstLine="480"/>
      </w:pPr>
      <w:r>
        <w:t>（4）水利部水总〔2002〕116号文颁发的《水利建筑工程概算定额》、《水利工程施工机械台时定额》；</w:t>
      </w:r>
    </w:p>
    <w:p>
      <w:pPr>
        <w:ind w:firstLine="480"/>
      </w:pPr>
      <w:r>
        <w:t>（5）水利部水总〔2005〕389号文颁发的《水利工程概预算补充定额》；</w:t>
      </w:r>
    </w:p>
    <w:p>
      <w:pPr>
        <w:ind w:firstLine="480"/>
      </w:pPr>
      <w:r>
        <w:t>（6）水利部水建管〔1999〕523号文颁发的《水利水电设备安装工程概算定额》；</w:t>
      </w:r>
    </w:p>
    <w:p>
      <w:pPr>
        <w:ind w:firstLine="480"/>
      </w:pPr>
      <w:r>
        <w:t>（</w:t>
      </w:r>
      <w:r>
        <w:rPr>
          <w:rFonts w:hint="eastAsia"/>
        </w:rPr>
        <w:t>7</w:t>
      </w:r>
      <w:r>
        <w:t xml:space="preserve">）建设部《全国市政工程投资估算指标》建标[2007]163 号文； </w:t>
      </w:r>
    </w:p>
    <w:p>
      <w:pPr>
        <w:ind w:firstLine="480"/>
      </w:pPr>
      <w:r>
        <w:t>（</w:t>
      </w:r>
      <w:r>
        <w:rPr>
          <w:rFonts w:hint="eastAsia"/>
        </w:rPr>
        <w:t>8</w:t>
      </w:r>
      <w:r>
        <w:t xml:space="preserve">）建设部《市政工程投资估算编制办法》建标[2007]164 号文； </w:t>
      </w:r>
    </w:p>
    <w:p>
      <w:pPr>
        <w:ind w:firstLine="480"/>
      </w:pPr>
      <w:r>
        <w:t>（</w:t>
      </w:r>
      <w:r>
        <w:rPr>
          <w:rFonts w:hint="eastAsia"/>
        </w:rPr>
        <w:t>9</w:t>
      </w:r>
      <w:r>
        <w:t xml:space="preserve">）《建设工程工程量清单计价规范》GB50500-2013； </w:t>
      </w:r>
    </w:p>
    <w:p>
      <w:pPr>
        <w:ind w:firstLine="480"/>
      </w:pPr>
      <w:r>
        <w:t>（</w:t>
      </w:r>
      <w:r>
        <w:rPr>
          <w:rFonts w:hint="eastAsia"/>
        </w:rPr>
        <w:t>10</w:t>
      </w:r>
      <w:r>
        <w:t>）《云南省建筑、安装、市政工程消耗量定额》（2013 年版）；</w:t>
      </w:r>
    </w:p>
    <w:p>
      <w:pPr>
        <w:ind w:firstLine="480"/>
      </w:pPr>
      <w:r>
        <w:t>（1</w:t>
      </w:r>
      <w:r>
        <w:rPr>
          <w:rFonts w:hint="eastAsia"/>
        </w:rPr>
        <w:t>1</w:t>
      </w:r>
      <w:r>
        <w:t>）工程勘察费、设计费、施工图预算编制费、竣工图编制费、施工图审土费按发改价格[2015]299号文及国家计委建设部价格（2002）10号文；</w:t>
      </w:r>
    </w:p>
    <w:p>
      <w:pPr>
        <w:ind w:firstLine="480"/>
      </w:pPr>
      <w:r>
        <w:t>（1</w:t>
      </w:r>
      <w:r>
        <w:rPr>
          <w:rFonts w:hint="eastAsia"/>
        </w:rPr>
        <w:t>2</w:t>
      </w:r>
      <w:r>
        <w:t>）环境影响咨询服务费按国家计委、国家环保总局计价格[2002]125号；</w:t>
      </w:r>
    </w:p>
    <w:p>
      <w:pPr>
        <w:ind w:firstLine="480"/>
      </w:pPr>
      <w:r>
        <w:t>（1</w:t>
      </w:r>
      <w:r>
        <w:rPr>
          <w:rFonts w:hint="eastAsia"/>
        </w:rPr>
        <w:t>3</w:t>
      </w:r>
      <w:r>
        <w:t>）人工费按云建标[2018]47号文有关规定计取；</w:t>
      </w:r>
    </w:p>
    <w:p>
      <w:pPr>
        <w:ind w:firstLine="480"/>
      </w:pPr>
      <w:r>
        <w:t>（1</w:t>
      </w:r>
      <w:r>
        <w:rPr>
          <w:rFonts w:hint="eastAsia"/>
        </w:rPr>
        <w:t>4</w:t>
      </w:r>
      <w:r>
        <w:t>）生产准备费、办公及生活用家具购置费按建标[2007]164号文计取；</w:t>
      </w:r>
    </w:p>
    <w:p>
      <w:pPr>
        <w:ind w:firstLine="480"/>
      </w:pPr>
      <w:r>
        <w:t>（1</w:t>
      </w:r>
      <w:r>
        <w:rPr>
          <w:rFonts w:hint="eastAsia"/>
        </w:rPr>
        <w:t>5</w:t>
      </w:r>
      <w:r>
        <w:t>）环保投资按工程部分投资的0.5%计列、水保投资按工程部分投资的1.5%计列；</w:t>
      </w:r>
    </w:p>
    <w:p>
      <w:pPr>
        <w:ind w:firstLine="480"/>
      </w:pPr>
      <w:r>
        <w:t>（</w:t>
      </w:r>
      <w:r>
        <w:rPr>
          <w:rFonts w:hint="eastAsia"/>
        </w:rPr>
        <w:t>16</w:t>
      </w:r>
      <w:r>
        <w:t>）云南省2021年</w:t>
      </w:r>
      <w:r>
        <w:rPr>
          <w:rFonts w:hint="eastAsia"/>
        </w:rPr>
        <w:t>2</w:t>
      </w:r>
      <w:r>
        <w:t>季度《价格信息》和《价格指导》。</w:t>
      </w:r>
    </w:p>
    <w:p>
      <w:pPr>
        <w:pStyle w:val="2"/>
        <w:rPr>
          <w:rFonts w:cs="Times New Roman"/>
          <w:szCs w:val="24"/>
        </w:rPr>
      </w:pPr>
      <w:bookmarkStart w:id="269" w:name="_Toc21147"/>
      <w:r>
        <w:rPr>
          <w:rFonts w:cs="Times New Roman" w:eastAsiaTheme="minorEastAsia"/>
          <w:szCs w:val="24"/>
        </w:rPr>
        <w:t>1</w:t>
      </w:r>
      <w:r>
        <w:rPr>
          <w:rFonts w:hint="eastAsia" w:cs="Times New Roman" w:eastAsiaTheme="minorEastAsia"/>
          <w:szCs w:val="24"/>
        </w:rPr>
        <w:t>2</w:t>
      </w:r>
      <w:r>
        <w:rPr>
          <w:rFonts w:cs="Times New Roman"/>
          <w:szCs w:val="24"/>
        </w:rPr>
        <w:t>.1.2工程投资匡算</w:t>
      </w:r>
      <w:bookmarkEnd w:id="269"/>
    </w:p>
    <w:p>
      <w:pPr>
        <w:pStyle w:val="38"/>
        <w:spacing w:line="520" w:lineRule="exact"/>
        <w:ind w:firstLine="480"/>
        <w:rPr>
          <w:color w:val="auto"/>
          <w:szCs w:val="24"/>
        </w:rPr>
      </w:pPr>
      <w:r>
        <w:rPr>
          <w:color w:val="auto"/>
          <w:szCs w:val="24"/>
        </w:rPr>
        <w:t>本次昆明市官渡区“十四五”水安全保障规划投资匡算采用的测算方法为：根据“十三五”规划和研究成果，依据同类型已经完工的工程采用单位投资估算法，并按2021年</w:t>
      </w:r>
      <w:r>
        <w:rPr>
          <w:rFonts w:hint="eastAsia"/>
          <w:color w:val="auto"/>
          <w:szCs w:val="24"/>
        </w:rPr>
        <w:t>2</w:t>
      </w:r>
      <w:r>
        <w:rPr>
          <w:color w:val="auto"/>
          <w:szCs w:val="24"/>
        </w:rPr>
        <w:t>季度物价水平适当考虑物价变化的弹性系数，并考虑本阶段属规划阶段，缺少设计成果支撑，按本阶段设计深度取相应扩大系数，对“十四五”期间的</w:t>
      </w:r>
      <w:r>
        <w:rPr>
          <w:rFonts w:hint="eastAsia"/>
          <w:color w:val="auto"/>
          <w:szCs w:val="24"/>
        </w:rPr>
        <w:t>规划</w:t>
      </w:r>
      <w:r>
        <w:rPr>
          <w:color w:val="auto"/>
          <w:szCs w:val="24"/>
        </w:rPr>
        <w:t>工程和</w:t>
      </w:r>
      <w:r>
        <w:rPr>
          <w:rFonts w:hint="eastAsia"/>
          <w:color w:val="auto"/>
          <w:szCs w:val="24"/>
        </w:rPr>
        <w:t>相关</w:t>
      </w:r>
      <w:r>
        <w:rPr>
          <w:color w:val="auto"/>
          <w:szCs w:val="24"/>
        </w:rPr>
        <w:t>水利问题研究所需投资作出初步匡算。</w:t>
      </w:r>
    </w:p>
    <w:p>
      <w:pPr>
        <w:pStyle w:val="6"/>
        <w:rPr>
          <w:szCs w:val="24"/>
        </w:rPr>
      </w:pPr>
      <w:bookmarkStart w:id="270" w:name="_Toc29373"/>
      <w:bookmarkStart w:id="271" w:name="_Toc8477"/>
      <w:r>
        <w:rPr>
          <w:szCs w:val="24"/>
        </w:rPr>
        <w:t>1</w:t>
      </w:r>
      <w:r>
        <w:rPr>
          <w:rFonts w:hint="eastAsia"/>
          <w:szCs w:val="24"/>
        </w:rPr>
        <w:t>2</w:t>
      </w:r>
      <w:r>
        <w:rPr>
          <w:szCs w:val="24"/>
        </w:rPr>
        <w:t>.2资金筹措</w:t>
      </w:r>
      <w:bookmarkEnd w:id="270"/>
      <w:bookmarkEnd w:id="271"/>
    </w:p>
    <w:p>
      <w:pPr>
        <w:ind w:firstLine="480"/>
      </w:pPr>
      <w:r>
        <w:t>本次昆明市官渡区“十四五”水安全保障规划涉及工程项目建设资金以官渡区地方政府为主负责落实。由于本次工程总投资量较大，官渡区虽是昆明市经济基础较强大的县区，但仅靠政府的投入很难满足需求，必须要创新工程投融资机制，鼓励和吸引社会资本参与工程建设和运行管理，多渠道落实工程建设资金和运行管护经费，确保工程长期良性运行。即由主要依靠财政投入向政府引导、广泛吸引各类社会资金等多形式、多渠道措施建设资金方式转变，积极引进社会资本参与工程建设和运行管护，构建助力官渡区水务健康快速发展的投融资模式。坚持统一规划、科学引导、积极扶持、规范监管、公平对待、保障权益的原则，鼓励和引导社会资本参与具备盈利可能的水利项目的建设。例如城乡饮水安全工程中的集中式供水工程，可根据集中供水工程有一定收益，且水费收取率亦相对较高，比农灌工程有优势的特点，抓好体制机制创新，广泛吸引社会资本和市场主体参与农村供水工程建设和管理。</w:t>
      </w:r>
    </w:p>
    <w:p>
      <w:pPr>
        <w:ind w:firstLine="480"/>
      </w:pPr>
      <w:r>
        <w:t>总来来看，昆明市官渡区“十四五”水安全保障规划工程项目的投资来源为：积极争取中央、省级、市级专项资金支持，不足部分由区财政配套，部分项目可整合环保、住建等部门资金共同解决，对具备条件的可引入部分社会资本解决。</w:t>
      </w:r>
    </w:p>
    <w:p>
      <w:pPr>
        <w:ind w:firstLine="480"/>
      </w:pPr>
    </w:p>
    <w:p>
      <w:pPr>
        <w:pStyle w:val="38"/>
        <w:spacing w:line="520" w:lineRule="exact"/>
        <w:ind w:firstLine="480"/>
        <w:rPr>
          <w:color w:val="auto"/>
          <w:szCs w:val="24"/>
        </w:rPr>
      </w:pPr>
    </w:p>
    <w:p>
      <w:pPr>
        <w:ind w:firstLine="480"/>
      </w:pPr>
      <w:r>
        <w:br w:type="page"/>
      </w:r>
    </w:p>
    <w:p>
      <w:pPr>
        <w:pStyle w:val="5"/>
        <w:ind w:firstLine="602"/>
      </w:pPr>
      <w:bookmarkStart w:id="272" w:name="_Toc26787"/>
      <w:bookmarkStart w:id="273" w:name="_Toc12536"/>
      <w:r>
        <w:t>1</w:t>
      </w:r>
      <w:r>
        <w:rPr>
          <w:rFonts w:hint="eastAsia"/>
        </w:rPr>
        <w:t>3</w:t>
      </w:r>
      <w:r>
        <w:t>风险评估</w:t>
      </w:r>
      <w:bookmarkEnd w:id="272"/>
      <w:bookmarkEnd w:id="273"/>
    </w:p>
    <w:p>
      <w:pPr>
        <w:pStyle w:val="6"/>
        <w:rPr>
          <w:szCs w:val="24"/>
        </w:rPr>
      </w:pPr>
      <w:bookmarkStart w:id="274" w:name="_Toc21155"/>
      <w:bookmarkStart w:id="275" w:name="_Toc26686"/>
      <w:r>
        <w:rPr>
          <w:szCs w:val="24"/>
        </w:rPr>
        <w:t>1</w:t>
      </w:r>
      <w:r>
        <w:rPr>
          <w:rFonts w:hint="eastAsia"/>
          <w:szCs w:val="24"/>
        </w:rPr>
        <w:t>3</w:t>
      </w:r>
      <w:r>
        <w:rPr>
          <w:szCs w:val="24"/>
        </w:rPr>
        <w:t>.1风险因素</w:t>
      </w:r>
      <w:bookmarkEnd w:id="274"/>
      <w:bookmarkEnd w:id="275"/>
    </w:p>
    <w:p>
      <w:pPr>
        <w:pStyle w:val="38"/>
        <w:spacing w:line="520" w:lineRule="exact"/>
        <w:ind w:firstLine="480"/>
        <w:rPr>
          <w:color w:val="auto"/>
          <w:szCs w:val="24"/>
        </w:rPr>
      </w:pPr>
      <w:r>
        <w:rPr>
          <w:color w:val="auto"/>
          <w:szCs w:val="24"/>
        </w:rPr>
        <w:t>为确保昆明市官渡区“十四五”水安全保障规划的顺利实施，规避社会稳定风险，从决策期、准备期、实施期、运营期等方面，对水安全保障规划实行了全链条分析研判，经梳理共查找可能诱发社会性群体事件的潜在风险因素，具体归纳为以下9条：</w:t>
      </w:r>
    </w:p>
    <w:p>
      <w:pPr>
        <w:pStyle w:val="38"/>
        <w:spacing w:line="520" w:lineRule="exact"/>
        <w:ind w:firstLine="482"/>
        <w:jc w:val="center"/>
        <w:rPr>
          <w:b/>
          <w:bCs/>
          <w:color w:val="auto"/>
          <w:szCs w:val="24"/>
        </w:rPr>
      </w:pPr>
      <w:r>
        <w:rPr>
          <w:b/>
          <w:bCs/>
          <w:color w:val="auto"/>
          <w:szCs w:val="24"/>
        </w:rPr>
        <w:t>表1</w:t>
      </w:r>
      <w:r>
        <w:rPr>
          <w:rFonts w:hint="eastAsia"/>
          <w:b/>
          <w:bCs/>
          <w:color w:val="auto"/>
          <w:szCs w:val="24"/>
        </w:rPr>
        <w:t>3</w:t>
      </w:r>
      <w:r>
        <w:rPr>
          <w:b/>
          <w:bCs/>
          <w:color w:val="auto"/>
          <w:szCs w:val="24"/>
        </w:rPr>
        <w:t>-1 昆明市官渡区“十四五”水安全保障规划社会风险因素</w:t>
      </w:r>
    </w:p>
    <w:tbl>
      <w:tblPr>
        <w:tblStyle w:val="22"/>
        <w:tblW w:w="4998" w:type="pct"/>
        <w:tblInd w:w="0" w:type="dxa"/>
        <w:tblLayout w:type="autofit"/>
        <w:tblCellMar>
          <w:top w:w="0" w:type="dxa"/>
          <w:left w:w="108" w:type="dxa"/>
          <w:bottom w:w="0" w:type="dxa"/>
          <w:right w:w="108" w:type="dxa"/>
        </w:tblCellMar>
      </w:tblPr>
      <w:tblGrid>
        <w:gridCol w:w="336"/>
        <w:gridCol w:w="1362"/>
        <w:gridCol w:w="5673"/>
        <w:gridCol w:w="1151"/>
      </w:tblGrid>
      <w:tr>
        <w:tblPrEx>
          <w:tblCellMar>
            <w:top w:w="0" w:type="dxa"/>
            <w:left w:w="108" w:type="dxa"/>
            <w:bottom w:w="0" w:type="dxa"/>
            <w:right w:w="108" w:type="dxa"/>
          </w:tblCellMar>
        </w:tblPrEx>
        <w:trPr>
          <w:trHeight w:val="495" w:hRule="atLeast"/>
          <w:tblHeader/>
        </w:trPr>
        <w:tc>
          <w:tcPr>
            <w:tcW w:w="525"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b/>
                <w:bCs/>
                <w:kern w:val="0"/>
                <w:sz w:val="21"/>
                <w:szCs w:val="21"/>
              </w:rPr>
            </w:pPr>
            <w:r>
              <w:rPr>
                <w:b/>
                <w:bCs/>
                <w:kern w:val="0"/>
                <w:sz w:val="21"/>
                <w:szCs w:val="21"/>
              </w:rPr>
              <w:t>序号</w:t>
            </w:r>
          </w:p>
        </w:tc>
        <w:tc>
          <w:tcPr>
            <w:tcW w:w="1206" w:type="pct"/>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b/>
                <w:bCs/>
                <w:kern w:val="0"/>
                <w:sz w:val="21"/>
                <w:szCs w:val="21"/>
              </w:rPr>
            </w:pPr>
            <w:r>
              <w:rPr>
                <w:b/>
                <w:bCs/>
                <w:kern w:val="0"/>
                <w:sz w:val="21"/>
                <w:szCs w:val="21"/>
              </w:rPr>
              <w:t>风险因素</w:t>
            </w:r>
          </w:p>
        </w:tc>
        <w:tc>
          <w:tcPr>
            <w:tcW w:w="2307" w:type="pct"/>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b/>
                <w:bCs/>
                <w:kern w:val="0"/>
                <w:sz w:val="21"/>
                <w:szCs w:val="21"/>
              </w:rPr>
            </w:pPr>
            <w:r>
              <w:rPr>
                <w:b/>
                <w:bCs/>
                <w:kern w:val="0"/>
                <w:sz w:val="21"/>
                <w:szCs w:val="21"/>
              </w:rPr>
              <w:t>主要风险点</w:t>
            </w:r>
          </w:p>
        </w:tc>
        <w:tc>
          <w:tcPr>
            <w:tcW w:w="960" w:type="pct"/>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b/>
                <w:bCs/>
                <w:kern w:val="0"/>
                <w:sz w:val="21"/>
                <w:szCs w:val="21"/>
              </w:rPr>
            </w:pPr>
            <w:r>
              <w:rPr>
                <w:b/>
                <w:bCs/>
                <w:kern w:val="0"/>
                <w:sz w:val="21"/>
                <w:szCs w:val="21"/>
              </w:rPr>
              <w:t>发生阶段</w:t>
            </w:r>
          </w:p>
        </w:tc>
      </w:tr>
      <w:tr>
        <w:tblPrEx>
          <w:tblCellMar>
            <w:top w:w="0" w:type="dxa"/>
            <w:left w:w="108" w:type="dxa"/>
            <w:bottom w:w="0" w:type="dxa"/>
            <w:right w:w="108" w:type="dxa"/>
          </w:tblCellMar>
        </w:tblPrEx>
        <w:trPr>
          <w:trHeight w:val="1020" w:hRule="atLeast"/>
        </w:trPr>
        <w:tc>
          <w:tcPr>
            <w:tcW w:w="525" w:type="pc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1</w:t>
            </w:r>
          </w:p>
        </w:tc>
        <w:tc>
          <w:tcPr>
            <w:tcW w:w="1206"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立项、审批程序</w:t>
            </w:r>
          </w:p>
        </w:tc>
        <w:tc>
          <w:tcPr>
            <w:tcW w:w="2307"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因各种原因在审批程序不规范的情况下进行工程建设引发的风险；审批周期长影响村民生产生活引发的风险。</w:t>
            </w:r>
          </w:p>
        </w:tc>
        <w:tc>
          <w:tcPr>
            <w:tcW w:w="960"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决策期</w:t>
            </w:r>
          </w:p>
        </w:tc>
      </w:tr>
      <w:tr>
        <w:tblPrEx>
          <w:tblCellMar>
            <w:top w:w="0" w:type="dxa"/>
            <w:left w:w="108" w:type="dxa"/>
            <w:bottom w:w="0" w:type="dxa"/>
            <w:right w:w="108" w:type="dxa"/>
          </w:tblCellMar>
        </w:tblPrEx>
        <w:trPr>
          <w:trHeight w:val="816" w:hRule="atLeast"/>
        </w:trPr>
        <w:tc>
          <w:tcPr>
            <w:tcW w:w="525" w:type="pc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2</w:t>
            </w:r>
          </w:p>
        </w:tc>
        <w:tc>
          <w:tcPr>
            <w:tcW w:w="1206"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立项过程中公众参与</w:t>
            </w:r>
          </w:p>
        </w:tc>
        <w:tc>
          <w:tcPr>
            <w:tcW w:w="2307"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信息公开力度不足、公众参与程度不够的风险</w:t>
            </w:r>
          </w:p>
        </w:tc>
        <w:tc>
          <w:tcPr>
            <w:tcW w:w="960"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决策期</w:t>
            </w:r>
          </w:p>
        </w:tc>
      </w:tr>
      <w:tr>
        <w:tblPrEx>
          <w:tblCellMar>
            <w:top w:w="0" w:type="dxa"/>
            <w:left w:w="108" w:type="dxa"/>
            <w:bottom w:w="0" w:type="dxa"/>
            <w:right w:w="108" w:type="dxa"/>
          </w:tblCellMar>
        </w:tblPrEx>
        <w:trPr>
          <w:trHeight w:val="1020" w:hRule="atLeast"/>
        </w:trPr>
        <w:tc>
          <w:tcPr>
            <w:tcW w:w="525" w:type="pc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3</w:t>
            </w:r>
          </w:p>
        </w:tc>
        <w:tc>
          <w:tcPr>
            <w:tcW w:w="1206"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土地及地面附着物征收征用补偿资金的落实</w:t>
            </w:r>
          </w:p>
        </w:tc>
        <w:tc>
          <w:tcPr>
            <w:tcW w:w="2307"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补偿安置资金涉及人员广、程序多、管理难度大，可能滋生腐败、挪用、发放滞后等风险。</w:t>
            </w:r>
          </w:p>
        </w:tc>
        <w:tc>
          <w:tcPr>
            <w:tcW w:w="960"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准备期、实施期、运营期</w:t>
            </w:r>
          </w:p>
        </w:tc>
      </w:tr>
      <w:tr>
        <w:tblPrEx>
          <w:tblCellMar>
            <w:top w:w="0" w:type="dxa"/>
            <w:left w:w="108" w:type="dxa"/>
            <w:bottom w:w="0" w:type="dxa"/>
            <w:right w:w="108" w:type="dxa"/>
          </w:tblCellMar>
        </w:tblPrEx>
        <w:trPr>
          <w:trHeight w:val="1020" w:hRule="atLeast"/>
        </w:trPr>
        <w:tc>
          <w:tcPr>
            <w:tcW w:w="525" w:type="pc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4</w:t>
            </w:r>
          </w:p>
        </w:tc>
        <w:tc>
          <w:tcPr>
            <w:tcW w:w="1206"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工程方案</w:t>
            </w:r>
          </w:p>
        </w:tc>
        <w:tc>
          <w:tcPr>
            <w:tcW w:w="2307"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施工期跨汛施工风险；工程调度运行不当引发的风险；工程失事引发的风险。</w:t>
            </w:r>
          </w:p>
        </w:tc>
        <w:tc>
          <w:tcPr>
            <w:tcW w:w="960"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实施期、运营期</w:t>
            </w:r>
          </w:p>
        </w:tc>
      </w:tr>
      <w:tr>
        <w:tblPrEx>
          <w:tblCellMar>
            <w:top w:w="0" w:type="dxa"/>
            <w:left w:w="108" w:type="dxa"/>
            <w:bottom w:w="0" w:type="dxa"/>
            <w:right w:w="108" w:type="dxa"/>
          </w:tblCellMar>
        </w:tblPrEx>
        <w:trPr>
          <w:trHeight w:val="1020" w:hRule="atLeast"/>
        </w:trPr>
        <w:tc>
          <w:tcPr>
            <w:tcW w:w="525" w:type="pc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5</w:t>
            </w:r>
          </w:p>
        </w:tc>
        <w:tc>
          <w:tcPr>
            <w:tcW w:w="1206"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施工期环境影响</w:t>
            </w:r>
          </w:p>
        </w:tc>
        <w:tc>
          <w:tcPr>
            <w:tcW w:w="2307"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项目施工过程中产生扬尘、噪声、废气排放，影响生态环境、农业生产</w:t>
            </w:r>
          </w:p>
          <w:p>
            <w:pPr>
              <w:widowControl/>
              <w:adjustRightInd w:val="0"/>
              <w:snapToGrid w:val="0"/>
              <w:spacing w:line="240" w:lineRule="exact"/>
              <w:ind w:firstLine="0" w:firstLineChars="0"/>
              <w:jc w:val="center"/>
              <w:rPr>
                <w:kern w:val="0"/>
                <w:sz w:val="21"/>
                <w:szCs w:val="21"/>
              </w:rPr>
            </w:pPr>
            <w:r>
              <w:rPr>
                <w:kern w:val="0"/>
                <w:sz w:val="21"/>
                <w:szCs w:val="21"/>
              </w:rPr>
              <w:t>和群众生活的风险</w:t>
            </w:r>
          </w:p>
        </w:tc>
        <w:tc>
          <w:tcPr>
            <w:tcW w:w="960"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实施期</w:t>
            </w:r>
          </w:p>
        </w:tc>
      </w:tr>
      <w:tr>
        <w:tblPrEx>
          <w:tblCellMar>
            <w:top w:w="0" w:type="dxa"/>
            <w:left w:w="108" w:type="dxa"/>
            <w:bottom w:w="0" w:type="dxa"/>
            <w:right w:w="108" w:type="dxa"/>
          </w:tblCellMar>
        </w:tblPrEx>
        <w:trPr>
          <w:trHeight w:val="756" w:hRule="atLeast"/>
        </w:trPr>
        <w:tc>
          <w:tcPr>
            <w:tcW w:w="525" w:type="pc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6</w:t>
            </w:r>
          </w:p>
        </w:tc>
        <w:tc>
          <w:tcPr>
            <w:tcW w:w="1206"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项目单位管理</w:t>
            </w:r>
          </w:p>
        </w:tc>
        <w:tc>
          <w:tcPr>
            <w:tcW w:w="2307"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工程款拨付不及时引发的风险</w:t>
            </w:r>
          </w:p>
        </w:tc>
        <w:tc>
          <w:tcPr>
            <w:tcW w:w="960"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实施期、运营期</w:t>
            </w:r>
          </w:p>
        </w:tc>
      </w:tr>
      <w:tr>
        <w:tblPrEx>
          <w:tblCellMar>
            <w:top w:w="0" w:type="dxa"/>
            <w:left w:w="108" w:type="dxa"/>
            <w:bottom w:w="0" w:type="dxa"/>
            <w:right w:w="108" w:type="dxa"/>
          </w:tblCellMar>
        </w:tblPrEx>
        <w:trPr>
          <w:trHeight w:val="1635" w:hRule="atLeast"/>
        </w:trPr>
        <w:tc>
          <w:tcPr>
            <w:tcW w:w="525" w:type="pc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7</w:t>
            </w:r>
          </w:p>
        </w:tc>
        <w:tc>
          <w:tcPr>
            <w:tcW w:w="1206"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文明施工、安全和质量管理</w:t>
            </w:r>
          </w:p>
        </w:tc>
        <w:tc>
          <w:tcPr>
            <w:tcW w:w="2307"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违反文明施工、安全和质量管理的相关规定，可能造成环境污染、停 水、停电、停气、影响交通等突发状况，给周边居民生活带来不便；可能会造成工程意外伤害、施工班组群斗、村民阻挠施工等突发状况</w:t>
            </w:r>
          </w:p>
        </w:tc>
        <w:tc>
          <w:tcPr>
            <w:tcW w:w="960"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实施期</w:t>
            </w:r>
          </w:p>
        </w:tc>
      </w:tr>
      <w:tr>
        <w:tblPrEx>
          <w:tblCellMar>
            <w:top w:w="0" w:type="dxa"/>
            <w:left w:w="108" w:type="dxa"/>
            <w:bottom w:w="0" w:type="dxa"/>
            <w:right w:w="108" w:type="dxa"/>
          </w:tblCellMar>
        </w:tblPrEx>
        <w:trPr>
          <w:trHeight w:val="1020" w:hRule="atLeast"/>
        </w:trPr>
        <w:tc>
          <w:tcPr>
            <w:tcW w:w="525" w:type="pc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8</w:t>
            </w:r>
          </w:p>
        </w:tc>
        <w:tc>
          <w:tcPr>
            <w:tcW w:w="1206"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社会治安和公共安全</w:t>
            </w:r>
          </w:p>
        </w:tc>
        <w:tc>
          <w:tcPr>
            <w:tcW w:w="2307"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施工期外来人员涌入，对村庄社会管理和治安有一定冲击，管理不当，可能与当地居民产生冲突的风险</w:t>
            </w:r>
          </w:p>
        </w:tc>
        <w:tc>
          <w:tcPr>
            <w:tcW w:w="960"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实施期</w:t>
            </w:r>
          </w:p>
        </w:tc>
      </w:tr>
      <w:tr>
        <w:tblPrEx>
          <w:tblCellMar>
            <w:top w:w="0" w:type="dxa"/>
            <w:left w:w="108" w:type="dxa"/>
            <w:bottom w:w="0" w:type="dxa"/>
            <w:right w:w="108" w:type="dxa"/>
          </w:tblCellMar>
        </w:tblPrEx>
        <w:trPr>
          <w:trHeight w:val="1020" w:hRule="atLeast"/>
        </w:trPr>
        <w:tc>
          <w:tcPr>
            <w:tcW w:w="525" w:type="pc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9</w:t>
            </w:r>
          </w:p>
        </w:tc>
        <w:tc>
          <w:tcPr>
            <w:tcW w:w="1206"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舆论导向及其影响</w:t>
            </w:r>
          </w:p>
        </w:tc>
        <w:tc>
          <w:tcPr>
            <w:tcW w:w="2307"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政府、媒体或个人宣传、引导不当的风险；群众舆论误读的风险。</w:t>
            </w:r>
          </w:p>
        </w:tc>
        <w:tc>
          <w:tcPr>
            <w:tcW w:w="960" w:type="pct"/>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决策期、准备期、实施期、 运营期</w:t>
            </w:r>
          </w:p>
        </w:tc>
      </w:tr>
    </w:tbl>
    <w:p>
      <w:pPr>
        <w:pStyle w:val="6"/>
        <w:rPr>
          <w:szCs w:val="24"/>
        </w:rPr>
      </w:pPr>
      <w:bookmarkStart w:id="276" w:name="_Toc22771"/>
      <w:bookmarkStart w:id="277" w:name="_Toc5724"/>
      <w:r>
        <w:rPr>
          <w:szCs w:val="24"/>
        </w:rPr>
        <w:t>1</w:t>
      </w:r>
      <w:r>
        <w:rPr>
          <w:rFonts w:hint="eastAsia"/>
          <w:szCs w:val="24"/>
        </w:rPr>
        <w:t>3</w:t>
      </w:r>
      <w:r>
        <w:rPr>
          <w:szCs w:val="24"/>
        </w:rPr>
        <w:t>.2风险应对措施</w:t>
      </w:r>
      <w:bookmarkEnd w:id="276"/>
      <w:bookmarkEnd w:id="277"/>
    </w:p>
    <w:p>
      <w:pPr>
        <w:pStyle w:val="2"/>
        <w:rPr>
          <w:rFonts w:cs="Times New Roman" w:eastAsiaTheme="majorEastAsia"/>
          <w:szCs w:val="24"/>
        </w:rPr>
      </w:pPr>
      <w:bookmarkStart w:id="278" w:name="_Toc15860"/>
      <w:r>
        <w:rPr>
          <w:rFonts w:cs="Times New Roman" w:eastAsiaTheme="majorEastAsia"/>
          <w:szCs w:val="24"/>
        </w:rPr>
        <w:t>1</w:t>
      </w:r>
      <w:r>
        <w:rPr>
          <w:rFonts w:hint="eastAsia" w:cs="Times New Roman" w:eastAsiaTheme="majorEastAsia"/>
          <w:szCs w:val="24"/>
        </w:rPr>
        <w:t>3</w:t>
      </w:r>
      <w:r>
        <w:rPr>
          <w:rFonts w:cs="Times New Roman" w:eastAsiaTheme="majorEastAsia"/>
          <w:szCs w:val="24"/>
        </w:rPr>
        <w:t>.2.1应急处置方案</w:t>
      </w:r>
      <w:bookmarkEnd w:id="278"/>
    </w:p>
    <w:p>
      <w:pPr>
        <w:numPr>
          <w:ilvl w:val="0"/>
          <w:numId w:val="20"/>
        </w:numPr>
        <w:ind w:left="0" w:firstLine="400" w:firstLineChars="0"/>
      </w:pPr>
      <w:r>
        <w:t>工作原则。社会稳定应急预案的工作原则是重点稳控，紧急处置，职责明确，统筹配合。</w:t>
      </w:r>
    </w:p>
    <w:p>
      <w:pPr>
        <w:numPr>
          <w:ilvl w:val="0"/>
          <w:numId w:val="20"/>
        </w:numPr>
        <w:ind w:left="0" w:firstLine="400" w:firstLineChars="0"/>
        <w:rPr>
          <w:rFonts w:eastAsia="仿宋_GB2312"/>
        </w:rPr>
      </w:pPr>
      <w:r>
        <w:t>组织保障。</w:t>
      </w:r>
      <w:r>
        <w:rPr>
          <w:rFonts w:hint="eastAsia"/>
        </w:rPr>
        <w:t>1）</w:t>
      </w:r>
      <w:r>
        <w:t>建议规划项目实施过程中，按照属地管理原则，由项目所在区政府牵头成立项目社会稳定工作协调领导小组，统一管理和领导，包括维稳、信访、发改等部门以及项目建设单位等各相关单位。明确参与人员，加强领导、强化责任意识，建立高效的联动工作机制。落实维护社会稳定责任制，明确维护社会稳定工作的重点部位、重点问题。对维护社会稳定工作实行目标管理，并对各责任部门维护社会稳定工作进行考核。</w:t>
      </w:r>
      <w:r>
        <w:rPr>
          <w:rFonts w:hint="eastAsia"/>
        </w:rPr>
        <w:t>2）</w:t>
      </w:r>
      <w:r>
        <w:t>要设立维稳工作岗位，配备专、兼职维稳工作人员，加强维稳工作人员知识技能培训，不断提高维稳接待和处置能力，引导社会稳定问题通过正常途径反映和解决。在接到重大社会不稳定通报后，有关人员要保证24小时值班和电话畅通，随时掌握各方面信息，并保证信息能够及时的上传下达。</w:t>
      </w:r>
    </w:p>
    <w:p>
      <w:pPr>
        <w:numPr>
          <w:ilvl w:val="0"/>
          <w:numId w:val="20"/>
        </w:numPr>
        <w:ind w:left="0" w:firstLine="400" w:firstLineChars="0"/>
      </w:pPr>
      <w:r>
        <w:t>制度保障。</w:t>
      </w:r>
      <w:r>
        <w:rPr>
          <w:rFonts w:hint="eastAsia"/>
        </w:rPr>
        <w:t>1</w:t>
      </w:r>
      <w:r>
        <w:t>）把维护社会稳定工作列入项目建设重要议事日程，定期组织召开维护社会稳定工作会议，听取有关单位社会稳定工作汇报；认真研究公众反映的新情况、新问题，分析可能出现的重大问题研究对策。</w:t>
      </w:r>
      <w:r>
        <w:rPr>
          <w:rFonts w:hint="eastAsia"/>
        </w:rPr>
        <w:t>2</w:t>
      </w:r>
      <w:r>
        <w:t>）坚持走访调研工作制度，由群众反映变为走访，深入工程现场、社区，倾听群众意见建议，有针对性地研究和解决问题。</w:t>
      </w:r>
      <w:r>
        <w:rPr>
          <w:rFonts w:hint="eastAsia"/>
        </w:rPr>
        <w:t>3</w:t>
      </w:r>
      <w:r>
        <w:t>）坚持信息通报、预测排查制度，对群众反映的普遍性、突出性问题，研究制定解决办法，发现群体性事件苗头，要及时就地化解。</w:t>
      </w:r>
    </w:p>
    <w:p>
      <w:pPr>
        <w:numPr>
          <w:ilvl w:val="0"/>
          <w:numId w:val="20"/>
        </w:numPr>
        <w:ind w:left="0" w:firstLine="400" w:firstLineChars="0"/>
      </w:pPr>
      <w:r>
        <w:t>应急措施。发现重大社会稳定问题苗头或事件时，启动预案，并按以下程序开展工作：</w:t>
      </w:r>
      <w:r>
        <w:rPr>
          <w:rFonts w:hint="eastAsia"/>
        </w:rPr>
        <w:t>1</w:t>
      </w:r>
      <w:r>
        <w:t>）对已发生的群体性事件，相关部门要认真接待，有关人员及时赶赴现场做好耐心细致的疏导工作，防止矛盾激化。</w:t>
      </w:r>
      <w:r>
        <w:rPr>
          <w:rFonts w:hint="eastAsia"/>
        </w:rPr>
        <w:t>2</w:t>
      </w:r>
      <w:r>
        <w:t>）第一时间召开维护社会稳定工作会议，通报不稳定情况和处理情况，分析研究可能出现的重大问题及对策。并将不稳定情况向上级有关部门报告，并制定联动机制。</w:t>
      </w:r>
      <w:r>
        <w:rPr>
          <w:rFonts w:hint="eastAsia"/>
        </w:rPr>
        <w:t>3</w:t>
      </w:r>
      <w:r>
        <w:t>）对已发生的群体性事件，相关人员应迅速赶赴现场组织工作。以教育、疏导为主，力争把问题解决在萌芽或初始状态。对问题复杂、规模较大的群体性事件要及时控制现场，防止矛盾激化，由此造成的损失降低至最低程度。</w:t>
      </w:r>
      <w:r>
        <w:rPr>
          <w:rFonts w:hint="eastAsia"/>
        </w:rPr>
        <w:t>4</w:t>
      </w:r>
      <w:r>
        <w:t>）对已发生的社会稳定风险进行全面调查，查清事件经过、分析产生原因和造成的损失，必要时启动问责机制。</w:t>
      </w:r>
      <w:r>
        <w:rPr>
          <w:rFonts w:hint="eastAsia"/>
        </w:rPr>
        <w:t>5</w:t>
      </w:r>
      <w:r>
        <w:t>）建议各实施主体对社会稳定风险进行细化分析，针对不同的风险制定相对应的具体应急处理预案，并上报上级维稳部门。</w:t>
      </w:r>
    </w:p>
    <w:p>
      <w:pPr>
        <w:pStyle w:val="2"/>
        <w:rPr>
          <w:rFonts w:cs="Times New Roman" w:eastAsiaTheme="majorEastAsia"/>
          <w:szCs w:val="24"/>
        </w:rPr>
      </w:pPr>
      <w:bookmarkStart w:id="279" w:name="_Toc6278"/>
      <w:r>
        <w:rPr>
          <w:rFonts w:cs="Times New Roman"/>
          <w:szCs w:val="24"/>
        </w:rPr>
        <w:t>1</w:t>
      </w:r>
      <w:r>
        <w:rPr>
          <w:rFonts w:hint="eastAsia" w:cs="Times New Roman"/>
          <w:szCs w:val="24"/>
        </w:rPr>
        <w:t>3</w:t>
      </w:r>
      <w:r>
        <w:rPr>
          <w:rFonts w:cs="Times New Roman"/>
          <w:szCs w:val="24"/>
        </w:rPr>
        <w:t>.2.2</w:t>
      </w:r>
      <w:r>
        <w:rPr>
          <w:rFonts w:cs="Times New Roman" w:eastAsiaTheme="majorEastAsia"/>
          <w:szCs w:val="24"/>
        </w:rPr>
        <w:t>风险防范化解措施</w:t>
      </w:r>
      <w:bookmarkEnd w:id="279"/>
    </w:p>
    <w:p>
      <w:pPr>
        <w:ind w:firstLine="480"/>
      </w:pPr>
      <w:r>
        <w:t>结合以往应急处置工作经验，针对各风险点，制定了防范化解措施，并明确了责任单位和协助单位。具体情况如下：</w:t>
      </w:r>
    </w:p>
    <w:p>
      <w:pPr>
        <w:ind w:firstLine="723" w:firstLineChars="300"/>
        <w:jc w:val="center"/>
      </w:pPr>
      <w:r>
        <w:rPr>
          <w:b/>
          <w:bCs/>
        </w:rPr>
        <w:t>表1</w:t>
      </w:r>
      <w:r>
        <w:rPr>
          <w:rFonts w:hint="eastAsia"/>
          <w:b/>
          <w:bCs/>
        </w:rPr>
        <w:t>3</w:t>
      </w:r>
      <w:r>
        <w:rPr>
          <w:b/>
          <w:bCs/>
        </w:rPr>
        <w:t>-2 昆明市官渡区“十四五”水安全保障规划社会风险防范措施</w:t>
      </w:r>
    </w:p>
    <w:tbl>
      <w:tblPr>
        <w:tblStyle w:val="22"/>
        <w:tblW w:w="0" w:type="auto"/>
        <w:tblInd w:w="0" w:type="dxa"/>
        <w:tblLayout w:type="fixed"/>
        <w:tblCellMar>
          <w:top w:w="0" w:type="dxa"/>
          <w:left w:w="108" w:type="dxa"/>
          <w:bottom w:w="0" w:type="dxa"/>
          <w:right w:w="108" w:type="dxa"/>
        </w:tblCellMar>
      </w:tblPr>
      <w:tblGrid>
        <w:gridCol w:w="601"/>
        <w:gridCol w:w="1169"/>
        <w:gridCol w:w="4590"/>
        <w:gridCol w:w="1118"/>
        <w:gridCol w:w="1582"/>
      </w:tblGrid>
      <w:tr>
        <w:tblPrEx>
          <w:tblCellMar>
            <w:top w:w="0" w:type="dxa"/>
            <w:left w:w="108" w:type="dxa"/>
            <w:bottom w:w="0" w:type="dxa"/>
            <w:right w:w="108" w:type="dxa"/>
          </w:tblCellMar>
        </w:tblPrEx>
        <w:trPr>
          <w:trHeight w:val="750" w:hRule="atLeast"/>
          <w:tblHeader/>
        </w:trPr>
        <w:tc>
          <w:tcPr>
            <w:tcW w:w="60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b/>
                <w:bCs/>
                <w:kern w:val="0"/>
                <w:sz w:val="21"/>
                <w:szCs w:val="21"/>
              </w:rPr>
            </w:pPr>
            <w:r>
              <w:rPr>
                <w:b/>
                <w:bCs/>
                <w:kern w:val="0"/>
                <w:sz w:val="21"/>
                <w:szCs w:val="21"/>
              </w:rPr>
              <w:t>序号</w:t>
            </w:r>
          </w:p>
        </w:tc>
        <w:tc>
          <w:tcPr>
            <w:tcW w:w="1169"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b/>
                <w:bCs/>
                <w:kern w:val="0"/>
                <w:sz w:val="21"/>
                <w:szCs w:val="21"/>
              </w:rPr>
            </w:pPr>
            <w:r>
              <w:rPr>
                <w:b/>
                <w:bCs/>
                <w:kern w:val="0"/>
                <w:sz w:val="21"/>
                <w:szCs w:val="21"/>
              </w:rPr>
              <w:t>风险因素</w:t>
            </w:r>
          </w:p>
        </w:tc>
        <w:tc>
          <w:tcPr>
            <w:tcW w:w="4590"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b/>
                <w:bCs/>
                <w:kern w:val="0"/>
                <w:sz w:val="21"/>
                <w:szCs w:val="21"/>
              </w:rPr>
            </w:pPr>
            <w:r>
              <w:rPr>
                <w:b/>
                <w:bCs/>
                <w:kern w:val="0"/>
                <w:sz w:val="21"/>
                <w:szCs w:val="21"/>
              </w:rPr>
              <w:t>主要防范、化解措施</w:t>
            </w:r>
          </w:p>
        </w:tc>
        <w:tc>
          <w:tcPr>
            <w:tcW w:w="1118"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b/>
                <w:bCs/>
                <w:kern w:val="0"/>
                <w:sz w:val="21"/>
                <w:szCs w:val="21"/>
              </w:rPr>
            </w:pPr>
            <w:r>
              <w:rPr>
                <w:b/>
                <w:bCs/>
                <w:kern w:val="0"/>
                <w:sz w:val="21"/>
                <w:szCs w:val="21"/>
              </w:rPr>
              <w:t>责任主体</w:t>
            </w:r>
          </w:p>
        </w:tc>
        <w:tc>
          <w:tcPr>
            <w:tcW w:w="1582"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b/>
                <w:bCs/>
                <w:kern w:val="0"/>
                <w:sz w:val="21"/>
                <w:szCs w:val="21"/>
              </w:rPr>
            </w:pPr>
            <w:r>
              <w:rPr>
                <w:b/>
                <w:bCs/>
                <w:kern w:val="0"/>
                <w:sz w:val="21"/>
                <w:szCs w:val="21"/>
              </w:rPr>
              <w:t>协助单位</w:t>
            </w:r>
          </w:p>
        </w:tc>
      </w:tr>
      <w:tr>
        <w:tblPrEx>
          <w:tblCellMar>
            <w:top w:w="0" w:type="dxa"/>
            <w:left w:w="108" w:type="dxa"/>
            <w:bottom w:w="0" w:type="dxa"/>
            <w:right w:w="108" w:type="dxa"/>
          </w:tblCellMar>
        </w:tblPrEx>
        <w:trPr>
          <w:trHeight w:val="750" w:hRule="atLeast"/>
        </w:trPr>
        <w:tc>
          <w:tcPr>
            <w:tcW w:w="601"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1</w:t>
            </w:r>
          </w:p>
        </w:tc>
        <w:tc>
          <w:tcPr>
            <w:tcW w:w="1169"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立项、审批程序</w:t>
            </w: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（1）确保项目具备规范的开工条件后组织施工建设，保证项目建设程序依法合规</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建设单位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地方政府</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（2）对于村民最关心的项目何时开工建设问题，及时做好解答，提前消除潜在的社会稳定风险</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建设单位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地方政府</w:t>
            </w:r>
          </w:p>
        </w:tc>
      </w:tr>
      <w:tr>
        <w:tblPrEx>
          <w:tblCellMar>
            <w:top w:w="0" w:type="dxa"/>
            <w:left w:w="108" w:type="dxa"/>
            <w:bottom w:w="0" w:type="dxa"/>
            <w:right w:w="108" w:type="dxa"/>
          </w:tblCellMar>
        </w:tblPrEx>
        <w:trPr>
          <w:trHeight w:val="1140" w:hRule="atLeast"/>
        </w:trPr>
        <w:tc>
          <w:tcPr>
            <w:tcW w:w="601"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2</w:t>
            </w:r>
          </w:p>
        </w:tc>
        <w:tc>
          <w:tcPr>
            <w:tcW w:w="1169"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立项过程中公众参与</w:t>
            </w: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（1）在实物调查过程中，地方政府、村组代表、移民及 财产产权人应共同参与调查、测量、登记、统计工作</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地方政府</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设计单位及其有关职能部门、街道办</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（2）设计单位、地方政府和移民共同进行安置点的选择、 实地勘测研究、征求意见、对比和选择方案</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地方政府</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设计单位、街道办</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（3）补偿标准要做到公开、透明</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地方政府</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设计单位、街道办</w:t>
            </w:r>
          </w:p>
        </w:tc>
      </w:tr>
      <w:tr>
        <w:tblPrEx>
          <w:tblCellMar>
            <w:top w:w="0" w:type="dxa"/>
            <w:left w:w="108" w:type="dxa"/>
            <w:bottom w:w="0" w:type="dxa"/>
            <w:right w:w="108" w:type="dxa"/>
          </w:tblCellMar>
        </w:tblPrEx>
        <w:trPr>
          <w:trHeight w:val="750" w:hRule="atLeast"/>
        </w:trPr>
        <w:tc>
          <w:tcPr>
            <w:tcW w:w="601"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3</w:t>
            </w:r>
          </w:p>
        </w:tc>
        <w:tc>
          <w:tcPr>
            <w:tcW w:w="1169"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土地及地面附着物征收征用补偿资金的落实</w:t>
            </w: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（1）严格按照国家相关法律法规构建程序严密的资金、 项目审批机制</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地方政府</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财政局</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（2）强化土地房屋征收相关人员的素质建设</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地方政府</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项目单位</w:t>
            </w:r>
          </w:p>
        </w:tc>
      </w:tr>
      <w:tr>
        <w:tblPrEx>
          <w:tblCellMar>
            <w:top w:w="0" w:type="dxa"/>
            <w:left w:w="108" w:type="dxa"/>
            <w:bottom w:w="0" w:type="dxa"/>
            <w:right w:w="108" w:type="dxa"/>
          </w:tblCellMar>
        </w:tblPrEx>
        <w:trPr>
          <w:trHeight w:val="750" w:hRule="atLeast"/>
        </w:trPr>
        <w:tc>
          <w:tcPr>
            <w:tcW w:w="601"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4</w:t>
            </w:r>
          </w:p>
        </w:tc>
        <w:tc>
          <w:tcPr>
            <w:tcW w:w="1169"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工程方案</w:t>
            </w: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rFonts w:hint="eastAsia"/>
                <w:kern w:val="0"/>
                <w:sz w:val="21"/>
                <w:szCs w:val="21"/>
              </w:rPr>
              <w:t>（1）</w:t>
            </w:r>
            <w:r>
              <w:rPr>
                <w:kern w:val="0"/>
                <w:sz w:val="21"/>
                <w:szCs w:val="21"/>
              </w:rPr>
              <w:t>工程严格按照有关规范、规程进行设计、施工</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设计单位、建设单位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（2）加强工程运行管理</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工程管理单位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750" w:hRule="atLeast"/>
        </w:trPr>
        <w:tc>
          <w:tcPr>
            <w:tcW w:w="601"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5</w:t>
            </w:r>
          </w:p>
        </w:tc>
        <w:tc>
          <w:tcPr>
            <w:tcW w:w="1169"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施工期环境影响</w:t>
            </w: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依据批复的项目环评报告，实行工程防护措施</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施工单位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设计单位、监理单位</w:t>
            </w:r>
          </w:p>
        </w:tc>
      </w:tr>
      <w:tr>
        <w:tblPrEx>
          <w:tblCellMar>
            <w:top w:w="0" w:type="dxa"/>
            <w:left w:w="108" w:type="dxa"/>
            <w:bottom w:w="0" w:type="dxa"/>
            <w:right w:w="108" w:type="dxa"/>
          </w:tblCellMar>
        </w:tblPrEx>
        <w:trPr>
          <w:trHeight w:val="750" w:hRule="atLeast"/>
        </w:trPr>
        <w:tc>
          <w:tcPr>
            <w:tcW w:w="601"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6</w:t>
            </w:r>
          </w:p>
        </w:tc>
        <w:tc>
          <w:tcPr>
            <w:tcW w:w="1169"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项目单位管理</w:t>
            </w: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（1）严格按照施工计划、投资计划进行建设，按工程进 展和合同要求向承包商及时拨付工程款</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建设单位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（2）建立民工工资发放备案制度，定期对承包商民工工 资发放情况进行检查</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地方政府</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建设管理部门</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（3）建立民工权益保障诉求渠道</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地方政府</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建设管理部门</w:t>
            </w:r>
          </w:p>
        </w:tc>
      </w:tr>
      <w:tr>
        <w:tblPrEx>
          <w:tblCellMar>
            <w:top w:w="0" w:type="dxa"/>
            <w:left w:w="108" w:type="dxa"/>
            <w:bottom w:w="0" w:type="dxa"/>
            <w:right w:w="108" w:type="dxa"/>
          </w:tblCellMar>
        </w:tblPrEx>
        <w:trPr>
          <w:trHeight w:val="750" w:hRule="atLeast"/>
        </w:trPr>
        <w:tc>
          <w:tcPr>
            <w:tcW w:w="601"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7</w:t>
            </w:r>
          </w:p>
        </w:tc>
        <w:tc>
          <w:tcPr>
            <w:tcW w:w="1169"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文明施工、安全 和质量管理</w:t>
            </w: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（1）选择具备相应资质、信誉度高的施工单位</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建设单位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建设管理部门</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（2）与地方有关部门积极沟通，并加强与周边居民的沟 通、协商</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建设单位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地方政府</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（3）合理安排工期，合理处理施工过程中的弃土等废弃材料</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施工单位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地方政府、项目单位</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（4）建立工程保险制度，降低工程风险</w:t>
            </w:r>
          </w:p>
        </w:tc>
        <w:tc>
          <w:tcPr>
            <w:tcW w:w="111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施工单位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（5）严格按照国家有关规定制定一整套质量安全管理体系</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建设单位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（6）加强施工管理，严肃查处层层转包问题</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项目主管部门</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750" w:hRule="atLeast"/>
        </w:trPr>
        <w:tc>
          <w:tcPr>
            <w:tcW w:w="601" w:type="dxa"/>
            <w:vMerge w:val="restart"/>
            <w:tcBorders>
              <w:top w:val="nil"/>
              <w:left w:val="single" w:color="auto" w:sz="4" w:space="0"/>
              <w:bottom w:val="single" w:color="000000"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8</w:t>
            </w:r>
          </w:p>
        </w:tc>
        <w:tc>
          <w:tcPr>
            <w:tcW w:w="1169"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社会治安和公共安全</w:t>
            </w: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（1）施工单位配合公安部门加强对施工外来人员的管理</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施工单位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公安局</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（2）及时支付人员工资，减少矛盾</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建设单位、施工单位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（3）建立健全项目单位与地方政府的协商机制</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建设单位、施工单位</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地方政府</w:t>
            </w:r>
          </w:p>
        </w:tc>
      </w:tr>
      <w:tr>
        <w:tblPrEx>
          <w:tblCellMar>
            <w:top w:w="0" w:type="dxa"/>
            <w:left w:w="108" w:type="dxa"/>
            <w:bottom w:w="0" w:type="dxa"/>
            <w:right w:w="108" w:type="dxa"/>
          </w:tblCellMar>
        </w:tblPrEx>
        <w:trPr>
          <w:trHeight w:val="750" w:hRule="atLeast"/>
        </w:trPr>
        <w:tc>
          <w:tcPr>
            <w:tcW w:w="601"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ind w:firstLine="0" w:firstLineChars="0"/>
              <w:jc w:val="center"/>
              <w:rPr>
                <w:kern w:val="0"/>
                <w:sz w:val="21"/>
                <w:szCs w:val="21"/>
              </w:rPr>
            </w:pPr>
            <w:r>
              <w:rPr>
                <w:kern w:val="0"/>
                <w:sz w:val="21"/>
                <w:szCs w:val="21"/>
              </w:rPr>
              <w:t>9</w:t>
            </w:r>
          </w:p>
        </w:tc>
        <w:tc>
          <w:tcPr>
            <w:tcW w:w="1169"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舆论导向及其影响</w:t>
            </w: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（1）强化政府责任，加强信息公开，确保群众知情</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地方政府</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项目单位</w:t>
            </w:r>
          </w:p>
        </w:tc>
      </w:tr>
      <w:tr>
        <w:tblPrEx>
          <w:tblCellMar>
            <w:top w:w="0" w:type="dxa"/>
            <w:left w:w="108" w:type="dxa"/>
            <w:bottom w:w="0" w:type="dxa"/>
            <w:right w:w="108" w:type="dxa"/>
          </w:tblCellMar>
        </w:tblPrEx>
        <w:trPr>
          <w:trHeight w:val="750" w:hRule="atLeast"/>
        </w:trPr>
        <w:tc>
          <w:tcPr>
            <w:tcW w:w="601"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ind w:firstLine="0" w:firstLineChars="0"/>
              <w:jc w:val="left"/>
              <w:rPr>
                <w:kern w:val="0"/>
                <w:sz w:val="21"/>
                <w:szCs w:val="21"/>
              </w:rPr>
            </w:pPr>
          </w:p>
        </w:tc>
        <w:tc>
          <w:tcPr>
            <w:tcW w:w="116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left"/>
              <w:rPr>
                <w:kern w:val="0"/>
                <w:sz w:val="21"/>
                <w:szCs w:val="21"/>
              </w:rPr>
            </w:pPr>
          </w:p>
        </w:tc>
        <w:tc>
          <w:tcPr>
            <w:tcW w:w="4590"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left"/>
              <w:rPr>
                <w:kern w:val="0"/>
                <w:sz w:val="21"/>
                <w:szCs w:val="21"/>
              </w:rPr>
            </w:pPr>
            <w:r>
              <w:rPr>
                <w:kern w:val="0"/>
                <w:sz w:val="21"/>
                <w:szCs w:val="21"/>
              </w:rPr>
              <w:t>（2）严格宣传纪律，加强舆论监督工作，创造良好舆论环境</w:t>
            </w:r>
          </w:p>
        </w:tc>
        <w:tc>
          <w:tcPr>
            <w:tcW w:w="1118"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媒体</w:t>
            </w:r>
          </w:p>
        </w:tc>
        <w:tc>
          <w:tcPr>
            <w:tcW w:w="1582" w:type="dxa"/>
            <w:tcBorders>
              <w:top w:val="nil"/>
              <w:left w:val="nil"/>
              <w:bottom w:val="single" w:color="auto" w:sz="4" w:space="0"/>
              <w:right w:val="single" w:color="auto" w:sz="4" w:space="0"/>
            </w:tcBorders>
            <w:noWrap/>
            <w:vAlign w:val="center"/>
          </w:tcPr>
          <w:p>
            <w:pPr>
              <w:widowControl/>
              <w:adjustRightInd w:val="0"/>
              <w:snapToGrid w:val="0"/>
              <w:spacing w:line="240" w:lineRule="exact"/>
              <w:ind w:firstLine="0" w:firstLineChars="0"/>
              <w:jc w:val="center"/>
              <w:rPr>
                <w:kern w:val="0"/>
                <w:sz w:val="21"/>
                <w:szCs w:val="21"/>
              </w:rPr>
            </w:pPr>
            <w:r>
              <w:rPr>
                <w:kern w:val="0"/>
                <w:sz w:val="21"/>
                <w:szCs w:val="21"/>
              </w:rPr>
              <w:t>地方政府、项目单位</w:t>
            </w:r>
          </w:p>
        </w:tc>
      </w:tr>
    </w:tbl>
    <w:p>
      <w:pPr>
        <w:ind w:firstLine="480"/>
      </w:pPr>
    </w:p>
    <w:p>
      <w:pPr>
        <w:ind w:firstLine="480"/>
      </w:pPr>
      <w:r>
        <w:br w:type="page"/>
      </w:r>
    </w:p>
    <w:p>
      <w:pPr>
        <w:pStyle w:val="5"/>
        <w:ind w:firstLine="602"/>
      </w:pPr>
      <w:bookmarkStart w:id="280" w:name="_Toc15280"/>
      <w:bookmarkStart w:id="281" w:name="_Toc8006"/>
      <w:r>
        <w:t>1</w:t>
      </w:r>
      <w:r>
        <w:rPr>
          <w:rFonts w:hint="eastAsia"/>
        </w:rPr>
        <w:t>4</w:t>
      </w:r>
      <w:r>
        <w:t>保障措施</w:t>
      </w:r>
      <w:bookmarkEnd w:id="280"/>
      <w:bookmarkEnd w:id="281"/>
    </w:p>
    <w:p>
      <w:pPr>
        <w:pStyle w:val="6"/>
        <w:rPr>
          <w:szCs w:val="24"/>
        </w:rPr>
      </w:pPr>
      <w:bookmarkStart w:id="282" w:name="_Toc28176"/>
      <w:bookmarkStart w:id="283" w:name="_Toc31272"/>
      <w:r>
        <w:rPr>
          <w:szCs w:val="24"/>
        </w:rPr>
        <w:t>1</w:t>
      </w:r>
      <w:r>
        <w:rPr>
          <w:rFonts w:hint="eastAsia"/>
          <w:szCs w:val="24"/>
        </w:rPr>
        <w:t>4</w:t>
      </w:r>
      <w:r>
        <w:rPr>
          <w:szCs w:val="24"/>
        </w:rPr>
        <w:t>.1加强水法制宣传教育</w:t>
      </w:r>
      <w:bookmarkEnd w:id="282"/>
      <w:bookmarkEnd w:id="283"/>
    </w:p>
    <w:p>
      <w:pPr>
        <w:ind w:firstLine="480"/>
      </w:pPr>
      <w:r>
        <w:t>以水法规以及与水利相关法律法规为重点，面向水利干部职工和广大群众，坚持集中宣传和经常宣传相结合，学法和用法相结合，普法和依法治理相结合，扎实推进普法工作，不断创新法制宣传教育形式，实现由增强法律意识向提高法律素质的转变，明显增强全社会的水</w:t>
      </w:r>
      <w:r>
        <w:rPr>
          <w:rFonts w:hint="eastAsia"/>
          <w:lang w:eastAsia="zh-CN"/>
        </w:rPr>
        <w:t>法治意识</w:t>
      </w:r>
      <w:r>
        <w:t>和水利依法行政能力。</w:t>
      </w:r>
    </w:p>
    <w:p>
      <w:pPr>
        <w:pStyle w:val="6"/>
        <w:rPr>
          <w:szCs w:val="24"/>
        </w:rPr>
      </w:pPr>
      <w:bookmarkStart w:id="284" w:name="_Toc29593"/>
      <w:bookmarkStart w:id="285" w:name="_Toc9537"/>
      <w:r>
        <w:rPr>
          <w:szCs w:val="24"/>
        </w:rPr>
        <w:t>1</w:t>
      </w:r>
      <w:r>
        <w:rPr>
          <w:rFonts w:hint="eastAsia"/>
          <w:szCs w:val="24"/>
        </w:rPr>
        <w:t>4</w:t>
      </w:r>
      <w:r>
        <w:rPr>
          <w:szCs w:val="24"/>
        </w:rPr>
        <w:t>.2建立健全水务发展机制</w:t>
      </w:r>
      <w:bookmarkEnd w:id="284"/>
      <w:bookmarkEnd w:id="285"/>
    </w:p>
    <w:p>
      <w:pPr>
        <w:ind w:firstLine="480"/>
      </w:pPr>
      <w:r>
        <w:t>建立适应水务发展的机制及体制是实施“十四五”水安全保障规划的重要保障措施之一，是促进水资源可持续利用，实现官渡区经济社会可持续发展战略的重要保障。</w:t>
      </w:r>
    </w:p>
    <w:p>
      <w:pPr>
        <w:numPr>
          <w:ilvl w:val="0"/>
          <w:numId w:val="21"/>
        </w:numPr>
        <w:ind w:left="0" w:firstLine="400" w:firstLineChars="0"/>
      </w:pPr>
      <w:r>
        <w:t>水务发展责任机制：包括政府责任机制、水行政主管部门责任机制、政府有关部门责任机制和社会责任机制等。水务发展规划需要依靠各级政府组织实施。水利是经济社会发展的基础设施，加快水利建设是各级政府的重要职责之一，各级政府要高度重视水利工作将水利建设列入主要的议事日程，政府有关部门要加强配合，团结治水。政府要负责公益性水利项目及准公益性水利项目中公益性部分的建设和管理。</w:t>
      </w:r>
    </w:p>
    <w:p>
      <w:pPr>
        <w:numPr>
          <w:ilvl w:val="0"/>
          <w:numId w:val="21"/>
        </w:numPr>
        <w:ind w:left="0" w:firstLine="400" w:firstLineChars="0"/>
      </w:pPr>
      <w:r>
        <w:t>水务发展投资机制：包括水利建设基金机制、水行政收费制度、社会投劳投资机制、激励机制、鼓励机制以及积极引进外资、争取中央支持、利用银行贷款等其他措施。</w:t>
      </w:r>
    </w:p>
    <w:p>
      <w:pPr>
        <w:numPr>
          <w:ilvl w:val="0"/>
          <w:numId w:val="21"/>
        </w:numPr>
        <w:ind w:left="0" w:firstLine="400" w:firstLineChars="0"/>
      </w:pPr>
      <w:r>
        <w:t>水务发展管理机制：根据水利建设项目的性质和受益程度、受益范围，明确各级政府的管理责任，包括建设管理责任和运行管理责任。</w:t>
      </w:r>
    </w:p>
    <w:p>
      <w:pPr>
        <w:numPr>
          <w:ilvl w:val="0"/>
          <w:numId w:val="21"/>
        </w:numPr>
        <w:ind w:left="0" w:firstLine="400" w:firstLineChars="0"/>
      </w:pPr>
      <w:r>
        <w:t>水利可持续发展机制：包括城乡水务一体化管理机制、统一规划机制、取水许可制度、计划与节约用水制度和水资源保护机制等。</w:t>
      </w:r>
    </w:p>
    <w:p>
      <w:pPr>
        <w:pStyle w:val="6"/>
        <w:rPr>
          <w:szCs w:val="24"/>
        </w:rPr>
      </w:pPr>
      <w:bookmarkStart w:id="286" w:name="_Toc26665"/>
      <w:bookmarkStart w:id="287" w:name="_Toc28405"/>
      <w:r>
        <w:rPr>
          <w:szCs w:val="24"/>
        </w:rPr>
        <w:t>1</w:t>
      </w:r>
      <w:r>
        <w:rPr>
          <w:rFonts w:hint="eastAsia"/>
          <w:szCs w:val="24"/>
        </w:rPr>
        <w:t>4</w:t>
      </w:r>
      <w:r>
        <w:rPr>
          <w:szCs w:val="24"/>
        </w:rPr>
        <w:t>.3 建立巡视督察机制</w:t>
      </w:r>
      <w:bookmarkEnd w:id="286"/>
      <w:bookmarkEnd w:id="287"/>
    </w:p>
    <w:p>
      <w:pPr>
        <w:ind w:firstLine="480"/>
      </w:pPr>
      <w:r>
        <w:t>要集中行业内纪检监察审计和工程稽察力量，配合中央检查组和地方各级监督检查机构，提前介入，主动跟进，全程参与，加大对重点领域、重点项目、重点环节、重点岗位的监督检查力度，既保证建设项目保质量、保安全、保工期，又保证“工程安全、资金安全、干部安全”。</w:t>
      </w:r>
    </w:p>
    <w:p>
      <w:pPr>
        <w:ind w:firstLine="480"/>
      </w:pPr>
      <w:r>
        <w:t>在工程建设质量方面，重点实行监理制，选择技术服务优良的监理单位。小型建设项目由县水利局工程建设质监站负责把关。在工程建设资金使用方面，聘请审计单位定期审查，并接受财政、审计、计划等部门的监控。另外，在工程建设中，接受党委、政府、人大、政协及上级业务部门和其它社会团体的督查指导，保证各项建设的顺利实施。</w:t>
      </w:r>
    </w:p>
    <w:p>
      <w:pPr>
        <w:ind w:firstLine="480"/>
      </w:pPr>
      <w:r>
        <w:t>随着现代水利的不断发展，水行政执法监察的内容不断扩大，因而对水利依法行政提出了更新更高的要求，因此，必须建立完善的巡视督察机制，才能进一步提高水行政执法效率，有效维护正常的水事秩序。</w:t>
      </w:r>
    </w:p>
    <w:p>
      <w:pPr>
        <w:pStyle w:val="6"/>
        <w:rPr>
          <w:szCs w:val="24"/>
        </w:rPr>
      </w:pPr>
      <w:bookmarkStart w:id="288" w:name="_Toc10620"/>
      <w:bookmarkStart w:id="289" w:name="_Toc30259"/>
      <w:r>
        <w:rPr>
          <w:szCs w:val="24"/>
        </w:rPr>
        <w:t>1</w:t>
      </w:r>
      <w:r>
        <w:rPr>
          <w:rFonts w:hint="eastAsia"/>
          <w:szCs w:val="24"/>
        </w:rPr>
        <w:t>4</w:t>
      </w:r>
      <w:r>
        <w:rPr>
          <w:szCs w:val="24"/>
        </w:rPr>
        <w:t>.4强化执法、依法治水</w:t>
      </w:r>
      <w:bookmarkEnd w:id="288"/>
      <w:bookmarkEnd w:id="289"/>
    </w:p>
    <w:p>
      <w:pPr>
        <w:ind w:firstLine="480"/>
      </w:pPr>
      <w:r>
        <w:t>在实行依法治国，全面推行依法行政的今天，依法治水已成为必然。因此，水政监察队伍应从强化执法、依法治水的高度来认识自身工作的重要性，将其摆上重要位置。</w:t>
      </w:r>
    </w:p>
    <w:p>
      <w:pPr>
        <w:numPr>
          <w:ilvl w:val="0"/>
          <w:numId w:val="22"/>
        </w:numPr>
        <w:ind w:left="0" w:firstLine="400" w:firstLineChars="0"/>
      </w:pPr>
      <w:r>
        <w:t>适应依法治水新形势，注重职能观念转变</w:t>
      </w:r>
    </w:p>
    <w:p>
      <w:pPr>
        <w:ind w:firstLine="480"/>
      </w:pPr>
      <w:r>
        <w:t>一是在执法的内容上，由过去主要以水域、水工程保护为主，向开发、利用、节约和保护水资源、防治水害转变，加大对非法凿井、拒缴水资源费等案件的查处力度，遏制擅自和滥用地下水的势头。二是在执法对象上，由过去主要对社会为主，向内外兼顾转变，必须加强对水利工程建设等水事活动的监察，参与水利工程建设期间的监管工作。三是在执法范围上，由过去主要以农村为主，向城乡并举转变。随着城市化进程的加快，水资源短缺日益突出，水污染、地下水过量开采，造成一系列环境、地质问题。只有加强监督和严格执法，才能使水资源得到合理有效的配置。</w:t>
      </w:r>
    </w:p>
    <w:p>
      <w:pPr>
        <w:numPr>
          <w:ilvl w:val="0"/>
          <w:numId w:val="22"/>
        </w:numPr>
        <w:ind w:left="0" w:firstLine="400" w:firstLineChars="0"/>
      </w:pPr>
      <w:r>
        <w:t>注重队伍自身建设</w:t>
      </w:r>
    </w:p>
    <w:p>
      <w:pPr>
        <w:ind w:firstLine="480"/>
      </w:pPr>
      <w:r>
        <w:t>由于水行政执法工作涉及到方方面面，水行政执法工作又在水利工作的最前沿，这就要求水政监察人员不仅知识面要宽，而且要强化不断学习的意识。一方面平时要利用业余时间学习，在强化法律知识学习的同时，兼学水资源管理、水工程建设等水利知识，不断提高自身素质，以适应水行政执法工作的需要。另一方面通过定期组织培训或以案释法等方式，提高队伍的整体业务水平。</w:t>
      </w:r>
    </w:p>
    <w:p>
      <w:pPr>
        <w:numPr>
          <w:ilvl w:val="0"/>
          <w:numId w:val="22"/>
        </w:numPr>
        <w:ind w:left="0" w:firstLine="400" w:firstLineChars="0"/>
      </w:pPr>
      <w:r>
        <w:t>注重加强多级网络建设</w:t>
      </w:r>
    </w:p>
    <w:p>
      <w:pPr>
        <w:ind w:firstLine="480"/>
      </w:pPr>
      <w:r>
        <w:t>水政监察直面城市、农村等方方面面，具有覆盖范围广，工作量大，点多线长的特点。仅依靠市、乡两级水政监察机构很难取得理想效果，并存在许多“盲点”。水政监察网络可按照纵向专职化的体制，巩固市一级、发展乡一级、配备村一级的水政监察网络。</w:t>
      </w:r>
    </w:p>
    <w:p>
      <w:pPr>
        <w:numPr>
          <w:ilvl w:val="0"/>
          <w:numId w:val="22"/>
        </w:numPr>
        <w:ind w:left="0" w:firstLine="400" w:firstLineChars="0"/>
      </w:pPr>
      <w:r>
        <w:t>适应发展新形势，加强保障建设</w:t>
      </w:r>
    </w:p>
    <w:p>
      <w:pPr>
        <w:ind w:firstLine="480"/>
      </w:pPr>
      <w:r>
        <w:t>①建立固定的经费渠道。制度的落实、职责的履行，必须依据现行的有关政策规定，抓住年初预算，在水费、水资源费和防洪</w:t>
      </w:r>
      <w:r>
        <w:rPr>
          <w:rFonts w:hint="eastAsia"/>
        </w:rPr>
        <w:t>保安</w:t>
      </w:r>
      <w:r>
        <w:t>资金中划出一定比例保障水政监察工作的正常支出。②强化执法装备建设。配备必要的通讯、交通等执法装备是保证执法时效、提高战斗力、及时查处违法活动的物质保证。同时要切实解决水政监察人员的后顾之忧，如人身伤害保险、执法补贴、福利待遇等问题。</w:t>
      </w:r>
    </w:p>
    <w:p>
      <w:pPr>
        <w:numPr>
          <w:ilvl w:val="0"/>
          <w:numId w:val="22"/>
        </w:numPr>
        <w:ind w:left="0" w:firstLine="400" w:firstLineChars="0"/>
      </w:pPr>
      <w:r>
        <w:t>加强水法宣传和普法工作</w:t>
      </w:r>
    </w:p>
    <w:p>
      <w:pPr>
        <w:spacing w:line="480" w:lineRule="exact"/>
        <w:ind w:firstLine="480"/>
      </w:pPr>
      <w:r>
        <w:t>利用“世界水日”、“中国水周”等有利时机，采用报刊、广播、电视、标语、录音、录像、知识竞赛、咨询服务等多种形式、对新《水法》、《防洪法》、《河道管理条例》、《行政处罚法》等涉水法律法规进行宣传。</w:t>
      </w:r>
    </w:p>
    <w:p>
      <w:pPr>
        <w:numPr>
          <w:ilvl w:val="0"/>
          <w:numId w:val="22"/>
        </w:numPr>
        <w:ind w:left="0" w:firstLine="400" w:firstLineChars="0"/>
      </w:pPr>
      <w:r>
        <w:t>加强执法监督体系建设</w:t>
      </w:r>
    </w:p>
    <w:p>
      <w:pPr>
        <w:spacing w:line="480" w:lineRule="exact"/>
        <w:ind w:firstLine="480"/>
      </w:pPr>
      <w:r>
        <w:t>健全一个完整的水政监察体系，有一支坚强的执法队伍，有一批敢于执法、善于执法的水政卫士，才能真正完成水法律、法规赋予的历史使命。</w:t>
      </w:r>
    </w:p>
    <w:p>
      <w:pPr>
        <w:pStyle w:val="6"/>
        <w:rPr>
          <w:szCs w:val="24"/>
        </w:rPr>
      </w:pPr>
      <w:bookmarkStart w:id="290" w:name="_Toc876"/>
      <w:bookmarkStart w:id="291" w:name="_Toc23768"/>
      <w:r>
        <w:rPr>
          <w:szCs w:val="24"/>
        </w:rPr>
        <w:t>1</w:t>
      </w:r>
      <w:r>
        <w:rPr>
          <w:rFonts w:hint="eastAsia"/>
          <w:szCs w:val="24"/>
        </w:rPr>
        <w:t>4</w:t>
      </w:r>
      <w:r>
        <w:rPr>
          <w:szCs w:val="24"/>
        </w:rPr>
        <w:t>.5强化基层水务管理队伍建设</w:t>
      </w:r>
      <w:bookmarkEnd w:id="290"/>
      <w:bookmarkEnd w:id="291"/>
    </w:p>
    <w:p>
      <w:pPr>
        <w:ind w:firstLine="480"/>
      </w:pPr>
      <w:r>
        <w:t>抓住机关事业单位</w:t>
      </w:r>
      <w:r>
        <w:rPr>
          <w:rFonts w:hint="eastAsia"/>
          <w:lang w:eastAsia="zh-CN"/>
        </w:rPr>
        <w:t>人力资源和社会保障</w:t>
      </w:r>
      <w:r>
        <w:t>制度改革的契机，积极探索人事制度优改革创新，健全基层乡镇水务站设置、落实人员编制，提高待遇，稳定基层水务管理人员队伍。在考核目标明晰化的前提下，积极探索在在农村就地招募和培养水利员的可行性。由官渡区组织公开招考，择优录用，给予适当经费补助，使之协助基层水管单位开展好基层水利工作。通过制度化的在职培训加强行业人才培育。形成定期、滚动、多形式、多层次、全覆盖的水利专业技术培训机制，提高水利人员素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FangSong_GB2312">
    <w:altName w:val="仿宋"/>
    <w:panose1 w:val="00000000000000000000"/>
    <w:charset w:val="00"/>
    <w:family w:val="roman"/>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5"/>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5"/>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1"/>
      <w:rPr>
        <w:b/>
      </w:rPr>
    </w:pPr>
    <w:r>
      <w:rPr>
        <w:rFonts w:hint="eastAsia"/>
        <w:b/>
      </w:rPr>
      <w:t>昆明市官渡区“十四五”水安全保障规划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8532F"/>
    <w:multiLevelType w:val="singleLevel"/>
    <w:tmpl w:val="8998532F"/>
    <w:lvl w:ilvl="0" w:tentative="0">
      <w:start w:val="1"/>
      <w:numFmt w:val="decimal"/>
      <w:lvlText w:val="(%1)"/>
      <w:lvlJc w:val="left"/>
      <w:pPr>
        <w:ind w:left="425" w:hanging="425"/>
      </w:pPr>
      <w:rPr>
        <w:rFonts w:hint="default"/>
      </w:rPr>
    </w:lvl>
  </w:abstractNum>
  <w:abstractNum w:abstractNumId="1">
    <w:nsid w:val="A346140D"/>
    <w:multiLevelType w:val="singleLevel"/>
    <w:tmpl w:val="A346140D"/>
    <w:lvl w:ilvl="0" w:tentative="0">
      <w:start w:val="1"/>
      <w:numFmt w:val="decimal"/>
      <w:lvlText w:val="(%1)"/>
      <w:lvlJc w:val="left"/>
      <w:pPr>
        <w:ind w:left="425" w:hanging="425"/>
      </w:pPr>
      <w:rPr>
        <w:rFonts w:hint="default"/>
      </w:rPr>
    </w:lvl>
  </w:abstractNum>
  <w:abstractNum w:abstractNumId="2">
    <w:nsid w:val="AFC5639B"/>
    <w:multiLevelType w:val="singleLevel"/>
    <w:tmpl w:val="AFC5639B"/>
    <w:lvl w:ilvl="0" w:tentative="0">
      <w:start w:val="1"/>
      <w:numFmt w:val="decimal"/>
      <w:lvlText w:val="(%1)"/>
      <w:lvlJc w:val="left"/>
      <w:pPr>
        <w:ind w:left="425" w:hanging="425"/>
      </w:pPr>
      <w:rPr>
        <w:rFonts w:hint="default"/>
      </w:rPr>
    </w:lvl>
  </w:abstractNum>
  <w:abstractNum w:abstractNumId="3">
    <w:nsid w:val="C5A08B97"/>
    <w:multiLevelType w:val="singleLevel"/>
    <w:tmpl w:val="C5A08B97"/>
    <w:lvl w:ilvl="0" w:tentative="0">
      <w:start w:val="1"/>
      <w:numFmt w:val="decimal"/>
      <w:lvlText w:val="(%1)"/>
      <w:lvlJc w:val="left"/>
      <w:pPr>
        <w:ind w:left="425" w:hanging="425"/>
      </w:pPr>
      <w:rPr>
        <w:rFonts w:hint="default"/>
      </w:rPr>
    </w:lvl>
  </w:abstractNum>
  <w:abstractNum w:abstractNumId="4">
    <w:nsid w:val="C5E283E1"/>
    <w:multiLevelType w:val="multilevel"/>
    <w:tmpl w:val="C5E283E1"/>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0" w:firstLine="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C8C48B36"/>
    <w:multiLevelType w:val="singleLevel"/>
    <w:tmpl w:val="C8C48B36"/>
    <w:lvl w:ilvl="0" w:tentative="0">
      <w:start w:val="1"/>
      <w:numFmt w:val="decimal"/>
      <w:lvlText w:val="(%1)"/>
      <w:lvlJc w:val="left"/>
      <w:pPr>
        <w:ind w:left="425" w:hanging="425"/>
      </w:pPr>
      <w:rPr>
        <w:rFonts w:hint="default"/>
      </w:rPr>
    </w:lvl>
  </w:abstractNum>
  <w:abstractNum w:abstractNumId="6">
    <w:nsid w:val="CB001FC6"/>
    <w:multiLevelType w:val="multilevel"/>
    <w:tmpl w:val="CB001FC6"/>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D10F38E6"/>
    <w:multiLevelType w:val="singleLevel"/>
    <w:tmpl w:val="D10F38E6"/>
    <w:lvl w:ilvl="0" w:tentative="0">
      <w:start w:val="1"/>
      <w:numFmt w:val="decimal"/>
      <w:lvlText w:val="(%1)"/>
      <w:lvlJc w:val="left"/>
      <w:pPr>
        <w:ind w:left="425" w:hanging="425"/>
      </w:pPr>
      <w:rPr>
        <w:rFonts w:hint="default"/>
      </w:rPr>
    </w:lvl>
  </w:abstractNum>
  <w:abstractNum w:abstractNumId="8">
    <w:nsid w:val="D321190E"/>
    <w:multiLevelType w:val="singleLevel"/>
    <w:tmpl w:val="D321190E"/>
    <w:lvl w:ilvl="0" w:tentative="0">
      <w:start w:val="1"/>
      <w:numFmt w:val="decimal"/>
      <w:lvlText w:val="(%1)"/>
      <w:lvlJc w:val="left"/>
      <w:pPr>
        <w:ind w:left="425" w:hanging="425"/>
      </w:pPr>
      <w:rPr>
        <w:rFonts w:hint="default"/>
        <w:sz w:val="18"/>
        <w:szCs w:val="18"/>
      </w:rPr>
    </w:lvl>
  </w:abstractNum>
  <w:abstractNum w:abstractNumId="9">
    <w:nsid w:val="E7CC7847"/>
    <w:multiLevelType w:val="singleLevel"/>
    <w:tmpl w:val="E7CC7847"/>
    <w:lvl w:ilvl="0" w:tentative="0">
      <w:start w:val="1"/>
      <w:numFmt w:val="decimal"/>
      <w:lvlText w:val="(%1)"/>
      <w:lvlJc w:val="left"/>
      <w:pPr>
        <w:ind w:left="425" w:hanging="425"/>
      </w:pPr>
      <w:rPr>
        <w:rFonts w:hint="default"/>
      </w:rPr>
    </w:lvl>
  </w:abstractNum>
  <w:abstractNum w:abstractNumId="10">
    <w:nsid w:val="F3BB00CD"/>
    <w:multiLevelType w:val="singleLevel"/>
    <w:tmpl w:val="F3BB00CD"/>
    <w:lvl w:ilvl="0" w:tentative="0">
      <w:start w:val="1"/>
      <w:numFmt w:val="decimal"/>
      <w:lvlText w:val="%1)"/>
      <w:lvlJc w:val="left"/>
      <w:pPr>
        <w:ind w:left="425" w:hanging="425"/>
      </w:pPr>
      <w:rPr>
        <w:rFonts w:hint="default"/>
      </w:rPr>
    </w:lvl>
  </w:abstractNum>
  <w:abstractNum w:abstractNumId="11">
    <w:nsid w:val="FD19D17D"/>
    <w:multiLevelType w:val="singleLevel"/>
    <w:tmpl w:val="FD19D17D"/>
    <w:lvl w:ilvl="0" w:tentative="0">
      <w:start w:val="1"/>
      <w:numFmt w:val="decimal"/>
      <w:lvlText w:val="(%1)"/>
      <w:lvlJc w:val="left"/>
      <w:pPr>
        <w:ind w:left="425" w:hanging="425"/>
      </w:pPr>
      <w:rPr>
        <w:rFonts w:hint="default"/>
      </w:rPr>
    </w:lvl>
  </w:abstractNum>
  <w:abstractNum w:abstractNumId="12">
    <w:nsid w:val="FF559283"/>
    <w:multiLevelType w:val="singleLevel"/>
    <w:tmpl w:val="FF559283"/>
    <w:lvl w:ilvl="0" w:tentative="0">
      <w:start w:val="1"/>
      <w:numFmt w:val="decimal"/>
      <w:lvlText w:val="(%1)"/>
      <w:lvlJc w:val="left"/>
      <w:pPr>
        <w:ind w:left="425" w:hanging="425"/>
      </w:pPr>
      <w:rPr>
        <w:rFonts w:hint="default"/>
      </w:rPr>
    </w:lvl>
  </w:abstractNum>
  <w:abstractNum w:abstractNumId="13">
    <w:nsid w:val="102A9A26"/>
    <w:multiLevelType w:val="singleLevel"/>
    <w:tmpl w:val="102A9A26"/>
    <w:lvl w:ilvl="0" w:tentative="0">
      <w:start w:val="1"/>
      <w:numFmt w:val="decimal"/>
      <w:lvlText w:val="(%1)"/>
      <w:lvlJc w:val="left"/>
      <w:pPr>
        <w:ind w:left="425" w:hanging="425"/>
      </w:pPr>
      <w:rPr>
        <w:rFonts w:hint="default"/>
      </w:rPr>
    </w:lvl>
  </w:abstractNum>
  <w:abstractNum w:abstractNumId="14">
    <w:nsid w:val="22B757A0"/>
    <w:multiLevelType w:val="singleLevel"/>
    <w:tmpl w:val="22B757A0"/>
    <w:lvl w:ilvl="0" w:tentative="0">
      <w:start w:val="1"/>
      <w:numFmt w:val="decimal"/>
      <w:lvlText w:val="(%1)"/>
      <w:lvlJc w:val="left"/>
      <w:pPr>
        <w:ind w:left="425" w:hanging="425"/>
      </w:pPr>
      <w:rPr>
        <w:rFonts w:hint="default"/>
      </w:rPr>
    </w:lvl>
  </w:abstractNum>
  <w:abstractNum w:abstractNumId="15">
    <w:nsid w:val="2D23BD11"/>
    <w:multiLevelType w:val="singleLevel"/>
    <w:tmpl w:val="2D23BD11"/>
    <w:lvl w:ilvl="0" w:tentative="0">
      <w:start w:val="1"/>
      <w:numFmt w:val="decimal"/>
      <w:lvlText w:val="%1)"/>
      <w:lvlJc w:val="left"/>
      <w:pPr>
        <w:ind w:left="425" w:hanging="425"/>
      </w:pPr>
      <w:rPr>
        <w:rFonts w:hint="default"/>
      </w:rPr>
    </w:lvl>
  </w:abstractNum>
  <w:abstractNum w:abstractNumId="16">
    <w:nsid w:val="3412B4B4"/>
    <w:multiLevelType w:val="singleLevel"/>
    <w:tmpl w:val="3412B4B4"/>
    <w:lvl w:ilvl="0" w:tentative="0">
      <w:start w:val="1"/>
      <w:numFmt w:val="decimal"/>
      <w:lvlText w:val="(%1)"/>
      <w:lvlJc w:val="left"/>
      <w:pPr>
        <w:ind w:left="425" w:hanging="425"/>
      </w:pPr>
      <w:rPr>
        <w:rFonts w:hint="default"/>
      </w:rPr>
    </w:lvl>
  </w:abstractNum>
  <w:abstractNum w:abstractNumId="17">
    <w:nsid w:val="3F00F78E"/>
    <w:multiLevelType w:val="singleLevel"/>
    <w:tmpl w:val="3F00F78E"/>
    <w:lvl w:ilvl="0" w:tentative="0">
      <w:start w:val="1"/>
      <w:numFmt w:val="decimal"/>
      <w:lvlText w:val="(%1)"/>
      <w:lvlJc w:val="left"/>
      <w:pPr>
        <w:ind w:left="425" w:hanging="425"/>
      </w:pPr>
      <w:rPr>
        <w:rFonts w:hint="default"/>
      </w:rPr>
    </w:lvl>
  </w:abstractNum>
  <w:abstractNum w:abstractNumId="18">
    <w:nsid w:val="4E7D3F21"/>
    <w:multiLevelType w:val="singleLevel"/>
    <w:tmpl w:val="4E7D3F21"/>
    <w:lvl w:ilvl="0" w:tentative="0">
      <w:start w:val="1"/>
      <w:numFmt w:val="decimal"/>
      <w:lvlText w:val="(%1)"/>
      <w:lvlJc w:val="left"/>
      <w:pPr>
        <w:ind w:left="425" w:hanging="425"/>
      </w:pPr>
      <w:rPr>
        <w:rFonts w:hint="default"/>
      </w:rPr>
    </w:lvl>
  </w:abstractNum>
  <w:abstractNum w:abstractNumId="19">
    <w:nsid w:val="5ABE2CB2"/>
    <w:multiLevelType w:val="singleLevel"/>
    <w:tmpl w:val="5ABE2CB2"/>
    <w:lvl w:ilvl="0" w:tentative="0">
      <w:start w:val="1"/>
      <w:numFmt w:val="decimal"/>
      <w:lvlText w:val="(%1)"/>
      <w:lvlJc w:val="left"/>
      <w:pPr>
        <w:ind w:left="425" w:hanging="425"/>
      </w:pPr>
      <w:rPr>
        <w:rFonts w:hint="default"/>
      </w:rPr>
    </w:lvl>
  </w:abstractNum>
  <w:abstractNum w:abstractNumId="20">
    <w:nsid w:val="5FBB32E8"/>
    <w:multiLevelType w:val="multilevel"/>
    <w:tmpl w:val="5FBB32E8"/>
    <w:lvl w:ilvl="0" w:tentative="0">
      <w:start w:val="1"/>
      <w:numFmt w:val="decimal"/>
      <w:lvlText w:val="%1."/>
      <w:lvlJc w:val="left"/>
      <w:pPr>
        <w:tabs>
          <w:tab w:val="left" w:pos="312"/>
        </w:tabs>
      </w:pPr>
      <w:rPr>
        <w:rFonts w:hint="default"/>
        <w:sz w:val="21"/>
        <w:szCs w:val="21"/>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1">
    <w:nsid w:val="7A81E753"/>
    <w:multiLevelType w:val="singleLevel"/>
    <w:tmpl w:val="7A81E753"/>
    <w:lvl w:ilvl="0" w:tentative="0">
      <w:start w:val="1"/>
      <w:numFmt w:val="decimalEnclosedCircleChinese"/>
      <w:suff w:val="nothing"/>
      <w:lvlText w:val="%1　"/>
      <w:lvlJc w:val="left"/>
      <w:pPr>
        <w:ind w:left="0" w:firstLine="400"/>
      </w:pPr>
      <w:rPr>
        <w:rFonts w:hint="eastAsia"/>
      </w:rPr>
    </w:lvl>
  </w:abstractNum>
  <w:num w:numId="1">
    <w:abstractNumId w:val="14"/>
  </w:num>
  <w:num w:numId="2">
    <w:abstractNumId w:val="0"/>
  </w:num>
  <w:num w:numId="3">
    <w:abstractNumId w:val="17"/>
  </w:num>
  <w:num w:numId="4">
    <w:abstractNumId w:val="13"/>
  </w:num>
  <w:num w:numId="5">
    <w:abstractNumId w:val="19"/>
  </w:num>
  <w:num w:numId="6">
    <w:abstractNumId w:val="3"/>
  </w:num>
  <w:num w:numId="7">
    <w:abstractNumId w:val="6"/>
  </w:num>
  <w:num w:numId="8">
    <w:abstractNumId w:val="8"/>
  </w:num>
  <w:num w:numId="9">
    <w:abstractNumId w:val="20"/>
  </w:num>
  <w:num w:numId="10">
    <w:abstractNumId w:val="4"/>
  </w:num>
  <w:num w:numId="11">
    <w:abstractNumId w:val="5"/>
  </w:num>
  <w:num w:numId="12">
    <w:abstractNumId w:val="11"/>
  </w:num>
  <w:num w:numId="13">
    <w:abstractNumId w:val="1"/>
  </w:num>
  <w:num w:numId="14">
    <w:abstractNumId w:val="2"/>
  </w:num>
  <w:num w:numId="15">
    <w:abstractNumId w:val="10"/>
  </w:num>
  <w:num w:numId="16">
    <w:abstractNumId w:val="9"/>
  </w:num>
  <w:num w:numId="17">
    <w:abstractNumId w:val="21"/>
  </w:num>
  <w:num w:numId="18">
    <w:abstractNumId w:val="16"/>
  </w:num>
  <w:num w:numId="19">
    <w:abstractNumId w:val="15"/>
  </w:num>
  <w:num w:numId="20">
    <w:abstractNumId w:val="7"/>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hideSpellingErrors/>
  <w:documentProtection w:enforcement="0"/>
  <w:defaultTabStop w:val="420"/>
  <w:drawingGridVerticalSpacing w:val="198"/>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172A27"/>
    <w:rsid w:val="00001CC1"/>
    <w:rsid w:val="000138D6"/>
    <w:rsid w:val="00024199"/>
    <w:rsid w:val="00026787"/>
    <w:rsid w:val="00036361"/>
    <w:rsid w:val="00037BD1"/>
    <w:rsid w:val="000542E0"/>
    <w:rsid w:val="00067B09"/>
    <w:rsid w:val="000839C0"/>
    <w:rsid w:val="00090DDB"/>
    <w:rsid w:val="000A1764"/>
    <w:rsid w:val="000A1E38"/>
    <w:rsid w:val="000A62FA"/>
    <w:rsid w:val="000B731E"/>
    <w:rsid w:val="000C6ED3"/>
    <w:rsid w:val="000E0E99"/>
    <w:rsid w:val="000E2149"/>
    <w:rsid w:val="000F6F0E"/>
    <w:rsid w:val="000F7D8A"/>
    <w:rsid w:val="0011301D"/>
    <w:rsid w:val="0011365A"/>
    <w:rsid w:val="001227B1"/>
    <w:rsid w:val="00124540"/>
    <w:rsid w:val="001423A5"/>
    <w:rsid w:val="00144AAA"/>
    <w:rsid w:val="001524CB"/>
    <w:rsid w:val="00152A76"/>
    <w:rsid w:val="001544DF"/>
    <w:rsid w:val="0016667E"/>
    <w:rsid w:val="00172A27"/>
    <w:rsid w:val="00190FE8"/>
    <w:rsid w:val="00195ECC"/>
    <w:rsid w:val="001E4F2B"/>
    <w:rsid w:val="001F1ABC"/>
    <w:rsid w:val="001F2FD7"/>
    <w:rsid w:val="001F4001"/>
    <w:rsid w:val="001F555B"/>
    <w:rsid w:val="00204EAE"/>
    <w:rsid w:val="002058F5"/>
    <w:rsid w:val="00205E06"/>
    <w:rsid w:val="0021231C"/>
    <w:rsid w:val="00225E59"/>
    <w:rsid w:val="00226164"/>
    <w:rsid w:val="002370E7"/>
    <w:rsid w:val="00250ACE"/>
    <w:rsid w:val="00250E51"/>
    <w:rsid w:val="0025223A"/>
    <w:rsid w:val="002742D6"/>
    <w:rsid w:val="00276D1B"/>
    <w:rsid w:val="00277236"/>
    <w:rsid w:val="00277899"/>
    <w:rsid w:val="0028066E"/>
    <w:rsid w:val="002877DF"/>
    <w:rsid w:val="002949E0"/>
    <w:rsid w:val="002A1D34"/>
    <w:rsid w:val="002A2311"/>
    <w:rsid w:val="002A37FD"/>
    <w:rsid w:val="002A79D0"/>
    <w:rsid w:val="002A7BDF"/>
    <w:rsid w:val="002D1124"/>
    <w:rsid w:val="002D58F2"/>
    <w:rsid w:val="002D7717"/>
    <w:rsid w:val="002E22D8"/>
    <w:rsid w:val="002F522B"/>
    <w:rsid w:val="003037B1"/>
    <w:rsid w:val="00311DAF"/>
    <w:rsid w:val="00312469"/>
    <w:rsid w:val="0031258F"/>
    <w:rsid w:val="0032025B"/>
    <w:rsid w:val="00320B48"/>
    <w:rsid w:val="00343B80"/>
    <w:rsid w:val="00344978"/>
    <w:rsid w:val="0035425E"/>
    <w:rsid w:val="00363F37"/>
    <w:rsid w:val="00364487"/>
    <w:rsid w:val="003757F9"/>
    <w:rsid w:val="00380F91"/>
    <w:rsid w:val="0039070A"/>
    <w:rsid w:val="003922E3"/>
    <w:rsid w:val="003A1A43"/>
    <w:rsid w:val="003A2161"/>
    <w:rsid w:val="003A2E49"/>
    <w:rsid w:val="003B68F4"/>
    <w:rsid w:val="003E39E7"/>
    <w:rsid w:val="003F394E"/>
    <w:rsid w:val="003F3BB7"/>
    <w:rsid w:val="0040088B"/>
    <w:rsid w:val="00432CA2"/>
    <w:rsid w:val="00434901"/>
    <w:rsid w:val="0045119A"/>
    <w:rsid w:val="0045157F"/>
    <w:rsid w:val="00451CB8"/>
    <w:rsid w:val="00462B89"/>
    <w:rsid w:val="00464034"/>
    <w:rsid w:val="004645C7"/>
    <w:rsid w:val="0047214B"/>
    <w:rsid w:val="004759FA"/>
    <w:rsid w:val="00487117"/>
    <w:rsid w:val="00492CBA"/>
    <w:rsid w:val="004E3D77"/>
    <w:rsid w:val="004E67CE"/>
    <w:rsid w:val="004E71A8"/>
    <w:rsid w:val="004F060E"/>
    <w:rsid w:val="004F27D1"/>
    <w:rsid w:val="0050119A"/>
    <w:rsid w:val="00505DF0"/>
    <w:rsid w:val="005145F7"/>
    <w:rsid w:val="00522994"/>
    <w:rsid w:val="005308C1"/>
    <w:rsid w:val="00533923"/>
    <w:rsid w:val="00546284"/>
    <w:rsid w:val="005670FA"/>
    <w:rsid w:val="005B4605"/>
    <w:rsid w:val="005B47F6"/>
    <w:rsid w:val="005C1F7D"/>
    <w:rsid w:val="005F01C0"/>
    <w:rsid w:val="005F05D0"/>
    <w:rsid w:val="005F2364"/>
    <w:rsid w:val="00610677"/>
    <w:rsid w:val="00621076"/>
    <w:rsid w:val="0062147A"/>
    <w:rsid w:val="0067188B"/>
    <w:rsid w:val="00671F31"/>
    <w:rsid w:val="006840DC"/>
    <w:rsid w:val="00690DB2"/>
    <w:rsid w:val="006A0B4C"/>
    <w:rsid w:val="006A1F61"/>
    <w:rsid w:val="006A1F97"/>
    <w:rsid w:val="006A324B"/>
    <w:rsid w:val="006A3997"/>
    <w:rsid w:val="006B5817"/>
    <w:rsid w:val="006C4BBE"/>
    <w:rsid w:val="006C6852"/>
    <w:rsid w:val="006D01EB"/>
    <w:rsid w:val="006D63D7"/>
    <w:rsid w:val="006E255A"/>
    <w:rsid w:val="006F02C2"/>
    <w:rsid w:val="006F66A4"/>
    <w:rsid w:val="00705814"/>
    <w:rsid w:val="00733120"/>
    <w:rsid w:val="00735FF8"/>
    <w:rsid w:val="0074214E"/>
    <w:rsid w:val="00770571"/>
    <w:rsid w:val="007706D3"/>
    <w:rsid w:val="00790394"/>
    <w:rsid w:val="007968ED"/>
    <w:rsid w:val="007B16AA"/>
    <w:rsid w:val="007C35C7"/>
    <w:rsid w:val="007C5839"/>
    <w:rsid w:val="007C695D"/>
    <w:rsid w:val="007E5817"/>
    <w:rsid w:val="007F53F5"/>
    <w:rsid w:val="007F5FA2"/>
    <w:rsid w:val="0080726C"/>
    <w:rsid w:val="00812268"/>
    <w:rsid w:val="00821B28"/>
    <w:rsid w:val="008235DE"/>
    <w:rsid w:val="00834077"/>
    <w:rsid w:val="00836187"/>
    <w:rsid w:val="00845627"/>
    <w:rsid w:val="00877009"/>
    <w:rsid w:val="0088431C"/>
    <w:rsid w:val="008A5E33"/>
    <w:rsid w:val="008B5890"/>
    <w:rsid w:val="008B5E17"/>
    <w:rsid w:val="008B698A"/>
    <w:rsid w:val="008B70BE"/>
    <w:rsid w:val="008C3F0C"/>
    <w:rsid w:val="008D21D6"/>
    <w:rsid w:val="008E4450"/>
    <w:rsid w:val="008F1297"/>
    <w:rsid w:val="00927600"/>
    <w:rsid w:val="00933144"/>
    <w:rsid w:val="00944C45"/>
    <w:rsid w:val="00945BEA"/>
    <w:rsid w:val="0095024F"/>
    <w:rsid w:val="00953CCE"/>
    <w:rsid w:val="009636CE"/>
    <w:rsid w:val="0097278E"/>
    <w:rsid w:val="009B43F6"/>
    <w:rsid w:val="009B5782"/>
    <w:rsid w:val="009C2627"/>
    <w:rsid w:val="009C4316"/>
    <w:rsid w:val="009D7F08"/>
    <w:rsid w:val="009F30F1"/>
    <w:rsid w:val="009F6E0E"/>
    <w:rsid w:val="00A303C3"/>
    <w:rsid w:val="00A332BF"/>
    <w:rsid w:val="00A4325F"/>
    <w:rsid w:val="00A51728"/>
    <w:rsid w:val="00A5494C"/>
    <w:rsid w:val="00A57D63"/>
    <w:rsid w:val="00A61BDC"/>
    <w:rsid w:val="00A63BD7"/>
    <w:rsid w:val="00A84F92"/>
    <w:rsid w:val="00A93237"/>
    <w:rsid w:val="00A93246"/>
    <w:rsid w:val="00AA535E"/>
    <w:rsid w:val="00AB1E2F"/>
    <w:rsid w:val="00AB56E2"/>
    <w:rsid w:val="00AC0BDF"/>
    <w:rsid w:val="00AC4527"/>
    <w:rsid w:val="00AD4195"/>
    <w:rsid w:val="00AD5160"/>
    <w:rsid w:val="00AE4575"/>
    <w:rsid w:val="00AE716E"/>
    <w:rsid w:val="00AF0067"/>
    <w:rsid w:val="00B0146E"/>
    <w:rsid w:val="00B01D59"/>
    <w:rsid w:val="00B3723F"/>
    <w:rsid w:val="00B45333"/>
    <w:rsid w:val="00B5024F"/>
    <w:rsid w:val="00B50921"/>
    <w:rsid w:val="00B64017"/>
    <w:rsid w:val="00B678FB"/>
    <w:rsid w:val="00B80B29"/>
    <w:rsid w:val="00B86109"/>
    <w:rsid w:val="00BA3CA1"/>
    <w:rsid w:val="00BC1319"/>
    <w:rsid w:val="00BC7D5B"/>
    <w:rsid w:val="00BD210D"/>
    <w:rsid w:val="00BD356D"/>
    <w:rsid w:val="00BD664F"/>
    <w:rsid w:val="00BD7E99"/>
    <w:rsid w:val="00BF5485"/>
    <w:rsid w:val="00C0400D"/>
    <w:rsid w:val="00C05643"/>
    <w:rsid w:val="00C169A3"/>
    <w:rsid w:val="00C25402"/>
    <w:rsid w:val="00C32DA2"/>
    <w:rsid w:val="00C32EDD"/>
    <w:rsid w:val="00C33EBB"/>
    <w:rsid w:val="00C35A71"/>
    <w:rsid w:val="00C40B3E"/>
    <w:rsid w:val="00C56089"/>
    <w:rsid w:val="00C66C0C"/>
    <w:rsid w:val="00C825BA"/>
    <w:rsid w:val="00C84981"/>
    <w:rsid w:val="00C90996"/>
    <w:rsid w:val="00C95124"/>
    <w:rsid w:val="00CA4B22"/>
    <w:rsid w:val="00CB7E3F"/>
    <w:rsid w:val="00CC6FB8"/>
    <w:rsid w:val="00CD2684"/>
    <w:rsid w:val="00CE025F"/>
    <w:rsid w:val="00CE77F7"/>
    <w:rsid w:val="00CF6FF6"/>
    <w:rsid w:val="00CF7684"/>
    <w:rsid w:val="00D03FF4"/>
    <w:rsid w:val="00D0455A"/>
    <w:rsid w:val="00D0487F"/>
    <w:rsid w:val="00D13224"/>
    <w:rsid w:val="00D15EFF"/>
    <w:rsid w:val="00D3060A"/>
    <w:rsid w:val="00D62DD5"/>
    <w:rsid w:val="00D65D45"/>
    <w:rsid w:val="00D6622A"/>
    <w:rsid w:val="00D953EE"/>
    <w:rsid w:val="00DA15CE"/>
    <w:rsid w:val="00DA4E40"/>
    <w:rsid w:val="00DA5E92"/>
    <w:rsid w:val="00E214C7"/>
    <w:rsid w:val="00E4176E"/>
    <w:rsid w:val="00E45B3F"/>
    <w:rsid w:val="00E53424"/>
    <w:rsid w:val="00E70D07"/>
    <w:rsid w:val="00E91BFF"/>
    <w:rsid w:val="00EC0FD4"/>
    <w:rsid w:val="00EC5975"/>
    <w:rsid w:val="00EE33AF"/>
    <w:rsid w:val="00EE37B6"/>
    <w:rsid w:val="00EF0D9F"/>
    <w:rsid w:val="00EF1799"/>
    <w:rsid w:val="00EF5FA5"/>
    <w:rsid w:val="00F24342"/>
    <w:rsid w:val="00F2574B"/>
    <w:rsid w:val="00F37FFB"/>
    <w:rsid w:val="00F42DA6"/>
    <w:rsid w:val="00F6641C"/>
    <w:rsid w:val="00F92147"/>
    <w:rsid w:val="00FB4B05"/>
    <w:rsid w:val="00FC0DDE"/>
    <w:rsid w:val="00FC17E3"/>
    <w:rsid w:val="00FC71F0"/>
    <w:rsid w:val="00FD4512"/>
    <w:rsid w:val="00FE376B"/>
    <w:rsid w:val="00FF2604"/>
    <w:rsid w:val="012966D6"/>
    <w:rsid w:val="01F20B5F"/>
    <w:rsid w:val="0201777E"/>
    <w:rsid w:val="031F30DB"/>
    <w:rsid w:val="03523A5F"/>
    <w:rsid w:val="03661162"/>
    <w:rsid w:val="03EA6824"/>
    <w:rsid w:val="03FE636D"/>
    <w:rsid w:val="04EF2FDA"/>
    <w:rsid w:val="05EE46AD"/>
    <w:rsid w:val="06042435"/>
    <w:rsid w:val="060923FD"/>
    <w:rsid w:val="06432306"/>
    <w:rsid w:val="06D91100"/>
    <w:rsid w:val="08175E98"/>
    <w:rsid w:val="0852532D"/>
    <w:rsid w:val="08C132DF"/>
    <w:rsid w:val="08EF5F7E"/>
    <w:rsid w:val="08FA571E"/>
    <w:rsid w:val="093A77F4"/>
    <w:rsid w:val="0A4E7174"/>
    <w:rsid w:val="0AF744C9"/>
    <w:rsid w:val="0CAE14FB"/>
    <w:rsid w:val="0CD067C1"/>
    <w:rsid w:val="0D065401"/>
    <w:rsid w:val="0D3C2F19"/>
    <w:rsid w:val="0DB427F0"/>
    <w:rsid w:val="0DE13EB2"/>
    <w:rsid w:val="0FAE5632"/>
    <w:rsid w:val="0FB77226"/>
    <w:rsid w:val="0FDA555D"/>
    <w:rsid w:val="100846A9"/>
    <w:rsid w:val="10614069"/>
    <w:rsid w:val="108A34A4"/>
    <w:rsid w:val="111104A3"/>
    <w:rsid w:val="112102E6"/>
    <w:rsid w:val="11D45EDC"/>
    <w:rsid w:val="11EA69D6"/>
    <w:rsid w:val="11FC6B67"/>
    <w:rsid w:val="14050A48"/>
    <w:rsid w:val="14890C65"/>
    <w:rsid w:val="14A12BF6"/>
    <w:rsid w:val="14FE568D"/>
    <w:rsid w:val="151378CB"/>
    <w:rsid w:val="157E0B4E"/>
    <w:rsid w:val="15C611BB"/>
    <w:rsid w:val="16183636"/>
    <w:rsid w:val="161E2084"/>
    <w:rsid w:val="16B858C5"/>
    <w:rsid w:val="17107A7D"/>
    <w:rsid w:val="173A42EA"/>
    <w:rsid w:val="177162C3"/>
    <w:rsid w:val="184376F8"/>
    <w:rsid w:val="19E71852"/>
    <w:rsid w:val="1A0E10D5"/>
    <w:rsid w:val="1A427698"/>
    <w:rsid w:val="1CAA611B"/>
    <w:rsid w:val="1D222A1E"/>
    <w:rsid w:val="1D2462AC"/>
    <w:rsid w:val="1D6F08CB"/>
    <w:rsid w:val="1D750219"/>
    <w:rsid w:val="1E5B7E25"/>
    <w:rsid w:val="1F1D20D2"/>
    <w:rsid w:val="1F3777DF"/>
    <w:rsid w:val="1F664F53"/>
    <w:rsid w:val="1F722E45"/>
    <w:rsid w:val="1F7C158A"/>
    <w:rsid w:val="1F841B1C"/>
    <w:rsid w:val="1FB453DC"/>
    <w:rsid w:val="200C6B7F"/>
    <w:rsid w:val="203A0769"/>
    <w:rsid w:val="20A43E5C"/>
    <w:rsid w:val="20C932CD"/>
    <w:rsid w:val="214C21B3"/>
    <w:rsid w:val="21F64F05"/>
    <w:rsid w:val="22D52841"/>
    <w:rsid w:val="23257C0A"/>
    <w:rsid w:val="2446714F"/>
    <w:rsid w:val="247B5ACE"/>
    <w:rsid w:val="25D656CB"/>
    <w:rsid w:val="269D0E7C"/>
    <w:rsid w:val="27605706"/>
    <w:rsid w:val="29C56E5C"/>
    <w:rsid w:val="2A374220"/>
    <w:rsid w:val="2A5340FD"/>
    <w:rsid w:val="2A5C0926"/>
    <w:rsid w:val="2AB64C54"/>
    <w:rsid w:val="2B3E2216"/>
    <w:rsid w:val="2B816B21"/>
    <w:rsid w:val="2BA539EA"/>
    <w:rsid w:val="2BC612F1"/>
    <w:rsid w:val="2BE462CA"/>
    <w:rsid w:val="2BE71DD9"/>
    <w:rsid w:val="2CE14F75"/>
    <w:rsid w:val="2D1F65F8"/>
    <w:rsid w:val="2E845FDF"/>
    <w:rsid w:val="2E853D65"/>
    <w:rsid w:val="2F497058"/>
    <w:rsid w:val="2F577AFA"/>
    <w:rsid w:val="30B8451C"/>
    <w:rsid w:val="30C36F47"/>
    <w:rsid w:val="31E15D7E"/>
    <w:rsid w:val="31E40DD4"/>
    <w:rsid w:val="33125CA4"/>
    <w:rsid w:val="3361569B"/>
    <w:rsid w:val="33936F5D"/>
    <w:rsid w:val="33BF4F28"/>
    <w:rsid w:val="33C876CA"/>
    <w:rsid w:val="34014E72"/>
    <w:rsid w:val="341874AC"/>
    <w:rsid w:val="343B184B"/>
    <w:rsid w:val="347F4F8C"/>
    <w:rsid w:val="34963664"/>
    <w:rsid w:val="35B92711"/>
    <w:rsid w:val="365756C7"/>
    <w:rsid w:val="369E5CC3"/>
    <w:rsid w:val="37D30E07"/>
    <w:rsid w:val="38A42DA1"/>
    <w:rsid w:val="39261D5F"/>
    <w:rsid w:val="39720CEE"/>
    <w:rsid w:val="398F3824"/>
    <w:rsid w:val="3AFE55F3"/>
    <w:rsid w:val="3BAB7C1F"/>
    <w:rsid w:val="3C18536A"/>
    <w:rsid w:val="3C4B15D4"/>
    <w:rsid w:val="3D321013"/>
    <w:rsid w:val="3D847490"/>
    <w:rsid w:val="3DBA1A96"/>
    <w:rsid w:val="3EBB7350"/>
    <w:rsid w:val="3F853C75"/>
    <w:rsid w:val="3FA92731"/>
    <w:rsid w:val="3FB52B6D"/>
    <w:rsid w:val="40741DDA"/>
    <w:rsid w:val="41C47875"/>
    <w:rsid w:val="4204037E"/>
    <w:rsid w:val="42D22D27"/>
    <w:rsid w:val="434E5FF9"/>
    <w:rsid w:val="44263B9B"/>
    <w:rsid w:val="44453DDE"/>
    <w:rsid w:val="4455314C"/>
    <w:rsid w:val="45091C30"/>
    <w:rsid w:val="458C6819"/>
    <w:rsid w:val="46002253"/>
    <w:rsid w:val="46730BB9"/>
    <w:rsid w:val="46BB6557"/>
    <w:rsid w:val="46D66D8B"/>
    <w:rsid w:val="47222248"/>
    <w:rsid w:val="47FC5A7C"/>
    <w:rsid w:val="48377E39"/>
    <w:rsid w:val="494407E9"/>
    <w:rsid w:val="49AF3E86"/>
    <w:rsid w:val="4AA046C9"/>
    <w:rsid w:val="4ABE518C"/>
    <w:rsid w:val="4B733036"/>
    <w:rsid w:val="4B760CF7"/>
    <w:rsid w:val="4BC949DC"/>
    <w:rsid w:val="4D3E2CA5"/>
    <w:rsid w:val="4D4A7571"/>
    <w:rsid w:val="4D7D488E"/>
    <w:rsid w:val="4DC37154"/>
    <w:rsid w:val="4E3E557A"/>
    <w:rsid w:val="4E630F50"/>
    <w:rsid w:val="4ED5309A"/>
    <w:rsid w:val="4EFE71B3"/>
    <w:rsid w:val="4F830E92"/>
    <w:rsid w:val="4FDE1CD3"/>
    <w:rsid w:val="50A146EF"/>
    <w:rsid w:val="50EB6FDE"/>
    <w:rsid w:val="514D6453"/>
    <w:rsid w:val="51801006"/>
    <w:rsid w:val="51936AF2"/>
    <w:rsid w:val="51A90DD4"/>
    <w:rsid w:val="533B31BB"/>
    <w:rsid w:val="533F3D6F"/>
    <w:rsid w:val="53DC265A"/>
    <w:rsid w:val="5486504B"/>
    <w:rsid w:val="54B30AEA"/>
    <w:rsid w:val="55FF5897"/>
    <w:rsid w:val="564324BD"/>
    <w:rsid w:val="568D70CD"/>
    <w:rsid w:val="56972CD0"/>
    <w:rsid w:val="574E3B46"/>
    <w:rsid w:val="58311AD5"/>
    <w:rsid w:val="58C84153"/>
    <w:rsid w:val="59271254"/>
    <w:rsid w:val="59CD7043"/>
    <w:rsid w:val="59D43111"/>
    <w:rsid w:val="59E81982"/>
    <w:rsid w:val="59F315A0"/>
    <w:rsid w:val="5A137381"/>
    <w:rsid w:val="5A1C7626"/>
    <w:rsid w:val="5A54714F"/>
    <w:rsid w:val="5AC51105"/>
    <w:rsid w:val="5ACE2C3C"/>
    <w:rsid w:val="5B1F52BD"/>
    <w:rsid w:val="5C306127"/>
    <w:rsid w:val="5C463329"/>
    <w:rsid w:val="5C55394D"/>
    <w:rsid w:val="5C5E338C"/>
    <w:rsid w:val="5C6B5962"/>
    <w:rsid w:val="5D8C2872"/>
    <w:rsid w:val="5DAE1BDB"/>
    <w:rsid w:val="5DE1293A"/>
    <w:rsid w:val="5ED13376"/>
    <w:rsid w:val="602F34CD"/>
    <w:rsid w:val="603C5595"/>
    <w:rsid w:val="612D1961"/>
    <w:rsid w:val="61934239"/>
    <w:rsid w:val="640C7913"/>
    <w:rsid w:val="646D729E"/>
    <w:rsid w:val="6487131E"/>
    <w:rsid w:val="65BF3249"/>
    <w:rsid w:val="66DA75E6"/>
    <w:rsid w:val="6A1C6B63"/>
    <w:rsid w:val="6A5631E5"/>
    <w:rsid w:val="6B101B47"/>
    <w:rsid w:val="6B7C6591"/>
    <w:rsid w:val="6BB853A9"/>
    <w:rsid w:val="6BC66AC6"/>
    <w:rsid w:val="6BD52227"/>
    <w:rsid w:val="6C360D0A"/>
    <w:rsid w:val="6CF758A6"/>
    <w:rsid w:val="6D052491"/>
    <w:rsid w:val="6D257306"/>
    <w:rsid w:val="6D4A258C"/>
    <w:rsid w:val="6D934E9E"/>
    <w:rsid w:val="6DF359EF"/>
    <w:rsid w:val="6DFC3271"/>
    <w:rsid w:val="6E2E33B7"/>
    <w:rsid w:val="6E3269A4"/>
    <w:rsid w:val="6E92695F"/>
    <w:rsid w:val="6E9F3B25"/>
    <w:rsid w:val="6EF42AB9"/>
    <w:rsid w:val="6F313F16"/>
    <w:rsid w:val="6F8654C7"/>
    <w:rsid w:val="708862A6"/>
    <w:rsid w:val="70D931C3"/>
    <w:rsid w:val="7134667E"/>
    <w:rsid w:val="71507B16"/>
    <w:rsid w:val="716A2472"/>
    <w:rsid w:val="720F3735"/>
    <w:rsid w:val="73276611"/>
    <w:rsid w:val="733E1186"/>
    <w:rsid w:val="738F4490"/>
    <w:rsid w:val="73B30438"/>
    <w:rsid w:val="747043AB"/>
    <w:rsid w:val="74A64022"/>
    <w:rsid w:val="751C51D3"/>
    <w:rsid w:val="75EE689A"/>
    <w:rsid w:val="76FA5246"/>
    <w:rsid w:val="77024548"/>
    <w:rsid w:val="78077227"/>
    <w:rsid w:val="78687710"/>
    <w:rsid w:val="791E4FA3"/>
    <w:rsid w:val="792025FD"/>
    <w:rsid w:val="794D08C6"/>
    <w:rsid w:val="799610F3"/>
    <w:rsid w:val="7A45086A"/>
    <w:rsid w:val="7B4D0AF7"/>
    <w:rsid w:val="7B8225B4"/>
    <w:rsid w:val="7B86748A"/>
    <w:rsid w:val="7B8A58AD"/>
    <w:rsid w:val="7C3E1FC1"/>
    <w:rsid w:val="7DEF7F27"/>
    <w:rsid w:val="7E8675ED"/>
    <w:rsid w:val="7F1D19AF"/>
    <w:rsid w:val="7FDD7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30"/>
    <w:qFormat/>
    <w:uiPriority w:val="0"/>
    <w:pPr>
      <w:keepNext/>
      <w:keepLines/>
      <w:spacing w:before="120" w:after="120" w:line="360" w:lineRule="auto"/>
      <w:jc w:val="center"/>
      <w:outlineLvl w:val="0"/>
    </w:pPr>
    <w:rPr>
      <w:b/>
      <w:bCs/>
      <w:kern w:val="44"/>
      <w:sz w:val="30"/>
      <w:szCs w:val="44"/>
    </w:rPr>
  </w:style>
  <w:style w:type="paragraph" w:styleId="6">
    <w:name w:val="heading 2"/>
    <w:basedOn w:val="1"/>
    <w:next w:val="1"/>
    <w:link w:val="31"/>
    <w:qFormat/>
    <w:uiPriority w:val="0"/>
    <w:pPr>
      <w:keepNext/>
      <w:keepLines/>
      <w:ind w:firstLine="0" w:firstLineChars="0"/>
      <w:outlineLvl w:val="1"/>
    </w:pPr>
    <w:rPr>
      <w:rFonts w:eastAsia="黑体"/>
      <w:b/>
      <w:bCs/>
      <w:kern w:val="0"/>
      <w:szCs w:val="32"/>
    </w:rPr>
  </w:style>
  <w:style w:type="paragraph" w:styleId="2">
    <w:name w:val="heading 3"/>
    <w:basedOn w:val="3"/>
    <w:next w:val="4"/>
    <w:link w:val="34"/>
    <w:autoRedefine/>
    <w:unhideWhenUsed/>
    <w:qFormat/>
    <w:uiPriority w:val="0"/>
    <w:pPr>
      <w:adjustRightInd w:val="0"/>
      <w:outlineLvl w:val="2"/>
    </w:pPr>
    <w:rPr>
      <w:rFonts w:eastAsia="宋体"/>
      <w:kern w:val="0"/>
      <w:szCs w:val="32"/>
    </w:rPr>
  </w:style>
  <w:style w:type="paragraph" w:styleId="3">
    <w:name w:val="heading 4"/>
    <w:basedOn w:val="1"/>
    <w:next w:val="1"/>
    <w:link w:val="35"/>
    <w:unhideWhenUsed/>
    <w:qFormat/>
    <w:uiPriority w:val="9"/>
    <w:pPr>
      <w:keepNext/>
      <w:keepLines/>
      <w:ind w:firstLine="0" w:firstLineChars="0"/>
      <w:outlineLvl w:val="3"/>
    </w:pPr>
    <w:rPr>
      <w:rFonts w:eastAsiaTheme="majorEastAsia" w:cstheme="majorBidi"/>
      <w:b/>
      <w:bCs/>
      <w:szCs w:val="28"/>
    </w:rPr>
  </w:style>
  <w:style w:type="paragraph" w:styleId="7">
    <w:name w:val="heading 5"/>
    <w:basedOn w:val="1"/>
    <w:next w:val="1"/>
    <w:link w:val="62"/>
    <w:unhideWhenUsed/>
    <w:qFormat/>
    <w:uiPriority w:val="9"/>
    <w:pPr>
      <w:keepNext/>
      <w:keepLines/>
      <w:spacing w:line="240" w:lineRule="auto"/>
      <w:ind w:firstLine="0" w:firstLineChars="0"/>
      <w:outlineLvl w:val="4"/>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4">
    <w:name w:val="正文小四"/>
    <w:basedOn w:val="1"/>
    <w:qFormat/>
    <w:uiPriority w:val="99"/>
    <w:pPr>
      <w:autoSpaceDE w:val="0"/>
      <w:autoSpaceDN w:val="0"/>
      <w:adjustRightInd w:val="0"/>
    </w:pPr>
    <w:rPr>
      <w:rFonts w:ascii="Calibri" w:hAnsi="Calibri"/>
      <w:color w:val="000000"/>
    </w:rPr>
  </w:style>
  <w:style w:type="paragraph" w:styleId="8">
    <w:name w:val="Document Map"/>
    <w:basedOn w:val="1"/>
    <w:link w:val="33"/>
    <w:semiHidden/>
    <w:unhideWhenUsed/>
    <w:qFormat/>
    <w:uiPriority w:val="99"/>
    <w:rPr>
      <w:rFonts w:ascii="宋体"/>
      <w:sz w:val="18"/>
      <w:szCs w:val="18"/>
    </w:rPr>
  </w:style>
  <w:style w:type="paragraph" w:styleId="9">
    <w:name w:val="annotation text"/>
    <w:basedOn w:val="1"/>
    <w:link w:val="53"/>
    <w:semiHidden/>
    <w:unhideWhenUsed/>
    <w:qFormat/>
    <w:uiPriority w:val="99"/>
    <w:pPr>
      <w:jc w:val="left"/>
    </w:pPr>
  </w:style>
  <w:style w:type="paragraph" w:styleId="10">
    <w:name w:val="Body Text"/>
    <w:basedOn w:val="1"/>
    <w:qFormat/>
    <w:uiPriority w:val="0"/>
    <w:pPr>
      <w:spacing w:after="120"/>
    </w:pPr>
  </w:style>
  <w:style w:type="paragraph" w:styleId="11">
    <w:name w:val="Body Text Indent"/>
    <w:basedOn w:val="1"/>
    <w:autoRedefine/>
    <w:qFormat/>
    <w:uiPriority w:val="0"/>
    <w:pPr>
      <w:ind w:firstLine="640"/>
    </w:pPr>
    <w:rPr>
      <w:rFonts w:eastAsia="仿宋_GB2312"/>
      <w:sz w:val="32"/>
    </w:rPr>
  </w:style>
  <w:style w:type="paragraph" w:styleId="12">
    <w:name w:val="toc 3"/>
    <w:basedOn w:val="1"/>
    <w:next w:val="1"/>
    <w:semiHidden/>
    <w:unhideWhenUsed/>
    <w:qFormat/>
    <w:uiPriority w:val="39"/>
    <w:pPr>
      <w:ind w:left="840" w:leftChars="400"/>
    </w:pPr>
  </w:style>
  <w:style w:type="paragraph" w:styleId="13">
    <w:name w:val="Date"/>
    <w:basedOn w:val="1"/>
    <w:next w:val="1"/>
    <w:link w:val="39"/>
    <w:semiHidden/>
    <w:unhideWhenUsed/>
    <w:qFormat/>
    <w:uiPriority w:val="99"/>
    <w:pPr>
      <w:ind w:left="100" w:leftChars="2500"/>
    </w:pPr>
  </w:style>
  <w:style w:type="paragraph" w:styleId="14">
    <w:name w:val="Balloon Text"/>
    <w:basedOn w:val="1"/>
    <w:link w:val="40"/>
    <w:semiHidden/>
    <w:unhideWhenUsed/>
    <w:qFormat/>
    <w:uiPriority w:val="99"/>
    <w:pPr>
      <w:spacing w:line="240" w:lineRule="auto"/>
    </w:pPr>
    <w:rPr>
      <w:sz w:val="18"/>
      <w:szCs w:val="18"/>
    </w:rPr>
  </w:style>
  <w:style w:type="paragraph" w:styleId="15">
    <w:name w:val="footer"/>
    <w:basedOn w:val="1"/>
    <w:link w:val="29"/>
    <w:autoRedefine/>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16">
    <w:name w:val="header"/>
    <w:basedOn w:val="1"/>
    <w:link w:val="28"/>
    <w:unhideWhenUsed/>
    <w:qFormat/>
    <w:uiPriority w:val="0"/>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17">
    <w:name w:val="toc 1"/>
    <w:basedOn w:val="1"/>
    <w:next w:val="1"/>
    <w:qFormat/>
    <w:uiPriority w:val="39"/>
    <w:pPr>
      <w:spacing w:before="120" w:after="120" w:line="240" w:lineRule="auto"/>
      <w:ind w:firstLine="0" w:firstLineChars="0"/>
      <w:jc w:val="left"/>
    </w:pPr>
    <w:rPr>
      <w:b/>
      <w:bCs/>
      <w:caps/>
      <w:szCs w:val="20"/>
    </w:rPr>
  </w:style>
  <w:style w:type="paragraph" w:styleId="18">
    <w:name w:val="toc 2"/>
    <w:basedOn w:val="1"/>
    <w:next w:val="1"/>
    <w:qFormat/>
    <w:uiPriority w:val="39"/>
    <w:pPr>
      <w:ind w:left="210"/>
      <w:jc w:val="left"/>
    </w:pPr>
    <w:rPr>
      <w:smallCaps/>
      <w:sz w:val="20"/>
      <w:szCs w:val="20"/>
    </w:rPr>
  </w:style>
  <w:style w:type="paragraph" w:styleId="19">
    <w:name w:val="Normal (Web)"/>
    <w:basedOn w:val="1"/>
    <w:unhideWhenUsed/>
    <w:qFormat/>
    <w:uiPriority w:val="99"/>
    <w:pPr>
      <w:spacing w:before="100" w:beforeAutospacing="1" w:after="100" w:afterAutospacing="1"/>
      <w:jc w:val="left"/>
    </w:pPr>
    <w:rPr>
      <w:kern w:val="0"/>
    </w:rPr>
  </w:style>
  <w:style w:type="paragraph" w:styleId="20">
    <w:name w:val="annotation subject"/>
    <w:basedOn w:val="9"/>
    <w:next w:val="9"/>
    <w:link w:val="54"/>
    <w:semiHidden/>
    <w:unhideWhenUsed/>
    <w:qFormat/>
    <w:uiPriority w:val="99"/>
    <w:rPr>
      <w:b/>
      <w:bCs/>
    </w:rPr>
  </w:style>
  <w:style w:type="paragraph" w:styleId="21">
    <w:name w:val="Body Text First Indent"/>
    <w:basedOn w:val="10"/>
    <w:qFormat/>
    <w:uiPriority w:val="0"/>
    <w:pPr>
      <w:ind w:firstLine="420" w:firstLineChars="100"/>
    </w:p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basedOn w:val="24"/>
    <w:qFormat/>
    <w:uiPriority w:val="0"/>
    <w:rPr>
      <w:rFonts w:ascii="Times New Roman" w:hAnsi="Times New Roman" w:eastAsia="宋体"/>
      <w:b/>
      <w:bCs/>
      <w:sz w:val="21"/>
    </w:rPr>
  </w:style>
  <w:style w:type="character" w:styleId="26">
    <w:name w:val="Hyperlink"/>
    <w:qFormat/>
    <w:uiPriority w:val="99"/>
    <w:rPr>
      <w:rFonts w:hint="default"/>
      <w:color w:val="0081EF"/>
      <w:spacing w:val="0"/>
      <w:sz w:val="24"/>
      <w:szCs w:val="24"/>
      <w:u w:val="none"/>
    </w:rPr>
  </w:style>
  <w:style w:type="character" w:styleId="27">
    <w:name w:val="annotation reference"/>
    <w:basedOn w:val="24"/>
    <w:semiHidden/>
    <w:unhideWhenUsed/>
    <w:qFormat/>
    <w:uiPriority w:val="99"/>
    <w:rPr>
      <w:sz w:val="21"/>
      <w:szCs w:val="21"/>
    </w:rPr>
  </w:style>
  <w:style w:type="character" w:customStyle="1" w:styleId="28">
    <w:name w:val="页眉 Char"/>
    <w:basedOn w:val="24"/>
    <w:link w:val="16"/>
    <w:qFormat/>
    <w:uiPriority w:val="0"/>
    <w:rPr>
      <w:sz w:val="18"/>
      <w:szCs w:val="18"/>
    </w:rPr>
  </w:style>
  <w:style w:type="character" w:customStyle="1" w:styleId="29">
    <w:name w:val="页脚 Char"/>
    <w:basedOn w:val="24"/>
    <w:link w:val="15"/>
    <w:qFormat/>
    <w:uiPriority w:val="99"/>
    <w:rPr>
      <w:sz w:val="18"/>
      <w:szCs w:val="18"/>
    </w:rPr>
  </w:style>
  <w:style w:type="character" w:customStyle="1" w:styleId="30">
    <w:name w:val="标题 1 Char"/>
    <w:basedOn w:val="24"/>
    <w:link w:val="5"/>
    <w:qFormat/>
    <w:uiPriority w:val="0"/>
    <w:rPr>
      <w:rFonts w:ascii="Times New Roman" w:hAnsi="Times New Roman" w:eastAsia="宋体" w:cs="Times New Roman"/>
      <w:b/>
      <w:bCs/>
      <w:kern w:val="44"/>
      <w:sz w:val="30"/>
      <w:szCs w:val="44"/>
    </w:rPr>
  </w:style>
  <w:style w:type="character" w:customStyle="1" w:styleId="31">
    <w:name w:val="标题 2 Char"/>
    <w:basedOn w:val="24"/>
    <w:link w:val="6"/>
    <w:qFormat/>
    <w:uiPriority w:val="0"/>
    <w:rPr>
      <w:rFonts w:ascii="Times New Roman" w:hAnsi="Times New Roman" w:eastAsia="黑体" w:cs="Times New Roman"/>
      <w:b/>
      <w:bCs/>
      <w:kern w:val="0"/>
      <w:sz w:val="28"/>
      <w:szCs w:val="32"/>
    </w:rPr>
  </w:style>
  <w:style w:type="character" w:customStyle="1" w:styleId="32">
    <w:name w:val="lh25px"/>
    <w:basedOn w:val="24"/>
    <w:qFormat/>
    <w:uiPriority w:val="0"/>
    <w:rPr>
      <w:rFonts w:asciiTheme="minorEastAsia" w:hAnsiTheme="minorEastAsia" w:eastAsiaTheme="minorEastAsia"/>
      <w:color w:val="auto"/>
      <w:sz w:val="28"/>
    </w:rPr>
  </w:style>
  <w:style w:type="character" w:customStyle="1" w:styleId="33">
    <w:name w:val="文档结构图 Char"/>
    <w:basedOn w:val="24"/>
    <w:link w:val="8"/>
    <w:semiHidden/>
    <w:qFormat/>
    <w:uiPriority w:val="99"/>
    <w:rPr>
      <w:rFonts w:ascii="宋体" w:hAnsi="Times New Roman" w:eastAsia="宋体" w:cs="Times New Roman"/>
      <w:sz w:val="18"/>
      <w:szCs w:val="18"/>
    </w:rPr>
  </w:style>
  <w:style w:type="character" w:customStyle="1" w:styleId="34">
    <w:name w:val="标题 3 Char"/>
    <w:basedOn w:val="24"/>
    <w:link w:val="2"/>
    <w:qFormat/>
    <w:uiPriority w:val="0"/>
    <w:rPr>
      <w:rFonts w:ascii="Times New Roman" w:hAnsi="Times New Roman" w:eastAsia="宋体" w:cs="Times New Roman"/>
      <w:b/>
      <w:bCs/>
      <w:kern w:val="0"/>
      <w:sz w:val="28"/>
      <w:szCs w:val="32"/>
    </w:rPr>
  </w:style>
  <w:style w:type="character" w:customStyle="1" w:styleId="35">
    <w:name w:val="标题 4 Char"/>
    <w:basedOn w:val="24"/>
    <w:link w:val="3"/>
    <w:qFormat/>
    <w:uiPriority w:val="9"/>
    <w:rPr>
      <w:rFonts w:ascii="Times New Roman" w:hAnsi="Times New Roman" w:eastAsiaTheme="majorEastAsia" w:cstheme="majorBidi"/>
      <w:b/>
      <w:bCs/>
      <w:sz w:val="28"/>
      <w:szCs w:val="28"/>
    </w:rPr>
  </w:style>
  <w:style w:type="paragraph" w:styleId="36">
    <w:name w:val="No Spacing"/>
    <w:qFormat/>
    <w:uiPriority w:val="0"/>
    <w:pPr>
      <w:widowControl w:val="0"/>
      <w:spacing w:line="360" w:lineRule="auto"/>
      <w:jc w:val="center"/>
    </w:pPr>
    <w:rPr>
      <w:rFonts w:ascii="Times New Roman" w:hAnsi="Times New Roman" w:eastAsia="宋体" w:cs="Times New Roman"/>
      <w:b/>
      <w:kern w:val="2"/>
      <w:sz w:val="24"/>
      <w:szCs w:val="22"/>
      <w:lang w:val="en-US" w:eastAsia="zh-CN" w:bidi="ar-SA"/>
    </w:rPr>
  </w:style>
  <w:style w:type="paragraph" w:customStyle="1" w:styleId="37">
    <w:name w:val="表格"/>
    <w:basedOn w:val="1"/>
    <w:qFormat/>
    <w:uiPriority w:val="0"/>
    <w:pPr>
      <w:spacing w:line="300" w:lineRule="exact"/>
      <w:ind w:firstLine="0" w:firstLineChars="0"/>
      <w:jc w:val="center"/>
    </w:pPr>
    <w:rPr>
      <w:kern w:val="0"/>
      <w:sz w:val="20"/>
      <w:szCs w:val="20"/>
    </w:rPr>
  </w:style>
  <w:style w:type="paragraph" w:customStyle="1" w:styleId="38">
    <w:name w:val="正文首行缩进两字"/>
    <w:basedOn w:val="1"/>
    <w:qFormat/>
    <w:uiPriority w:val="0"/>
    <w:pPr>
      <w:snapToGrid w:val="0"/>
      <w:spacing w:line="300" w:lineRule="auto"/>
    </w:pPr>
    <w:rPr>
      <w:color w:val="000000"/>
      <w:kern w:val="0"/>
      <w:szCs w:val="28"/>
    </w:rPr>
  </w:style>
  <w:style w:type="character" w:customStyle="1" w:styleId="39">
    <w:name w:val="日期 Char"/>
    <w:basedOn w:val="24"/>
    <w:link w:val="13"/>
    <w:semiHidden/>
    <w:qFormat/>
    <w:uiPriority w:val="99"/>
    <w:rPr>
      <w:rFonts w:ascii="Times New Roman" w:hAnsi="Times New Roman" w:eastAsia="宋体" w:cs="Times New Roman"/>
      <w:sz w:val="28"/>
      <w:szCs w:val="24"/>
    </w:rPr>
  </w:style>
  <w:style w:type="character" w:customStyle="1" w:styleId="40">
    <w:name w:val="批注框文本 Char"/>
    <w:basedOn w:val="24"/>
    <w:link w:val="14"/>
    <w:semiHidden/>
    <w:qFormat/>
    <w:uiPriority w:val="99"/>
    <w:rPr>
      <w:rFonts w:ascii="Times New Roman" w:hAnsi="Times New Roman" w:eastAsia="宋体" w:cs="Times New Roman"/>
      <w:sz w:val="18"/>
      <w:szCs w:val="18"/>
    </w:rPr>
  </w:style>
  <w:style w:type="paragraph" w:customStyle="1" w:styleId="41">
    <w:name w:val="样式 宋体 四号 黑色 行距: 1.5 倍行距"/>
    <w:basedOn w:val="1"/>
    <w:qFormat/>
    <w:uiPriority w:val="0"/>
    <w:pPr>
      <w:spacing w:line="360" w:lineRule="auto"/>
      <w:ind w:firstLine="560"/>
    </w:pPr>
    <w:rPr>
      <w:rFonts w:ascii="宋体" w:hAnsi="宋体" w:cs="宋体"/>
      <w:kern w:val="0"/>
      <w:szCs w:val="28"/>
    </w:rPr>
  </w:style>
  <w:style w:type="character" w:customStyle="1" w:styleId="42">
    <w:name w:val="font41"/>
    <w:basedOn w:val="24"/>
    <w:qFormat/>
    <w:uiPriority w:val="0"/>
    <w:rPr>
      <w:rFonts w:hint="eastAsia" w:ascii="宋体" w:hAnsi="宋体" w:eastAsia="宋体" w:cs="宋体"/>
      <w:b/>
      <w:color w:val="000000"/>
      <w:sz w:val="18"/>
      <w:szCs w:val="18"/>
      <w:u w:val="none"/>
    </w:rPr>
  </w:style>
  <w:style w:type="character" w:customStyle="1" w:styleId="43">
    <w:name w:val="font51"/>
    <w:basedOn w:val="24"/>
    <w:qFormat/>
    <w:uiPriority w:val="0"/>
    <w:rPr>
      <w:rFonts w:hint="default" w:ascii="Times New Roman" w:hAnsi="Times New Roman" w:cs="Times New Roman"/>
      <w:b/>
      <w:color w:val="000000"/>
      <w:sz w:val="18"/>
      <w:szCs w:val="18"/>
      <w:u w:val="none"/>
    </w:rPr>
  </w:style>
  <w:style w:type="character" w:customStyle="1" w:styleId="44">
    <w:name w:val="font11"/>
    <w:basedOn w:val="24"/>
    <w:qFormat/>
    <w:uiPriority w:val="0"/>
    <w:rPr>
      <w:rFonts w:hint="default" w:ascii="Times New Roman" w:hAnsi="Times New Roman" w:cs="Times New Roman"/>
      <w:b/>
      <w:color w:val="000000"/>
      <w:sz w:val="18"/>
      <w:szCs w:val="18"/>
      <w:u w:val="none"/>
      <w:vertAlign w:val="superscript"/>
    </w:rPr>
  </w:style>
  <w:style w:type="character" w:customStyle="1" w:styleId="45">
    <w:name w:val="font31"/>
    <w:basedOn w:val="24"/>
    <w:qFormat/>
    <w:uiPriority w:val="0"/>
    <w:rPr>
      <w:rFonts w:hint="eastAsia" w:ascii="宋体" w:hAnsi="宋体" w:eastAsia="宋体" w:cs="宋体"/>
      <w:b/>
      <w:color w:val="000000"/>
      <w:sz w:val="18"/>
      <w:szCs w:val="18"/>
      <w:u w:val="none"/>
    </w:rPr>
  </w:style>
  <w:style w:type="character" w:customStyle="1" w:styleId="46">
    <w:name w:val="font81"/>
    <w:basedOn w:val="24"/>
    <w:qFormat/>
    <w:uiPriority w:val="0"/>
    <w:rPr>
      <w:rFonts w:hint="eastAsia" w:ascii="宋体" w:hAnsi="宋体" w:eastAsia="宋体" w:cs="宋体"/>
      <w:b/>
      <w:color w:val="000000"/>
      <w:sz w:val="20"/>
      <w:szCs w:val="20"/>
      <w:u w:val="none"/>
    </w:rPr>
  </w:style>
  <w:style w:type="character" w:customStyle="1" w:styleId="47">
    <w:name w:val="font21"/>
    <w:basedOn w:val="24"/>
    <w:qFormat/>
    <w:uiPriority w:val="0"/>
    <w:rPr>
      <w:rFonts w:hint="default" w:ascii="Times New Roman" w:hAnsi="Times New Roman" w:cs="Times New Roman"/>
      <w:b/>
      <w:color w:val="000000"/>
      <w:sz w:val="18"/>
      <w:szCs w:val="18"/>
      <w:u w:val="none"/>
    </w:rPr>
  </w:style>
  <w:style w:type="character" w:customStyle="1" w:styleId="48">
    <w:name w:val="font71"/>
    <w:basedOn w:val="24"/>
    <w:qFormat/>
    <w:uiPriority w:val="0"/>
    <w:rPr>
      <w:rFonts w:hint="default" w:ascii="Times New Roman" w:hAnsi="Times New Roman" w:cs="Times New Roman"/>
      <w:b/>
      <w:color w:val="000000"/>
      <w:sz w:val="18"/>
      <w:szCs w:val="18"/>
      <w:u w:val="none"/>
      <w:vertAlign w:val="superscript"/>
    </w:rPr>
  </w:style>
  <w:style w:type="character" w:customStyle="1" w:styleId="49">
    <w:name w:val="font61"/>
    <w:basedOn w:val="24"/>
    <w:qFormat/>
    <w:uiPriority w:val="0"/>
    <w:rPr>
      <w:rFonts w:hint="eastAsia" w:ascii="宋体" w:hAnsi="宋体" w:eastAsia="宋体" w:cs="宋体"/>
      <w:b/>
      <w:color w:val="000000"/>
      <w:sz w:val="20"/>
      <w:szCs w:val="20"/>
      <w:u w:val="none"/>
    </w:rPr>
  </w:style>
  <w:style w:type="character" w:customStyle="1" w:styleId="50">
    <w:name w:val="font01"/>
    <w:basedOn w:val="24"/>
    <w:qFormat/>
    <w:uiPriority w:val="0"/>
    <w:rPr>
      <w:rFonts w:hint="default" w:ascii="Times New Roman" w:hAnsi="Times New Roman" w:cs="Times New Roman"/>
      <w:b/>
      <w:color w:val="000000"/>
      <w:sz w:val="18"/>
      <w:szCs w:val="18"/>
      <w:u w:val="none"/>
    </w:rPr>
  </w:style>
  <w:style w:type="character" w:customStyle="1" w:styleId="51">
    <w:name w:val="font111"/>
    <w:basedOn w:val="24"/>
    <w:qFormat/>
    <w:uiPriority w:val="0"/>
    <w:rPr>
      <w:rFonts w:hint="default" w:ascii="Times New Roman" w:hAnsi="Times New Roman" w:cs="Times New Roman"/>
      <w:color w:val="000000"/>
      <w:sz w:val="21"/>
      <w:szCs w:val="21"/>
      <w:u w:val="none"/>
    </w:rPr>
  </w:style>
  <w:style w:type="character" w:customStyle="1" w:styleId="52">
    <w:name w:val="font101"/>
    <w:basedOn w:val="24"/>
    <w:qFormat/>
    <w:uiPriority w:val="0"/>
    <w:rPr>
      <w:rFonts w:hint="eastAsia" w:ascii="宋体" w:hAnsi="宋体" w:eastAsia="宋体" w:cs="宋体"/>
      <w:color w:val="000000"/>
      <w:sz w:val="21"/>
      <w:szCs w:val="21"/>
      <w:u w:val="none"/>
    </w:rPr>
  </w:style>
  <w:style w:type="character" w:customStyle="1" w:styleId="53">
    <w:name w:val="批注文字 Char"/>
    <w:basedOn w:val="24"/>
    <w:link w:val="9"/>
    <w:semiHidden/>
    <w:qFormat/>
    <w:uiPriority w:val="99"/>
    <w:rPr>
      <w:kern w:val="2"/>
      <w:sz w:val="28"/>
      <w:szCs w:val="24"/>
    </w:rPr>
  </w:style>
  <w:style w:type="character" w:customStyle="1" w:styleId="54">
    <w:name w:val="批注主题 Char"/>
    <w:basedOn w:val="53"/>
    <w:link w:val="20"/>
    <w:semiHidden/>
    <w:qFormat/>
    <w:uiPriority w:val="99"/>
    <w:rPr>
      <w:b/>
      <w:bCs/>
      <w:kern w:val="2"/>
      <w:sz w:val="28"/>
      <w:szCs w:val="24"/>
    </w:rPr>
  </w:style>
  <w:style w:type="character" w:styleId="55">
    <w:name w:val="Placeholder Text"/>
    <w:basedOn w:val="24"/>
    <w:unhideWhenUsed/>
    <w:qFormat/>
    <w:uiPriority w:val="99"/>
    <w:rPr>
      <w:color w:val="808080"/>
    </w:rPr>
  </w:style>
  <w:style w:type="paragraph" w:customStyle="1" w:styleId="56">
    <w:name w:val="图表标题"/>
    <w:basedOn w:val="1"/>
    <w:qFormat/>
    <w:uiPriority w:val="0"/>
    <w:pPr>
      <w:spacing w:line="240" w:lineRule="auto"/>
      <w:ind w:firstLine="0" w:firstLineChars="0"/>
      <w:jc w:val="center"/>
    </w:pPr>
    <w:rPr>
      <w:b/>
    </w:rPr>
  </w:style>
  <w:style w:type="paragraph" w:customStyle="1" w:styleId="57">
    <w:name w:val="标题4"/>
    <w:basedOn w:val="1"/>
    <w:qFormat/>
    <w:uiPriority w:val="0"/>
    <w:pPr>
      <w:adjustRightInd w:val="0"/>
      <w:ind w:firstLine="0" w:firstLineChars="0"/>
      <w:jc w:val="left"/>
      <w:textAlignment w:val="baseline"/>
      <w:outlineLvl w:val="3"/>
    </w:pPr>
    <w:rPr>
      <w:rFonts w:eastAsiaTheme="minorEastAsia"/>
      <w:b/>
      <w:kern w:val="0"/>
      <w:szCs w:val="28"/>
    </w:rPr>
  </w:style>
  <w:style w:type="paragraph" w:customStyle="1" w:styleId="58">
    <w:name w:val="样式 正文首行缩进 + 首行缩进:  2 字符"/>
    <w:basedOn w:val="21"/>
    <w:qFormat/>
    <w:uiPriority w:val="0"/>
    <w:pPr>
      <w:wordWrap w:val="0"/>
      <w:topLinePunct/>
      <w:spacing w:after="0" w:line="360" w:lineRule="auto"/>
      <w:ind w:firstLine="480" w:firstLineChars="200"/>
    </w:pPr>
    <w:rPr>
      <w:rFonts w:ascii="宋体" w:hAnsi="宋体" w:cs="宋体"/>
    </w:rPr>
  </w:style>
  <w:style w:type="paragraph" w:customStyle="1" w:styleId="59">
    <w:name w:val="Table Paragraph"/>
    <w:basedOn w:val="1"/>
    <w:qFormat/>
    <w:uiPriority w:val="0"/>
    <w:pPr>
      <w:jc w:val="left"/>
    </w:pPr>
    <w:rPr>
      <w:rFonts w:ascii="Calibri" w:hAnsi="Calibri" w:cs="黑体"/>
      <w:sz w:val="22"/>
      <w:szCs w:val="22"/>
      <w:lang w:eastAsia="en-US"/>
    </w:rPr>
  </w:style>
  <w:style w:type="paragraph" w:customStyle="1" w:styleId="60">
    <w:name w:val="官渡表中字"/>
    <w:next w:val="1"/>
    <w:qFormat/>
    <w:uiPriority w:val="0"/>
    <w:pPr>
      <w:widowControl w:val="0"/>
      <w:jc w:val="center"/>
    </w:pPr>
    <w:rPr>
      <w:rFonts w:ascii="Times New Roman" w:hAnsi="Times New Roman" w:eastAsia="楷体" w:cs="Arial"/>
      <w:kern w:val="2"/>
      <w:sz w:val="28"/>
      <w:szCs w:val="24"/>
      <w:lang w:val="en-US" w:eastAsia="zh-CN" w:bidi="ar-SA"/>
    </w:rPr>
  </w:style>
  <w:style w:type="character" w:customStyle="1" w:styleId="61">
    <w:name w:val="font91"/>
    <w:basedOn w:val="24"/>
    <w:qFormat/>
    <w:uiPriority w:val="0"/>
    <w:rPr>
      <w:rFonts w:hint="default" w:ascii="仿宋_GB2312" w:eastAsia="仿宋_GB2312" w:cs="仿宋_GB2312"/>
      <w:color w:val="000000"/>
      <w:sz w:val="20"/>
      <w:szCs w:val="20"/>
      <w:u w:val="none"/>
    </w:rPr>
  </w:style>
  <w:style w:type="character" w:customStyle="1" w:styleId="62">
    <w:name w:val="标题 5 Char"/>
    <w:link w:val="7"/>
    <w:qFormat/>
    <w:uiPriority w:val="9"/>
    <w:rPr>
      <w:rFonts w:ascii="Times New Roman" w:hAnsi="Times New Roman" w:eastAsia="宋体"/>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0D5ED-072C-4E89-8622-43F615D6408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9426</Words>
  <Characters>53730</Characters>
  <Lines>447</Lines>
  <Paragraphs>126</Paragraphs>
  <TotalTime>174</TotalTime>
  <ScaleCrop>false</ScaleCrop>
  <LinksUpToDate>false</LinksUpToDate>
  <CharactersWithSpaces>63030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2020-04-15T01:41:00Z</dcterms:created>
  <dc:creator>yuqy</dc:creator>
  <cp:lastModifiedBy>学而知之</cp:lastModifiedBy>
  <dcterms:modified xsi:type="dcterms:W3CDTF">2024-05-07T08:43:28Z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6A374E4E060B482C9BDF6EFD11341379_13</vt:lpwstr>
  </property>
</Properties>
</file>