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20" w:lineRule="exact"/>
        <w:ind w:right="0" w:rightChars="0"/>
        <w:jc w:val="center"/>
        <w:textAlignment w:val="auto"/>
        <w:rPr>
          <w:rFonts w:hint="eastAsia" w:ascii="宋体" w:hAnsi="宋体" w:eastAsia="宋体" w:cs="宋体"/>
          <w:color w:val="auto"/>
          <w:sz w:val="44"/>
          <w:szCs w:val="44"/>
          <w:u w:val="none"/>
          <w:lang w:val="en-US" w:eastAsia="zh-CN"/>
        </w:rPr>
      </w:pPr>
      <w:r>
        <w:rPr>
          <w:rFonts w:hint="eastAsia" w:ascii="宋体" w:hAnsi="宋体" w:eastAsia="宋体" w:cs="宋体"/>
          <w:color w:val="auto"/>
          <w:sz w:val="44"/>
          <w:szCs w:val="44"/>
          <w:u w:val="none"/>
          <w:lang w:val="en-US" w:eastAsia="zh-CN"/>
        </w:rPr>
        <w:t>关上街道社区卫生服务中心关于</w:t>
      </w:r>
      <w:r>
        <w:rPr>
          <w:rFonts w:hint="eastAsia" w:ascii="宋体" w:hAnsi="宋体" w:eastAsia="宋体" w:cs="宋体"/>
          <w:i w:val="0"/>
          <w:iCs w:val="0"/>
          <w:caps w:val="0"/>
          <w:color w:val="333333"/>
          <w:spacing w:val="0"/>
          <w:sz w:val="44"/>
          <w:szCs w:val="44"/>
          <w:shd w:val="clear" w:fill="FFFFFF"/>
        </w:rPr>
        <w:t>对《官渡区区本级2020年至2021年基本公共卫生服务项目补助资金及区卫健局所属事业单位财务收支审计调查报告》</w:t>
      </w:r>
      <w:r>
        <w:rPr>
          <w:rFonts w:hint="eastAsia" w:ascii="宋体" w:hAnsi="宋体" w:eastAsia="宋体" w:cs="宋体"/>
          <w:color w:val="auto"/>
          <w:sz w:val="44"/>
          <w:szCs w:val="44"/>
          <w:u w:val="none"/>
          <w:lang w:val="en-US" w:eastAsia="zh-CN"/>
        </w:rPr>
        <w:t>审计</w:t>
      </w:r>
      <w:r>
        <w:rPr>
          <w:rFonts w:hint="eastAsia" w:ascii="宋体" w:hAnsi="宋体" w:eastAsia="宋体" w:cs="宋体"/>
          <w:color w:val="auto"/>
          <w:sz w:val="44"/>
          <w:szCs w:val="44"/>
          <w:u w:val="none"/>
        </w:rPr>
        <w:t>整改</w:t>
      </w:r>
      <w:r>
        <w:rPr>
          <w:rFonts w:hint="eastAsia" w:ascii="宋体" w:hAnsi="宋体" w:eastAsia="宋体" w:cs="宋体"/>
          <w:color w:val="auto"/>
          <w:sz w:val="44"/>
          <w:szCs w:val="44"/>
          <w:u w:val="none"/>
          <w:lang w:val="en-US" w:eastAsia="zh-CN"/>
        </w:rPr>
        <w:t>报告</w:t>
      </w:r>
    </w:p>
    <w:p>
      <w:pPr>
        <w:keepNext w:val="0"/>
        <w:keepLines w:val="0"/>
        <w:pageBreakBefore w:val="0"/>
        <w:widowControl w:val="0"/>
        <w:kinsoku/>
        <w:wordWrap/>
        <w:overflowPunct w:val="0"/>
        <w:topLinePunct w:val="0"/>
        <w:autoSpaceDN w:val="0"/>
        <w:bidi w:val="0"/>
        <w:adjustRightInd w:val="0"/>
        <w:snapToGrid w:val="0"/>
        <w:spacing w:beforeAutospacing="0" w:afterAutospacing="0" w:line="520" w:lineRule="exact"/>
        <w:ind w:right="0" w:rightChars="0"/>
        <w:textAlignment w:val="auto"/>
        <w:rPr>
          <w:rFonts w:hint="eastAsia" w:ascii="方正仿宋_GB2312" w:hAnsi="方正仿宋_GB2312" w:eastAsia="方正仿宋_GB2312" w:cs="方正仿宋_GB2312"/>
          <w:color w:val="auto"/>
          <w:sz w:val="32"/>
          <w:szCs w:val="32"/>
          <w:u w:val="none"/>
        </w:rPr>
      </w:pP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sz w:val="32"/>
          <w:szCs w:val="32"/>
          <w:highlight w:val="none"/>
          <w:lang w:eastAsia="zh-CN"/>
        </w:rPr>
        <w:t>关上街道社区卫生服务中心于</w:t>
      </w:r>
      <w:r>
        <w:rPr>
          <w:rFonts w:hint="eastAsia" w:ascii="方正仿宋_GB2312" w:hAnsi="方正仿宋_GB2312" w:eastAsia="方正仿宋_GB2312" w:cs="方正仿宋_GB2312"/>
          <w:sz w:val="32"/>
          <w:szCs w:val="32"/>
          <w:highlight w:val="none"/>
          <w:lang w:val="en-US" w:eastAsia="zh-CN"/>
        </w:rPr>
        <w:t>2023年9月25</w:t>
      </w:r>
      <w:r>
        <w:rPr>
          <w:rFonts w:hint="eastAsia" w:ascii="方正仿宋_GB2312" w:hAnsi="方正仿宋_GB2312" w:eastAsia="方正仿宋_GB2312" w:cs="方正仿宋_GB2312"/>
          <w:sz w:val="32"/>
          <w:szCs w:val="32"/>
          <w:highlight w:val="none"/>
          <w:lang w:eastAsia="zh-CN"/>
        </w:rPr>
        <w:t>收到《</w:t>
      </w:r>
      <w:r>
        <w:rPr>
          <w:rFonts w:hint="eastAsia" w:ascii="方正仿宋_GB2312" w:hAnsi="方正仿宋_GB2312" w:eastAsia="方正仿宋_GB2312" w:cs="方正仿宋_GB2312"/>
          <w:sz w:val="32"/>
          <w:szCs w:val="32"/>
          <w:highlight w:val="none"/>
          <w:lang w:val="en-US" w:eastAsia="zh-CN"/>
        </w:rPr>
        <w:t>审计查出问题整改清单</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后</w:t>
      </w:r>
      <w:r>
        <w:rPr>
          <w:rFonts w:hint="eastAsia" w:ascii="方正仿宋_GB2312" w:hAnsi="方正仿宋_GB2312" w:eastAsia="方正仿宋_GB2312" w:cs="方正仿宋_GB2312"/>
          <w:sz w:val="32"/>
          <w:szCs w:val="32"/>
          <w:lang w:val="en-US" w:eastAsia="zh-CN"/>
        </w:rPr>
        <w:t>认真安排部署，总结前期整改落实的情况，进一步清理分析未整改问题，现将审计查出问题整改情况报告如下：</w:t>
      </w:r>
    </w:p>
    <w:p>
      <w:pPr>
        <w:pStyle w:val="5"/>
        <w:keepNext w:val="0"/>
        <w:keepLines w:val="0"/>
        <w:pageBreakBefore w:val="0"/>
        <w:kinsoku/>
        <w:wordWrap/>
        <w:topLinePunct w:val="0"/>
        <w:bidi w:val="0"/>
        <w:spacing w:line="560" w:lineRule="exact"/>
        <w:ind w:firstLine="643" w:firstLineChars="200"/>
        <w:textAlignment w:val="auto"/>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一、组织落实情况</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lang w:val="en-US" w:eastAsia="zh-CN"/>
        </w:rPr>
        <w:t>关上街道社区卫生服务</w:t>
      </w:r>
      <w:r>
        <w:rPr>
          <w:rFonts w:hint="eastAsia" w:ascii="方正仿宋_GB2312" w:hAnsi="方正仿宋_GB2312" w:eastAsia="方正仿宋_GB2312" w:cs="方正仿宋_GB2312"/>
          <w:color w:val="auto"/>
          <w:sz w:val="32"/>
          <w:szCs w:val="32"/>
          <w:u w:val="none"/>
        </w:rPr>
        <w:t>中心</w:t>
      </w:r>
      <w:r>
        <w:rPr>
          <w:rFonts w:hint="eastAsia" w:ascii="方正仿宋_GB2312" w:hAnsi="方正仿宋_GB2312" w:eastAsia="方正仿宋_GB2312" w:cs="方正仿宋_GB2312"/>
          <w:color w:val="auto"/>
          <w:sz w:val="32"/>
          <w:szCs w:val="32"/>
          <w:u w:val="none"/>
          <w:lang w:val="en-US" w:eastAsia="zh-CN"/>
        </w:rPr>
        <w:t>领导班子</w:t>
      </w:r>
      <w:r>
        <w:rPr>
          <w:rFonts w:hint="eastAsia" w:ascii="方正仿宋_GB2312" w:hAnsi="方正仿宋_GB2312" w:eastAsia="方正仿宋_GB2312" w:cs="方正仿宋_GB2312"/>
          <w:color w:val="auto"/>
          <w:sz w:val="32"/>
          <w:szCs w:val="32"/>
          <w:u w:val="none"/>
        </w:rPr>
        <w:t>把</w:t>
      </w:r>
      <w:r>
        <w:rPr>
          <w:rFonts w:hint="eastAsia" w:ascii="方正仿宋_GB2312" w:hAnsi="方正仿宋_GB2312" w:eastAsia="方正仿宋_GB2312" w:cs="方正仿宋_GB2312"/>
          <w:color w:val="auto"/>
          <w:sz w:val="32"/>
          <w:szCs w:val="32"/>
          <w:u w:val="none"/>
          <w:lang w:val="en-US" w:eastAsia="zh-CN"/>
        </w:rPr>
        <w:t>审计查出问题</w:t>
      </w:r>
      <w:r>
        <w:rPr>
          <w:rFonts w:hint="eastAsia" w:ascii="方正仿宋_GB2312" w:hAnsi="方正仿宋_GB2312" w:eastAsia="方正仿宋_GB2312" w:cs="方正仿宋_GB2312"/>
          <w:color w:val="auto"/>
          <w:sz w:val="32"/>
          <w:szCs w:val="32"/>
          <w:u w:val="none"/>
        </w:rPr>
        <w:t>作为对局党组落实上级决策部署的一次"整体把脉"和领导干部廉洁从政的一次"集中问诊"，把抓好</w:t>
      </w:r>
      <w:r>
        <w:rPr>
          <w:rFonts w:hint="eastAsia" w:ascii="方正仿宋_GB2312" w:hAnsi="方正仿宋_GB2312" w:eastAsia="方正仿宋_GB2312" w:cs="方正仿宋_GB2312"/>
          <w:color w:val="auto"/>
          <w:sz w:val="32"/>
          <w:szCs w:val="32"/>
          <w:u w:val="none"/>
          <w:lang w:val="en-US" w:eastAsia="zh-CN"/>
        </w:rPr>
        <w:t>审计查出问题</w:t>
      </w:r>
      <w:r>
        <w:rPr>
          <w:rFonts w:hint="eastAsia" w:ascii="方正仿宋_GB2312" w:hAnsi="方正仿宋_GB2312" w:eastAsia="方正仿宋_GB2312" w:cs="方正仿宋_GB2312"/>
          <w:color w:val="auto"/>
          <w:sz w:val="32"/>
          <w:szCs w:val="32"/>
          <w:u w:val="none"/>
        </w:rPr>
        <w:t>整改作为落实</w:t>
      </w:r>
      <w:r>
        <w:rPr>
          <w:rFonts w:hint="eastAsia" w:ascii="方正仿宋_GB2312" w:hAnsi="方正仿宋_GB2312" w:eastAsia="方正仿宋_GB2312" w:cs="方正仿宋_GB2312"/>
          <w:color w:val="auto"/>
          <w:sz w:val="32"/>
          <w:szCs w:val="32"/>
          <w:u w:val="none"/>
          <w:lang w:val="en-US" w:eastAsia="zh-CN"/>
        </w:rPr>
        <w:t>全面</w:t>
      </w:r>
      <w:bookmarkStart w:id="0" w:name="_GoBack"/>
      <w:bookmarkEnd w:id="0"/>
      <w:r>
        <w:rPr>
          <w:rFonts w:hint="eastAsia" w:ascii="方正仿宋_GB2312" w:hAnsi="方正仿宋_GB2312" w:eastAsia="方正仿宋_GB2312" w:cs="方正仿宋_GB2312"/>
          <w:color w:val="auto"/>
          <w:sz w:val="32"/>
          <w:szCs w:val="32"/>
          <w:u w:val="none"/>
        </w:rPr>
        <w:t>从严治党、强化党内监督的重要途径和手段。区</w:t>
      </w:r>
      <w:r>
        <w:rPr>
          <w:rFonts w:hint="eastAsia" w:ascii="方正仿宋_GB2312" w:hAnsi="方正仿宋_GB2312" w:eastAsia="方正仿宋_GB2312" w:cs="方正仿宋_GB2312"/>
          <w:color w:val="auto"/>
          <w:sz w:val="32"/>
          <w:szCs w:val="32"/>
          <w:u w:val="none"/>
          <w:lang w:val="en-US" w:eastAsia="zh-CN"/>
        </w:rPr>
        <w:t>审计局下发《审计查出问题整改清单》后，</w:t>
      </w:r>
      <w:r>
        <w:rPr>
          <w:rFonts w:hint="eastAsia" w:ascii="方正仿宋_GB2312" w:hAnsi="方正仿宋_GB2312" w:eastAsia="方正仿宋_GB2312" w:cs="方正仿宋_GB2312"/>
          <w:color w:val="auto"/>
          <w:sz w:val="32"/>
          <w:szCs w:val="32"/>
          <w:u w:val="none"/>
        </w:rPr>
        <w:t>关上街道社区卫生服务中心</w:t>
      </w:r>
      <w:r>
        <w:rPr>
          <w:rFonts w:hint="eastAsia" w:ascii="方正仿宋_GB2312" w:hAnsi="方正仿宋_GB2312" w:eastAsia="方正仿宋_GB2312" w:cs="方正仿宋_GB2312"/>
          <w:color w:val="auto"/>
          <w:sz w:val="32"/>
          <w:szCs w:val="32"/>
          <w:u w:val="none"/>
          <w:lang w:val="en-US" w:eastAsia="zh-CN"/>
        </w:rPr>
        <w:t>党支部召开会议专题研究审计整改相关工作，多次</w:t>
      </w:r>
      <w:r>
        <w:rPr>
          <w:rFonts w:hint="eastAsia" w:ascii="方正仿宋_GB2312" w:hAnsi="方正仿宋_GB2312" w:eastAsia="方正仿宋_GB2312" w:cs="方正仿宋_GB2312"/>
          <w:color w:val="auto"/>
          <w:sz w:val="32"/>
          <w:szCs w:val="32"/>
          <w:u w:val="none"/>
        </w:rPr>
        <w:t>召集中层以上人员对</w:t>
      </w:r>
      <w:r>
        <w:rPr>
          <w:rFonts w:hint="eastAsia" w:ascii="方正仿宋_GB2312" w:hAnsi="方正仿宋_GB2312" w:eastAsia="方正仿宋_GB2312" w:cs="方正仿宋_GB2312"/>
          <w:color w:val="auto"/>
          <w:sz w:val="32"/>
          <w:szCs w:val="32"/>
          <w:u w:val="none"/>
          <w:lang w:val="en-US" w:eastAsia="zh-CN"/>
        </w:rPr>
        <w:t>审计查出问题</w:t>
      </w:r>
      <w:r>
        <w:rPr>
          <w:rFonts w:hint="eastAsia" w:ascii="方正仿宋_GB2312" w:hAnsi="方正仿宋_GB2312" w:eastAsia="方正仿宋_GB2312" w:cs="方正仿宋_GB2312"/>
          <w:color w:val="auto"/>
          <w:sz w:val="32"/>
          <w:szCs w:val="32"/>
          <w:u w:val="none"/>
        </w:rPr>
        <w:t>进行了及时传达学习和认真研究。</w:t>
      </w:r>
      <w:r>
        <w:rPr>
          <w:rFonts w:hint="eastAsia" w:ascii="方正仿宋_GB2312" w:hAnsi="方正仿宋_GB2312" w:eastAsia="方正仿宋_GB2312" w:cs="方正仿宋_GB2312"/>
          <w:color w:val="auto"/>
          <w:sz w:val="32"/>
          <w:szCs w:val="32"/>
          <w:u w:val="none"/>
          <w:lang w:val="en-US" w:eastAsia="zh-CN"/>
        </w:rPr>
        <w:t>中心领导</w:t>
      </w:r>
      <w:r>
        <w:rPr>
          <w:rFonts w:hint="eastAsia" w:ascii="方正仿宋_GB2312" w:hAnsi="方正仿宋_GB2312" w:eastAsia="方正仿宋_GB2312" w:cs="方正仿宋_GB2312"/>
          <w:color w:val="auto"/>
          <w:sz w:val="32"/>
          <w:szCs w:val="32"/>
          <w:u w:val="none"/>
        </w:rPr>
        <w:t>班子成员深刻认识到整改</w:t>
      </w:r>
      <w:r>
        <w:rPr>
          <w:rFonts w:hint="eastAsia" w:ascii="方正仿宋_GB2312" w:hAnsi="方正仿宋_GB2312" w:eastAsia="方正仿宋_GB2312" w:cs="方正仿宋_GB2312"/>
          <w:color w:val="auto"/>
          <w:sz w:val="32"/>
          <w:szCs w:val="32"/>
          <w:u w:val="none"/>
          <w:lang w:val="en-US" w:eastAsia="zh-CN"/>
        </w:rPr>
        <w:t>审计查出问题</w:t>
      </w:r>
      <w:r>
        <w:rPr>
          <w:rFonts w:hint="eastAsia" w:ascii="方正仿宋_GB2312" w:hAnsi="方正仿宋_GB2312" w:eastAsia="方正仿宋_GB2312" w:cs="方正仿宋_GB2312"/>
          <w:color w:val="auto"/>
          <w:sz w:val="32"/>
          <w:szCs w:val="32"/>
          <w:u w:val="none"/>
        </w:rPr>
        <w:t>的重要性，要求中心所有领导以上率下、全员参与，不回避</w:t>
      </w:r>
      <w:r>
        <w:rPr>
          <w:rFonts w:hint="eastAsia" w:ascii="方正仿宋_GB2312" w:hAnsi="方正仿宋_GB2312" w:eastAsia="方正仿宋_GB2312" w:cs="方正仿宋_GB2312"/>
          <w:color w:val="auto"/>
          <w:sz w:val="32"/>
          <w:szCs w:val="32"/>
          <w:u w:val="none"/>
          <w:lang w:val="en-US" w:eastAsia="zh-CN"/>
        </w:rPr>
        <w:t>问题</w:t>
      </w:r>
      <w:r>
        <w:rPr>
          <w:rFonts w:hint="eastAsia" w:ascii="方正仿宋_GB2312" w:hAnsi="方正仿宋_GB2312" w:eastAsia="方正仿宋_GB2312" w:cs="方正仿宋_GB2312"/>
          <w:color w:val="auto"/>
          <w:sz w:val="32"/>
          <w:szCs w:val="32"/>
          <w:u w:val="none"/>
        </w:rPr>
        <w:t>，不推卸责任，以</w:t>
      </w:r>
      <w:r>
        <w:rPr>
          <w:rFonts w:hint="eastAsia" w:ascii="方正仿宋_GB2312" w:hAnsi="方正仿宋_GB2312" w:eastAsia="方正仿宋_GB2312" w:cs="方正仿宋_GB2312"/>
          <w:color w:val="auto"/>
          <w:sz w:val="32"/>
          <w:szCs w:val="32"/>
          <w:u w:val="none"/>
          <w:lang w:val="en-US" w:eastAsia="zh-CN"/>
        </w:rPr>
        <w:t>审计查出问题</w:t>
      </w:r>
      <w:r>
        <w:rPr>
          <w:rFonts w:hint="eastAsia" w:ascii="方正仿宋_GB2312" w:hAnsi="方正仿宋_GB2312" w:eastAsia="方正仿宋_GB2312" w:cs="方正仿宋_GB2312"/>
          <w:color w:val="auto"/>
          <w:sz w:val="32"/>
          <w:szCs w:val="32"/>
          <w:u w:val="none"/>
        </w:rPr>
        <w:t>整改的实效推动中心建章立制、达到长效化管理</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推</w:t>
      </w:r>
      <w:r>
        <w:rPr>
          <w:rFonts w:hint="eastAsia" w:ascii="方正仿宋_GB2312" w:hAnsi="方正仿宋_GB2312" w:eastAsia="方正仿宋_GB2312" w:cs="方正仿宋_GB2312"/>
          <w:color w:val="auto"/>
          <w:sz w:val="32"/>
          <w:szCs w:val="32"/>
          <w:u w:val="none"/>
        </w:rPr>
        <w:t>动工作有效落实的目标。</w:t>
      </w:r>
    </w:p>
    <w:p>
      <w:pPr>
        <w:pStyle w:val="5"/>
        <w:keepNext w:val="0"/>
        <w:keepLines w:val="0"/>
        <w:pageBreakBefore w:val="0"/>
        <w:kinsoku/>
        <w:wordWrap/>
        <w:topLinePunct w:val="0"/>
        <w:bidi w:val="0"/>
        <w:spacing w:line="560" w:lineRule="exact"/>
        <w:ind w:firstLine="643" w:firstLineChars="200"/>
        <w:textAlignment w:val="auto"/>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二、查出问题整改整体情况</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1.关上中心基本公共卫生服务</w:t>
      </w:r>
      <w:r>
        <w:rPr>
          <w:rFonts w:hint="eastAsia" w:ascii="方正仿宋_GB2312" w:hAnsi="方正仿宋_GB2312" w:eastAsia="方正仿宋_GB2312" w:cs="方正仿宋_GB2312"/>
          <w:b/>
          <w:bCs/>
          <w:color w:val="auto"/>
          <w:kern w:val="2"/>
          <w:sz w:val="32"/>
          <w:szCs w:val="32"/>
          <w:lang w:val="en-US" w:eastAsia="zh-CN" w:bidi="ar-SA"/>
        </w:rPr>
        <w:t>累计结余2911989.08元未上缴财政统筹使用。</w:t>
      </w:r>
      <w:r>
        <w:rPr>
          <w:rFonts w:hint="eastAsia" w:ascii="方正仿宋_GB2312" w:hAnsi="方正仿宋_GB2312" w:eastAsia="方正仿宋_GB2312" w:cs="方正仿宋_GB2312"/>
          <w:b/>
          <w:bCs/>
          <w:sz w:val="32"/>
          <w:szCs w:val="32"/>
          <w:lang w:val="en-US" w:eastAsia="zh-CN"/>
        </w:rPr>
        <w:t>（已完成整改）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累计结余资金2911989.08元已于2022年9月30日上缴区财政。</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2.医用耗材、设施设备等采购管理不规范</w:t>
      </w:r>
      <w:r>
        <w:rPr>
          <w:rFonts w:hint="eastAsia" w:ascii="方正仿宋_GB2312" w:hAnsi="方正仿宋_GB2312" w:eastAsia="方正仿宋_GB2312" w:cs="方正仿宋_GB2312"/>
          <w:b/>
          <w:bCs/>
          <w:color w:val="auto"/>
          <w:kern w:val="2"/>
          <w:sz w:val="32"/>
          <w:szCs w:val="32"/>
          <w:lang w:val="en-US" w:eastAsia="zh-CN" w:bidi="ar-SA"/>
        </w:rPr>
        <w:t>（已完成整改）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进一步完善和</w:t>
      </w:r>
      <w:r>
        <w:rPr>
          <w:rFonts w:hint="eastAsia" w:ascii="方正仿宋_GB2312" w:hAnsi="方正仿宋_GB2312" w:eastAsia="方正仿宋_GB2312" w:cs="方正仿宋_GB2312"/>
          <w:i w:val="0"/>
          <w:iCs w:val="0"/>
          <w:caps w:val="0"/>
          <w:color w:val="333333"/>
          <w:spacing w:val="0"/>
          <w:sz w:val="32"/>
          <w:szCs w:val="32"/>
          <w:shd w:val="clear" w:fill="FFFFFF"/>
        </w:rPr>
        <w:t>规范招投标程序、合同签订及验收审计等工作，加强对招标采购的监管力度，提高采购质量和效率，避免风险点过于集中，建立日常监督、定期检查和不定期抽查的联动机制，及时整改违规违纪操作。</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2023年</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选择了招标代理机构：云南招标股份有限公司</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eastAsia="zh-CN"/>
        </w:rPr>
        <w:t>、云南誉桥招标咨询有限公司</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w:t>
      </w:r>
      <w:r>
        <w:rPr>
          <w:rFonts w:hint="eastAsia" w:ascii="方正仿宋_GB2312" w:hAnsi="方正仿宋_GB2312" w:eastAsia="方正仿宋_GB2312" w:cs="方正仿宋_GB2312"/>
          <w:i w:val="0"/>
          <w:iCs w:val="0"/>
          <w:caps w:val="0"/>
          <w:color w:val="333333"/>
          <w:spacing w:val="0"/>
          <w:sz w:val="32"/>
          <w:szCs w:val="32"/>
          <w:shd w:val="clear" w:fill="FFFFFF"/>
        </w:rPr>
        <w:t>中心严格按照政府采购的相关规定进行招标采购，并不断完善内控管理制度和程序，加强招投标信息公开，加强招投标款支付管理。</w:t>
      </w:r>
      <w:r>
        <w:rPr>
          <w:rFonts w:hint="eastAsia" w:ascii="方正仿宋_GB2312" w:hAnsi="方正仿宋_GB2312" w:eastAsia="方正仿宋_GB2312" w:cs="方正仿宋_GB2312"/>
          <w:color w:val="auto"/>
          <w:sz w:val="32"/>
          <w:szCs w:val="32"/>
          <w:u w:val="none"/>
          <w:lang w:val="en-US" w:eastAsia="zh-CN"/>
        </w:rPr>
        <w:t>加强人员培训，强调工作责任心，完善相关资料归档管理。</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3.关上街道社区卫生服务中心2020年至2021年各科室医废垃圾移交记录数量与云南正晓环保投资有限公司接收记录不一致，移交记录与接收记录有差异。</w:t>
      </w:r>
      <w:r>
        <w:rPr>
          <w:rFonts w:hint="eastAsia" w:ascii="方正仿宋_GB2312" w:hAnsi="方正仿宋_GB2312" w:eastAsia="方正仿宋_GB2312" w:cs="方正仿宋_GB2312"/>
          <w:b/>
          <w:bCs/>
          <w:color w:val="auto"/>
          <w:kern w:val="2"/>
          <w:sz w:val="32"/>
          <w:szCs w:val="32"/>
          <w:lang w:val="en-US" w:eastAsia="zh-CN" w:bidi="ar-SA"/>
        </w:rPr>
        <w:t>（已完成整改）</w:t>
      </w:r>
    </w:p>
    <w:p>
      <w:pPr>
        <w:keepNext w:val="0"/>
        <w:keepLines w:val="0"/>
        <w:pageBreakBefore w:val="0"/>
        <w:kinsoku/>
        <w:wordWrap/>
        <w:topLinePunct w:val="0"/>
        <w:bidi w:val="0"/>
        <w:spacing w:line="560" w:lineRule="exact"/>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sz w:val="32"/>
          <w:szCs w:val="32"/>
          <w:highlight w:val="none"/>
        </w:rPr>
        <w:t xml:space="preserve"> </w:t>
      </w:r>
      <w:r>
        <w:rPr>
          <w:rFonts w:hint="eastAsia" w:ascii="方正仿宋_GB2312" w:hAnsi="方正仿宋_GB2312" w:eastAsia="方正仿宋_GB2312" w:cs="方正仿宋_GB2312"/>
          <w:sz w:val="32"/>
          <w:szCs w:val="32"/>
          <w:highlight w:val="none"/>
          <w:lang w:val="en-US" w:eastAsia="zh-CN"/>
        </w:rPr>
        <w:t>中心分</w:t>
      </w:r>
      <w:r>
        <w:rPr>
          <w:rFonts w:hint="eastAsia" w:ascii="方正仿宋_GB2312" w:hAnsi="方正仿宋_GB2312" w:eastAsia="方正仿宋_GB2312" w:cs="方正仿宋_GB2312"/>
          <w:b w:val="0"/>
          <w:bCs w:val="0"/>
          <w:sz w:val="32"/>
          <w:szCs w:val="32"/>
          <w:highlight w:val="none"/>
          <w:lang w:val="en-US" w:eastAsia="zh-CN"/>
        </w:rPr>
        <w:t>别与</w:t>
      </w:r>
      <w:r>
        <w:rPr>
          <w:rFonts w:hint="eastAsia" w:ascii="方正仿宋_GB2312" w:hAnsi="方正仿宋_GB2312" w:eastAsia="方正仿宋_GB2312" w:cs="方正仿宋_GB2312"/>
          <w:b w:val="0"/>
          <w:bCs w:val="0"/>
          <w:kern w:val="2"/>
          <w:sz w:val="32"/>
          <w:szCs w:val="32"/>
          <w:highlight w:val="none"/>
          <w:lang w:val="en-US" w:eastAsia="zh-CN" w:bidi="ar-SA"/>
        </w:rPr>
        <w:t>云南正晓环保投资有限公司、</w:t>
      </w:r>
      <w:r>
        <w:rPr>
          <w:rFonts w:hint="eastAsia" w:ascii="方正仿宋_GB2312" w:hAnsi="方正仿宋_GB2312" w:eastAsia="方正仿宋_GB2312" w:cs="方正仿宋_GB2312"/>
          <w:sz w:val="32"/>
          <w:szCs w:val="32"/>
          <w:highlight w:val="none"/>
          <w:lang w:val="en-US" w:eastAsia="zh-CN"/>
        </w:rPr>
        <w:t>康润医用输液瓶回收利用有限公司签订合同，规范开展中心医疗废弃物的处置工作。</w:t>
      </w:r>
      <w:r>
        <w:rPr>
          <w:rFonts w:hint="eastAsia" w:ascii="方正仿宋_GB2312" w:hAnsi="方正仿宋_GB2312" w:eastAsia="方正仿宋_GB2312" w:cs="方正仿宋_GB2312"/>
          <w:color w:val="auto"/>
          <w:sz w:val="32"/>
          <w:szCs w:val="32"/>
          <w:highlight w:val="none"/>
          <w:u w:val="none"/>
          <w:lang w:val="en-US" w:eastAsia="zh-CN"/>
        </w:rPr>
        <w:t>医</w:t>
      </w:r>
      <w:r>
        <w:rPr>
          <w:rFonts w:hint="eastAsia" w:ascii="方正仿宋_GB2312" w:hAnsi="方正仿宋_GB2312" w:eastAsia="方正仿宋_GB2312" w:cs="方正仿宋_GB2312"/>
          <w:color w:val="auto"/>
          <w:sz w:val="32"/>
          <w:szCs w:val="32"/>
          <w:u w:val="none"/>
          <w:lang w:val="en-US" w:eastAsia="zh-CN"/>
        </w:rPr>
        <w:t>疗废弃物管理由感控专干进行监督管理，医疗废弃物由每个科室自行分类处置称重登记收集后统一放在医疗废弃物暂存间，收集、称重、存放、登记由各科室自行完成。回收处置时由感控专干与正晓公司进行称重交接并登记，由于我单位感控专干工作责任心不强，将各科室称重数字累计错误，导致移交记录数量与云南正晓环保投资有限公司记录不一致。已完全整改，重新修订了医废垃圾管理规定，明确了流程、专人负责。</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4.关上街道社区卫生服务中心透视X射线机、柜式空调机、铅衣架等7台设备长期闲置未使用。</w:t>
      </w:r>
      <w:r>
        <w:rPr>
          <w:rFonts w:hint="eastAsia" w:ascii="方正仿宋_GB2312" w:hAnsi="方正仿宋_GB2312" w:eastAsia="方正仿宋_GB2312" w:cs="方正仿宋_GB2312"/>
          <w:b/>
          <w:bCs/>
          <w:color w:val="auto"/>
          <w:kern w:val="2"/>
          <w:sz w:val="32"/>
          <w:szCs w:val="32"/>
          <w:lang w:val="en-US" w:eastAsia="zh-CN" w:bidi="ar-SA"/>
        </w:rPr>
        <w:t>（已完成整改）</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u w:val="none"/>
          <w:lang w:val="en-US" w:eastAsia="zh-CN" w:bidi="ar-SA"/>
        </w:rPr>
      </w:pPr>
      <w:r>
        <w:rPr>
          <w:rFonts w:hint="eastAsia" w:ascii="方正仿宋_GB2312" w:hAnsi="方正仿宋_GB2312" w:eastAsia="方正仿宋_GB2312" w:cs="方正仿宋_GB2312"/>
          <w:color w:val="auto"/>
          <w:kern w:val="2"/>
          <w:sz w:val="32"/>
          <w:szCs w:val="32"/>
          <w:u w:val="none"/>
          <w:lang w:val="en-US" w:eastAsia="zh-CN" w:bidi="ar-SA"/>
        </w:rPr>
        <w:t>闲置的7台设备为放射科透视X射线、柜式空调机2台、铅衣架2个、铅衣、铅屏风，设备于2016年、2018年分别购置。2008年放射科在完成装修后，向官渡区卫生健康局相关部门申请办理放射诊疗许可证，但未批准，所以中心一直未开展放射诊疗活动，导致放射科设备闲置。目前原官渡区关上双桥路365号业务用房正在提升改造阶段，已对放射科进行了重新规划设计，今年年底竣工，待放射科验收后，7台设备将投入使用。</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5.未按规定计提坏账准备。</w:t>
      </w:r>
      <w:r>
        <w:rPr>
          <w:rFonts w:hint="eastAsia" w:ascii="方正仿宋_GB2312" w:hAnsi="方正仿宋_GB2312" w:eastAsia="方正仿宋_GB2312" w:cs="方正仿宋_GB2312"/>
          <w:b/>
          <w:bCs/>
          <w:color w:val="auto"/>
          <w:kern w:val="2"/>
          <w:sz w:val="32"/>
          <w:szCs w:val="32"/>
          <w:lang w:val="en-US" w:eastAsia="zh-CN" w:bidi="ar-SA"/>
        </w:rPr>
        <w:t>（已完成整改）</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u w:val="none"/>
          <w:lang w:val="en-US" w:eastAsia="zh-CN" w:bidi="ar-SA"/>
        </w:rPr>
      </w:pPr>
      <w:r>
        <w:rPr>
          <w:rFonts w:hint="eastAsia" w:ascii="方正仿宋_GB2312" w:hAnsi="方正仿宋_GB2312" w:eastAsia="方正仿宋_GB2312" w:cs="方正仿宋_GB2312"/>
          <w:color w:val="auto"/>
          <w:kern w:val="2"/>
          <w:sz w:val="32"/>
          <w:szCs w:val="32"/>
          <w:u w:val="none"/>
          <w:lang w:val="en-US" w:eastAsia="zh-CN" w:bidi="ar-SA"/>
        </w:rPr>
        <w:t>我单位已经制定了《关上街道社区卫生服务中心计提坏账准备制度》，设置“坏账准备”科目，用于核算基层医疗卫生机构对收回后不需要上缴财政的应收账款和其他应收款提取的坏账准备。本单位采用余额百分比法计提坏账准备，计提比例为2%，本科目属于资产类科目的备抵科目，贷方登记当期计提的坏账准备金额，借方登记实际发生的坏账损失金额和冲减的坏账准备金额；期末贷方余额，反映基层医疗卫生机构提取的坏账准备金额。</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kern w:val="2"/>
          <w:sz w:val="32"/>
          <w:szCs w:val="32"/>
          <w:lang w:val="en-US" w:eastAsia="zh-CN" w:bidi="ar-SA"/>
        </w:rPr>
        <w:t>6.违规租赁车辆，车辆所有人与合同签订单位不一致，为药品、医疗耗材供应商。</w:t>
      </w:r>
      <w:r>
        <w:rPr>
          <w:rFonts w:hint="eastAsia" w:ascii="方正仿宋_GB2312" w:hAnsi="方正仿宋_GB2312" w:eastAsia="方正仿宋_GB2312" w:cs="方正仿宋_GB2312"/>
          <w:b/>
          <w:bCs/>
          <w:color w:val="auto"/>
          <w:kern w:val="2"/>
          <w:sz w:val="32"/>
          <w:szCs w:val="32"/>
          <w:lang w:val="en-US" w:eastAsia="zh-CN" w:bidi="ar-SA"/>
        </w:rPr>
        <w:t>（已完成整改）</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u w:val="none"/>
          <w:lang w:val="en-US" w:eastAsia="zh-CN" w:bidi="ar-SA"/>
        </w:rPr>
      </w:pPr>
      <w:r>
        <w:rPr>
          <w:rFonts w:hint="eastAsia" w:ascii="方正仿宋_GB2312" w:hAnsi="方正仿宋_GB2312" w:eastAsia="方正仿宋_GB2312" w:cs="方正仿宋_GB2312"/>
          <w:color w:val="auto"/>
          <w:kern w:val="2"/>
          <w:sz w:val="32"/>
          <w:szCs w:val="32"/>
          <w:u w:val="none"/>
          <w:lang w:val="en-US" w:eastAsia="zh-CN" w:bidi="ar-SA"/>
        </w:rPr>
        <w:t>关上街道辖区常住人口数多，自新冠病毒肺炎疫情以来，中心承担着社区排查、核酸采样、重点人员转运等工作，仅有的一辆救护车无法满足医疗卫生保障、新冠病毒肺炎疫情防控等日常工作运转，经会议讨论决定于2020年7月10日与昆明悦动商务信息咨询有限公司签订了合同，按季度短期租赁车辆1辆，随着疫情平稳，租用车辆已于2022年11月22日退回。目前中心仅有1辆救护车用于日常工作使用。</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方正仿宋_GB2312" w:hAnsi="方正仿宋_GB2312" w:eastAsia="方正仿宋_GB2312" w:cs="方正仿宋_GB2312"/>
          <w:sz w:val="32"/>
          <w:szCs w:val="32"/>
          <w:highlight w:val="none"/>
          <w:lang w:eastAsia="zh-CN"/>
        </w:rPr>
      </w:pPr>
      <w:r>
        <w:rPr>
          <w:rStyle w:val="12"/>
          <w:rFonts w:hint="eastAsia" w:ascii="方正仿宋_GB2312" w:hAnsi="方正仿宋_GB2312" w:eastAsia="方正仿宋_GB2312" w:cs="方正仿宋_GB2312"/>
          <w:b/>
          <w:bCs/>
          <w:i w:val="0"/>
          <w:iCs w:val="0"/>
          <w:caps w:val="0"/>
          <w:color w:val="333333"/>
          <w:spacing w:val="0"/>
          <w:sz w:val="32"/>
          <w:szCs w:val="32"/>
          <w:shd w:val="clear" w:fill="FFFFFF"/>
          <w:lang w:val="en-US" w:eastAsia="zh-CN"/>
        </w:rPr>
        <w:t>7.</w:t>
      </w:r>
      <w:r>
        <w:rPr>
          <w:rStyle w:val="12"/>
          <w:rFonts w:hint="eastAsia" w:ascii="方正仿宋_GB2312" w:hAnsi="方正仿宋_GB2312" w:eastAsia="方正仿宋_GB2312" w:cs="方正仿宋_GB2312"/>
          <w:b/>
          <w:bCs/>
          <w:i w:val="0"/>
          <w:iCs w:val="0"/>
          <w:caps w:val="0"/>
          <w:color w:val="333333"/>
          <w:spacing w:val="0"/>
          <w:sz w:val="32"/>
          <w:szCs w:val="32"/>
          <w:shd w:val="clear" w:fill="FFFFFF"/>
        </w:rPr>
        <w:t>绩效计提依据不符合有关国家规</w:t>
      </w:r>
      <w:r>
        <w:rPr>
          <w:rStyle w:val="12"/>
          <w:rFonts w:hint="eastAsia" w:ascii="方正仿宋_GB2312" w:hAnsi="方正仿宋_GB2312" w:eastAsia="方正仿宋_GB2312" w:cs="方正仿宋_GB2312"/>
          <w:b/>
          <w:bCs/>
          <w:i w:val="0"/>
          <w:iCs w:val="0"/>
          <w:caps w:val="0"/>
          <w:color w:val="333333"/>
          <w:spacing w:val="0"/>
          <w:sz w:val="32"/>
          <w:szCs w:val="32"/>
          <w:shd w:val="clear" w:fill="FFFFFF"/>
          <w:lang w:val="en-US" w:eastAsia="zh-CN"/>
        </w:rPr>
        <w:t>定</w:t>
      </w:r>
      <w:r>
        <w:rPr>
          <w:rStyle w:val="12"/>
          <w:rFonts w:hint="eastAsia" w:ascii="方正仿宋_GB2312" w:hAnsi="方正仿宋_GB2312" w:eastAsia="方正仿宋_GB2312" w:cs="方正仿宋_GB2312"/>
          <w:b/>
          <w:bCs/>
          <w:i w:val="0"/>
          <w:iCs w:val="0"/>
          <w:caps w:val="0"/>
          <w:color w:val="333333"/>
          <w:spacing w:val="0"/>
          <w:sz w:val="32"/>
          <w:szCs w:val="32"/>
          <w:shd w:val="clear" w:fill="FFFFFF"/>
        </w:rPr>
        <w:t>，计提范围与标准不统一。</w:t>
      </w:r>
    </w:p>
    <w:p>
      <w:pPr>
        <w:keepNext w:val="0"/>
        <w:keepLines w:val="0"/>
        <w:pageBreakBefore w:val="0"/>
        <w:kinsoku/>
        <w:wordWrap/>
        <w:topLinePunct w:val="0"/>
        <w:bidi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自2012年官渡区卫健局印发了《官渡区卫生事业单位工作责任目标考核兑现方案（试行）》（官卫财联发〔2012〕2号）以来，虽然文件中所列收支除了医疗收支外还包括“财政补助收入、上级补助收入、其他收入、财政补助支出、其他支出”，但我</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每年上报主管局审批的目标考核兑现和基金计提表中均将医疗收支以外的结余剔除，是按照医疗收入扣除医疗成本后结余的80%计提责任目标考核兑现，并计提了规定的各项基金。自2019年实行政府会计制度以来，实行平行记账，财务会计和预算会计双账核算，我</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计提奖励基金和其他规定基金的收入和支出口径均是采用财务会计的数据，是按照财务会计核算的医疗服务收支结余进行计提并报卫健局审批。综上所述，我</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各项基金和职工绩效计提符合相关规定，若卫健局或其他上级部门有新的职工绩效及基金计提规定，我中心也将严格按照规定进行，并报相关部门审批。</w:t>
      </w:r>
    </w:p>
    <w:p>
      <w:pPr>
        <w:pStyle w:val="5"/>
        <w:keepNext w:val="0"/>
        <w:keepLines w:val="0"/>
        <w:pageBreakBefore w:val="0"/>
        <w:kinsoku/>
        <w:wordWrap/>
        <w:topLinePunct w:val="0"/>
        <w:bidi w:val="0"/>
        <w:spacing w:line="560" w:lineRule="exact"/>
        <w:ind w:firstLine="643" w:firstLineChars="200"/>
        <w:textAlignment w:val="auto"/>
        <w:rPr>
          <w:rFonts w:hint="eastAsia" w:ascii="方正仿宋_GB2312" w:hAnsi="方正仿宋_GB2312" w:eastAsia="方正仿宋_GB2312" w:cs="方正仿宋_GB2312"/>
          <w:b/>
          <w:bCs/>
          <w:kern w:val="2"/>
          <w:sz w:val="32"/>
          <w:szCs w:val="32"/>
          <w:highlight w:val="none"/>
          <w:lang w:val="en-US" w:eastAsia="zh-CN" w:bidi="ar-SA"/>
        </w:rPr>
      </w:pPr>
      <w:r>
        <w:rPr>
          <w:rFonts w:hint="eastAsia" w:ascii="方正仿宋_GB2312" w:hAnsi="方正仿宋_GB2312" w:eastAsia="方正仿宋_GB2312" w:cs="方正仿宋_GB2312"/>
          <w:b/>
          <w:bCs/>
          <w:kern w:val="2"/>
          <w:sz w:val="32"/>
          <w:szCs w:val="32"/>
          <w:highlight w:val="none"/>
          <w:lang w:val="en-US" w:eastAsia="zh-CN" w:bidi="ar-SA"/>
        </w:rPr>
        <w:t>三、体制机制健全情况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highlight w:val="yellow"/>
          <w:lang w:val="en-US" w:eastAsia="zh-CN" w:bidi="ar-SA"/>
        </w:rPr>
      </w:pPr>
      <w:r>
        <w:rPr>
          <w:rFonts w:hint="eastAsia" w:ascii="方正仿宋_GB2312" w:hAnsi="方正仿宋_GB2312" w:eastAsia="方正仿宋_GB2312" w:cs="方正仿宋_GB2312"/>
          <w:color w:val="000000"/>
          <w:sz w:val="32"/>
          <w:szCs w:val="32"/>
          <w:highlight w:val="none"/>
          <w:lang w:eastAsia="zh-CN"/>
        </w:rPr>
        <w:t>建章立制是落实</w:t>
      </w:r>
      <w:r>
        <w:rPr>
          <w:rFonts w:hint="eastAsia" w:ascii="方正仿宋_GB2312" w:hAnsi="方正仿宋_GB2312" w:eastAsia="方正仿宋_GB2312" w:cs="方正仿宋_GB2312"/>
          <w:color w:val="000000"/>
          <w:sz w:val="32"/>
          <w:szCs w:val="32"/>
          <w:highlight w:val="none"/>
          <w:lang w:val="en-US" w:eastAsia="zh-CN"/>
        </w:rPr>
        <w:t>审计</w:t>
      </w:r>
      <w:r>
        <w:rPr>
          <w:rFonts w:hint="eastAsia" w:ascii="方正仿宋_GB2312" w:hAnsi="方正仿宋_GB2312" w:eastAsia="方正仿宋_GB2312" w:cs="方正仿宋_GB2312"/>
          <w:color w:val="000000"/>
          <w:sz w:val="32"/>
          <w:szCs w:val="32"/>
          <w:highlight w:val="none"/>
          <w:lang w:eastAsia="zh-CN"/>
        </w:rPr>
        <w:t>整改达到长效化管理的有效手段，中心领导班子高度重视，中心科室开展自检自查全面梳理现有规章制度，对于老、废、旧的规章制度及时清理，结合中心实际工作，新建各类规章制度</w:t>
      </w:r>
      <w:r>
        <w:rPr>
          <w:rFonts w:hint="eastAsia" w:ascii="方正仿宋_GB2312" w:hAnsi="方正仿宋_GB2312" w:eastAsia="方正仿宋_GB2312" w:cs="方正仿宋_GB2312"/>
          <w:color w:val="000000"/>
          <w:sz w:val="32"/>
          <w:szCs w:val="32"/>
          <w:highlight w:val="none"/>
          <w:lang w:val="en-US" w:eastAsia="zh-CN"/>
        </w:rPr>
        <w:t>14</w:t>
      </w:r>
      <w:r>
        <w:rPr>
          <w:rFonts w:hint="eastAsia" w:ascii="方正仿宋_GB2312" w:hAnsi="方正仿宋_GB2312" w:eastAsia="方正仿宋_GB2312" w:cs="方正仿宋_GB2312"/>
          <w:color w:val="000000"/>
          <w:sz w:val="32"/>
          <w:szCs w:val="32"/>
          <w:highlight w:val="none"/>
          <w:lang w:eastAsia="zh-CN"/>
        </w:rPr>
        <w:t>项，修订老旧各类制度</w:t>
      </w:r>
      <w:r>
        <w:rPr>
          <w:rFonts w:hint="eastAsia" w:ascii="方正仿宋_GB2312" w:hAnsi="方正仿宋_GB2312" w:eastAsia="方正仿宋_GB2312" w:cs="方正仿宋_GB2312"/>
          <w:color w:val="000000"/>
          <w:sz w:val="32"/>
          <w:szCs w:val="32"/>
          <w:highlight w:val="none"/>
          <w:lang w:val="en-US" w:eastAsia="zh-CN"/>
        </w:rPr>
        <w:t>63</w:t>
      </w:r>
      <w:r>
        <w:rPr>
          <w:rFonts w:hint="eastAsia" w:ascii="方正仿宋_GB2312" w:hAnsi="方正仿宋_GB2312" w:eastAsia="方正仿宋_GB2312" w:cs="方正仿宋_GB2312"/>
          <w:color w:val="000000"/>
          <w:sz w:val="32"/>
          <w:szCs w:val="32"/>
          <w:highlight w:val="none"/>
          <w:lang w:eastAsia="zh-CN"/>
        </w:rPr>
        <w:t>项。</w:t>
      </w:r>
      <w:r>
        <w:rPr>
          <w:rFonts w:hint="eastAsia" w:ascii="方正仿宋_GB2312" w:hAnsi="方正仿宋_GB2312" w:eastAsia="方正仿宋_GB2312" w:cs="方正仿宋_GB2312"/>
          <w:color w:val="000000"/>
          <w:sz w:val="32"/>
          <w:szCs w:val="32"/>
          <w:highlight w:val="none"/>
          <w:lang w:val="en-US" w:eastAsia="zh-CN"/>
        </w:rPr>
        <w:t>其中包括了涉及审计问题的有</w:t>
      </w:r>
      <w:r>
        <w:rPr>
          <w:rFonts w:hint="eastAsia" w:ascii="方正仿宋_GB2312" w:hAnsi="方正仿宋_GB2312" w:eastAsia="方正仿宋_GB2312" w:cs="方正仿宋_GB2312"/>
          <w:color w:val="000000"/>
          <w:sz w:val="32"/>
          <w:szCs w:val="32"/>
          <w:highlight w:val="none"/>
          <w:lang w:eastAsia="zh-CN"/>
        </w:rPr>
        <w:t>《中药房管理制度》、《关上街道社区卫生服务中心采购管理内部控制制度》、</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高风险岗位轮换管理办法</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《关上街道社区卫生服务中心公务用车使用管理规定》</w:t>
      </w:r>
      <w:r>
        <w:rPr>
          <w:rFonts w:hint="eastAsia" w:ascii="方正仿宋_GB2312" w:hAnsi="方正仿宋_GB2312" w:eastAsia="方正仿宋_GB2312" w:cs="方正仿宋_GB2312"/>
          <w:color w:val="000000"/>
          <w:sz w:val="32"/>
          <w:szCs w:val="32"/>
          <w:lang w:eastAsia="zh-CN"/>
        </w:rPr>
        <w:t>、《财务制度》、《库房管理规定》、</w:t>
      </w:r>
      <w:r>
        <w:rPr>
          <w:rFonts w:hint="eastAsia" w:ascii="方正仿宋_GB2312" w:hAnsi="方正仿宋_GB2312" w:eastAsia="方正仿宋_GB2312" w:cs="方正仿宋_GB2312"/>
          <w:color w:val="000000"/>
          <w:sz w:val="32"/>
          <w:szCs w:val="32"/>
          <w:highlight w:val="none"/>
          <w:lang w:eastAsia="zh-CN"/>
        </w:rPr>
        <w:t>《药品采购制度及流程》、《药品使用管理制度》、《医疗废弃物处置管理制度》、《医疗废物分类收集管理及交接登记制度》、《医疗耗材采购制度及流程》</w:t>
      </w:r>
      <w:r>
        <w:rPr>
          <w:rFonts w:hint="eastAsia" w:ascii="方正仿宋_GB2312" w:hAnsi="方正仿宋_GB2312" w:eastAsia="方正仿宋_GB2312" w:cs="方正仿宋_GB2312"/>
          <w:color w:val="000000"/>
          <w:sz w:val="32"/>
          <w:szCs w:val="32"/>
          <w:highlight w:val="none"/>
          <w:lang w:val="en-US" w:eastAsia="zh-CN"/>
        </w:rPr>
        <w:t>等</w:t>
      </w:r>
      <w:r>
        <w:rPr>
          <w:rFonts w:hint="eastAsia" w:ascii="方正仿宋_GB2312" w:hAnsi="方正仿宋_GB2312" w:eastAsia="方正仿宋_GB2312" w:cs="方正仿宋_GB2312"/>
          <w:color w:val="000000"/>
          <w:sz w:val="32"/>
          <w:szCs w:val="32"/>
          <w:highlight w:val="none"/>
          <w:lang w:eastAsia="zh-CN"/>
        </w:rPr>
        <w:t>。</w:t>
      </w:r>
      <w:r>
        <w:rPr>
          <w:rFonts w:hint="eastAsia" w:ascii="方正仿宋_GB2312" w:hAnsi="方正仿宋_GB2312" w:eastAsia="方正仿宋_GB2312" w:cs="方正仿宋_GB2312"/>
          <w:color w:val="000000"/>
          <w:sz w:val="32"/>
          <w:szCs w:val="32"/>
          <w:highlight w:val="none"/>
          <w:lang w:val="en-US" w:eastAsia="zh-CN"/>
        </w:rPr>
        <w:t>新建和修订的制度</w:t>
      </w:r>
      <w:r>
        <w:rPr>
          <w:rFonts w:hint="eastAsia" w:ascii="方正仿宋_GB2312" w:hAnsi="方正仿宋_GB2312" w:eastAsia="方正仿宋_GB2312" w:cs="方正仿宋_GB2312"/>
          <w:color w:val="000000"/>
          <w:sz w:val="32"/>
          <w:szCs w:val="32"/>
          <w:highlight w:val="none"/>
          <w:lang w:eastAsia="zh-CN"/>
        </w:rPr>
        <w:t>内容涵盖中心党组织管理、财务管理、安全生产、采购、公车运行、医疗规范、公共卫生服务、工会等方面内容，形成以制度促规范，以规范促运行，确保整改成果长效久远。</w:t>
      </w:r>
    </w:p>
    <w:p>
      <w:pPr>
        <w:pStyle w:val="5"/>
        <w:keepNext w:val="0"/>
        <w:keepLines w:val="0"/>
        <w:pageBreakBefore w:val="0"/>
        <w:numPr>
          <w:ilvl w:val="0"/>
          <w:numId w:val="1"/>
        </w:numPr>
        <w:kinsoku/>
        <w:wordWrap/>
        <w:topLinePunct w:val="0"/>
        <w:bidi w:val="0"/>
        <w:spacing w:line="560" w:lineRule="exact"/>
        <w:ind w:firstLine="643" w:firstLineChars="200"/>
        <w:textAlignment w:val="auto"/>
        <w:rPr>
          <w:rFonts w:hint="eastAsia" w:ascii="方正仿宋_GB2312" w:hAnsi="方正仿宋_GB2312" w:eastAsia="方正仿宋_GB2312" w:cs="方正仿宋_GB2312"/>
          <w:b/>
          <w:bCs/>
          <w:kern w:val="2"/>
          <w:sz w:val="32"/>
          <w:szCs w:val="32"/>
          <w:highlight w:val="none"/>
          <w:lang w:val="en-US" w:eastAsia="zh-CN" w:bidi="ar-SA"/>
        </w:rPr>
      </w:pPr>
      <w:r>
        <w:rPr>
          <w:rFonts w:hint="eastAsia" w:ascii="方正仿宋_GB2312" w:hAnsi="方正仿宋_GB2312" w:eastAsia="方正仿宋_GB2312" w:cs="方正仿宋_GB2312"/>
          <w:b/>
          <w:bCs/>
          <w:kern w:val="2"/>
          <w:sz w:val="32"/>
          <w:szCs w:val="32"/>
          <w:highlight w:val="none"/>
          <w:lang w:val="en-US" w:eastAsia="zh-CN" w:bidi="ar-SA"/>
        </w:rPr>
        <w:t>追责问责情况</w:t>
      </w:r>
    </w:p>
    <w:p>
      <w:pPr>
        <w:pStyle w:val="5"/>
        <w:keepNext w:val="0"/>
        <w:keepLines w:val="0"/>
        <w:pageBreakBefore w:val="0"/>
        <w:numPr>
          <w:ilvl w:val="0"/>
          <w:numId w:val="0"/>
        </w:numPr>
        <w:kinsoku/>
        <w:wordWrap/>
        <w:topLinePunct w:val="0"/>
        <w:bidi w:val="0"/>
        <w:spacing w:line="560" w:lineRule="exact"/>
        <w:ind w:right="214" w:rightChars="0"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无追责问责情况。</w:t>
      </w:r>
    </w:p>
    <w:p>
      <w:pPr>
        <w:pStyle w:val="5"/>
        <w:keepNext w:val="0"/>
        <w:keepLines w:val="0"/>
        <w:pageBreakBefore w:val="0"/>
        <w:kinsoku/>
        <w:wordWrap/>
        <w:topLinePunct w:val="0"/>
        <w:bidi w:val="0"/>
        <w:spacing w:line="560" w:lineRule="exact"/>
        <w:ind w:firstLine="643" w:firstLineChars="200"/>
        <w:textAlignment w:val="auto"/>
        <w:rPr>
          <w:rFonts w:hint="eastAsia" w:ascii="方正仿宋_GB2312" w:hAnsi="方正仿宋_GB2312" w:eastAsia="方正仿宋_GB2312" w:cs="方正仿宋_GB2312"/>
          <w:b/>
          <w:bCs/>
          <w:kern w:val="2"/>
          <w:sz w:val="32"/>
          <w:szCs w:val="32"/>
          <w:highlight w:val="none"/>
          <w:lang w:val="en-US" w:eastAsia="zh-CN" w:bidi="ar-SA"/>
        </w:rPr>
      </w:pPr>
      <w:r>
        <w:rPr>
          <w:rFonts w:hint="eastAsia" w:ascii="方正仿宋_GB2312" w:hAnsi="方正仿宋_GB2312" w:eastAsia="方正仿宋_GB2312" w:cs="方正仿宋_GB2312"/>
          <w:b/>
          <w:bCs/>
          <w:kern w:val="2"/>
          <w:sz w:val="32"/>
          <w:szCs w:val="32"/>
          <w:highlight w:val="none"/>
          <w:lang w:val="en-US" w:eastAsia="zh-CN" w:bidi="ar-SA"/>
        </w:rPr>
        <w:t>五、未完成整改的原因和下一步整改计划</w:t>
      </w:r>
    </w:p>
    <w:p>
      <w:pPr>
        <w:pStyle w:val="15"/>
        <w:keepNext w:val="0"/>
        <w:keepLines w:val="0"/>
        <w:pageBreakBefore w:val="0"/>
        <w:kinsoku/>
        <w:wordWrap/>
        <w:topLinePunct w:val="0"/>
        <w:bidi w:val="0"/>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关上中心领导班子高度重视审计整改工作，截至目前，清单中的问题已经全部进行了整改。</w:t>
      </w:r>
      <w:r>
        <w:rPr>
          <w:rFonts w:hint="eastAsia" w:ascii="方正仿宋_GB2312" w:hAnsi="方正仿宋_GB2312" w:eastAsia="方正仿宋_GB2312" w:cs="方正仿宋_GB2312"/>
          <w:sz w:val="32"/>
          <w:szCs w:val="32"/>
        </w:rPr>
        <w:t>经过</w:t>
      </w:r>
      <w:r>
        <w:rPr>
          <w:rFonts w:hint="eastAsia" w:ascii="方正仿宋_GB2312" w:hAnsi="方正仿宋_GB2312" w:eastAsia="方正仿宋_GB2312" w:cs="方正仿宋_GB2312"/>
          <w:sz w:val="32"/>
          <w:szCs w:val="32"/>
          <w:lang w:val="en-US" w:eastAsia="zh-CN"/>
        </w:rPr>
        <w:t>审计问题</w:t>
      </w:r>
      <w:r>
        <w:rPr>
          <w:rFonts w:hint="eastAsia" w:ascii="方正仿宋_GB2312" w:hAnsi="方正仿宋_GB2312" w:eastAsia="方正仿宋_GB2312" w:cs="方正仿宋_GB2312"/>
          <w:sz w:val="32"/>
          <w:szCs w:val="32"/>
        </w:rPr>
        <w:t>整改，</w:t>
      </w:r>
      <w:r>
        <w:rPr>
          <w:rFonts w:hint="eastAsia" w:ascii="方正仿宋_GB2312" w:hAnsi="方正仿宋_GB2312" w:eastAsia="方正仿宋_GB2312" w:cs="方正仿宋_GB2312"/>
          <w:sz w:val="32"/>
          <w:szCs w:val="32"/>
          <w:lang w:val="en-US" w:eastAsia="zh-CN"/>
        </w:rPr>
        <w:t>我们从中吸取了很多经验和教训，尤其是对今后单位的各项工作规范化管理筑牢了思想防线。整改工作</w:t>
      </w:r>
      <w:r>
        <w:rPr>
          <w:rFonts w:hint="eastAsia" w:ascii="方正仿宋_GB2312" w:hAnsi="方正仿宋_GB2312" w:eastAsia="方正仿宋_GB2312" w:cs="方正仿宋_GB2312"/>
          <w:sz w:val="32"/>
          <w:szCs w:val="32"/>
        </w:rPr>
        <w:t>虽然</w:t>
      </w:r>
      <w:r>
        <w:rPr>
          <w:rFonts w:hint="eastAsia" w:ascii="方正仿宋_GB2312" w:hAnsi="方正仿宋_GB2312" w:eastAsia="方正仿宋_GB2312" w:cs="方正仿宋_GB2312"/>
          <w:sz w:val="32"/>
          <w:szCs w:val="32"/>
          <w:lang w:val="en-US" w:eastAsia="zh-CN"/>
        </w:rPr>
        <w:t>基本结束</w:t>
      </w:r>
      <w:r>
        <w:rPr>
          <w:rFonts w:hint="eastAsia" w:ascii="方正仿宋_GB2312" w:hAnsi="方正仿宋_GB2312" w:eastAsia="方正仿宋_GB2312" w:cs="方正仿宋_GB2312"/>
          <w:sz w:val="32"/>
          <w:szCs w:val="32"/>
        </w:rPr>
        <w:t>，但对照区</w:t>
      </w:r>
      <w:r>
        <w:rPr>
          <w:rFonts w:hint="eastAsia" w:ascii="方正仿宋_GB2312" w:hAnsi="方正仿宋_GB2312" w:eastAsia="方正仿宋_GB2312" w:cs="方正仿宋_GB2312"/>
          <w:sz w:val="32"/>
          <w:szCs w:val="32"/>
          <w:lang w:val="en-US" w:eastAsia="zh-CN"/>
        </w:rPr>
        <w:t>审计局</w:t>
      </w:r>
      <w:r>
        <w:rPr>
          <w:rFonts w:hint="eastAsia" w:ascii="方正仿宋_GB2312" w:hAnsi="方正仿宋_GB2312" w:eastAsia="方正仿宋_GB2312" w:cs="方正仿宋_GB2312"/>
          <w:sz w:val="32"/>
          <w:szCs w:val="32"/>
        </w:rPr>
        <w:t>提出的整改要求，仍然还需要持续强化整改认识、持续压实整改责任、持续加大整改力度，切实运用和巩固好</w:t>
      </w:r>
      <w:r>
        <w:rPr>
          <w:rFonts w:hint="eastAsia" w:ascii="方正仿宋_GB2312" w:hAnsi="方正仿宋_GB2312" w:eastAsia="方正仿宋_GB2312" w:cs="方正仿宋_GB2312"/>
          <w:sz w:val="32"/>
          <w:szCs w:val="32"/>
          <w:lang w:val="en-US" w:eastAsia="zh-CN"/>
        </w:rPr>
        <w:t>审计整改</w:t>
      </w:r>
      <w:r>
        <w:rPr>
          <w:rFonts w:hint="eastAsia" w:ascii="方正仿宋_GB2312" w:hAnsi="方正仿宋_GB2312" w:eastAsia="方正仿宋_GB2312" w:cs="方正仿宋_GB2312"/>
          <w:sz w:val="32"/>
          <w:szCs w:val="32"/>
        </w:rPr>
        <w:t>成果，以整改为契机推进关上中心各项工作再上新台阶。</w:t>
      </w:r>
    </w:p>
    <w:p>
      <w:pPr>
        <w:pStyle w:val="5"/>
        <w:keepNext w:val="0"/>
        <w:keepLines w:val="0"/>
        <w:pageBreakBefore w:val="0"/>
        <w:kinsoku/>
        <w:wordWrap/>
        <w:topLinePunct w:val="0"/>
        <w:bidi w:val="0"/>
        <w:spacing w:line="560" w:lineRule="exact"/>
        <w:ind w:firstLine="643" w:firstLineChars="200"/>
        <w:textAlignment w:val="auto"/>
        <w:rPr>
          <w:rFonts w:hint="eastAsia" w:ascii="方正仿宋_GB2312" w:hAnsi="方正仿宋_GB2312" w:eastAsia="方正仿宋_GB2312" w:cs="方正仿宋_GB2312"/>
          <w:b/>
          <w:bCs/>
          <w:kern w:val="2"/>
          <w:sz w:val="32"/>
          <w:szCs w:val="32"/>
          <w:highlight w:val="none"/>
          <w:lang w:val="en-US" w:eastAsia="zh-CN" w:bidi="ar-SA"/>
        </w:rPr>
      </w:pPr>
      <w:r>
        <w:rPr>
          <w:rFonts w:hint="eastAsia" w:ascii="方正仿宋_GB2312" w:hAnsi="方正仿宋_GB2312" w:eastAsia="方正仿宋_GB2312" w:cs="方正仿宋_GB2312"/>
          <w:b/>
          <w:bCs/>
          <w:kern w:val="2"/>
          <w:sz w:val="32"/>
          <w:szCs w:val="32"/>
          <w:highlight w:val="none"/>
          <w:lang w:val="en-US" w:eastAsia="zh-CN" w:bidi="ar-SA"/>
        </w:rPr>
        <w:t>六、整改工作中存在的问题和改进整改工作的意见和建议</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（一）存在问题</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基层社区卫生服务机构承担着国家基本公共卫生服务的所有工作职能，工作繁琐，单位领导班子也都是医学专业技术人员，在单位管理中存在一些管理上的短板，如财务管理、采购招标等方面知识储备欠缺，在整改中需要不断请教审计和财政的老师，有边学边改的现象。</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2、基层社区工作资金来源途径不一，部分资金的使用和管理，上级部门没有明确的经费使用指导意见，导致基层在整改中没有切实可行的整改依据，整改过程中存在不知如何整改的困惑。</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（二）改进整改工作的建议</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1、结合各单位在审计中发现的问题，给予基层单位相应的专业知识培训和指导。</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2、对于一些以往没有明确的规定，基层单位按照以往的工作方法开展工作，但与现在的审计要求有冲突或不适应的地方，建议审计部门召开工作联席会，根据工作实际情况提出整改要求。</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3840" w:firstLineChars="1200"/>
        <w:textAlignment w:val="auto"/>
        <w:rPr>
          <w:rFonts w:hint="eastAsia" w:ascii="方正仿宋_GB2312" w:hAnsi="方正仿宋_GB2312" w:eastAsia="方正仿宋_GB2312" w:cs="方正仿宋_GB2312"/>
          <w:kern w:val="2"/>
          <w:sz w:val="32"/>
          <w:szCs w:val="32"/>
          <w:lang w:val="en-US" w:eastAsia="zh-CN" w:bidi="ar-SA"/>
        </w:rPr>
      </w:pPr>
    </w:p>
    <w:p>
      <w:pPr>
        <w:pStyle w:val="5"/>
        <w:keepNext w:val="0"/>
        <w:keepLines w:val="0"/>
        <w:pageBreakBefore w:val="0"/>
        <w:kinsoku/>
        <w:wordWrap/>
        <w:topLinePunct w:val="0"/>
        <w:bidi w:val="0"/>
        <w:spacing w:line="560" w:lineRule="exact"/>
        <w:ind w:firstLine="643" w:firstLineChars="200"/>
        <w:textAlignment w:val="auto"/>
        <w:rPr>
          <w:rFonts w:hint="eastAsia" w:ascii="方正仿宋_GB2312" w:hAnsi="方正仿宋_GB2312" w:eastAsia="方正仿宋_GB2312" w:cs="方正仿宋_GB2312"/>
          <w:b/>
          <w:bCs/>
          <w:kern w:val="2"/>
          <w:sz w:val="32"/>
          <w:szCs w:val="32"/>
          <w:highlight w:val="none"/>
          <w:lang w:val="en-US" w:eastAsia="zh-CN" w:bidi="ar-SA"/>
        </w:rPr>
      </w:pPr>
    </w:p>
    <w:p>
      <w:pPr>
        <w:pStyle w:val="5"/>
        <w:keepNext w:val="0"/>
        <w:keepLines w:val="0"/>
        <w:pageBreakBefore w:val="0"/>
        <w:kinsoku/>
        <w:wordWrap/>
        <w:topLinePunct w:val="0"/>
        <w:bidi w:val="0"/>
        <w:spacing w:line="560" w:lineRule="exact"/>
        <w:ind w:firstLine="643" w:firstLineChars="200"/>
        <w:textAlignment w:val="auto"/>
        <w:rPr>
          <w:rFonts w:hint="eastAsia" w:ascii="方正仿宋_GB2312" w:hAnsi="方正仿宋_GB2312" w:eastAsia="方正仿宋_GB2312" w:cs="方正仿宋_GB2312"/>
          <w:b/>
          <w:bCs/>
          <w:kern w:val="2"/>
          <w:sz w:val="32"/>
          <w:szCs w:val="32"/>
          <w:highlight w:val="none"/>
          <w:lang w:val="en-US" w:eastAsia="zh-CN" w:bidi="ar-SA"/>
        </w:rPr>
      </w:pPr>
    </w:p>
    <w:p>
      <w:pPr>
        <w:pStyle w:val="5"/>
        <w:keepNext w:val="0"/>
        <w:keepLines w:val="0"/>
        <w:pageBreakBefore w:val="0"/>
        <w:kinsoku/>
        <w:wordWrap/>
        <w:topLinePunct w:val="0"/>
        <w:bidi w:val="0"/>
        <w:spacing w:line="560" w:lineRule="exact"/>
        <w:ind w:firstLine="643" w:firstLineChars="200"/>
        <w:textAlignment w:val="auto"/>
        <w:rPr>
          <w:rFonts w:hint="eastAsia" w:ascii="方正仿宋_GB2312" w:hAnsi="方正仿宋_GB2312" w:eastAsia="方正仿宋_GB2312" w:cs="方正仿宋_GB2312"/>
          <w:b/>
          <w:bCs/>
          <w:kern w:val="2"/>
          <w:sz w:val="32"/>
          <w:szCs w:val="32"/>
          <w:highlight w:val="none"/>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3840" w:firstLineChars="1200"/>
        <w:textAlignment w:val="auto"/>
        <w:rPr>
          <w:rFonts w:hint="eastAsia" w:ascii="方正仿宋_GB2312" w:hAnsi="方正仿宋_GB2312" w:eastAsia="方正仿宋_GB2312" w:cs="方正仿宋_GB2312"/>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3840" w:firstLineChars="1200"/>
        <w:textAlignment w:val="auto"/>
        <w:rPr>
          <w:rFonts w:hint="eastAsia" w:ascii="方正仿宋_GB2312" w:hAnsi="方正仿宋_GB2312" w:eastAsia="方正仿宋_GB2312" w:cs="方正仿宋_GB2312"/>
          <w:color w:val="auto"/>
          <w:kern w:val="2"/>
          <w:sz w:val="32"/>
          <w:szCs w:val="32"/>
          <w:u w:val="none"/>
          <w:lang w:val="en-US" w:eastAsia="zh-CN" w:bidi="ar-SA"/>
        </w:rPr>
      </w:pPr>
      <w:r>
        <w:rPr>
          <w:rFonts w:hint="eastAsia" w:ascii="方正仿宋_GB2312" w:hAnsi="方正仿宋_GB2312" w:eastAsia="方正仿宋_GB2312" w:cs="方正仿宋_GB2312"/>
          <w:color w:val="auto"/>
          <w:kern w:val="2"/>
          <w:sz w:val="32"/>
          <w:szCs w:val="32"/>
          <w:u w:val="none"/>
          <w:lang w:val="en-US" w:eastAsia="zh-CN" w:bidi="ar-SA"/>
        </w:rPr>
        <w:t>官渡区关上街道社区卫生服务中心</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u w:val="none"/>
          <w:lang w:val="en-US" w:eastAsia="zh-CN" w:bidi="ar-SA"/>
        </w:rPr>
      </w:pPr>
      <w:r>
        <w:rPr>
          <w:rFonts w:hint="eastAsia" w:ascii="方正仿宋_GB2312" w:hAnsi="方正仿宋_GB2312" w:eastAsia="方正仿宋_GB2312" w:cs="方正仿宋_GB2312"/>
          <w:color w:val="auto"/>
          <w:kern w:val="2"/>
          <w:sz w:val="32"/>
          <w:szCs w:val="32"/>
          <w:u w:val="none"/>
          <w:lang w:val="en-US" w:eastAsia="zh-CN" w:bidi="ar-SA"/>
        </w:rPr>
        <w:t xml:space="preserve">                              2023年10月20日</w:t>
      </w:r>
    </w:p>
    <w:p>
      <w:pPr>
        <w:keepNext w:val="0"/>
        <w:keepLines w:val="0"/>
        <w:pageBreakBefore w:val="0"/>
        <w:kinsoku/>
        <w:wordWrap/>
        <w:topLinePunct w:val="0"/>
        <w:bidi w:val="0"/>
        <w:spacing w:line="560" w:lineRule="exact"/>
        <w:textAlignment w:val="auto"/>
        <w:rPr>
          <w:rFonts w:hint="eastAsia" w:ascii="方正仿宋_GB2312" w:hAnsi="方正仿宋_GB2312" w:eastAsia="方正仿宋_GB2312" w:cs="方正仿宋_GB2312"/>
          <w:sz w:val="32"/>
          <w:szCs w:val="32"/>
        </w:rPr>
      </w:pPr>
    </w:p>
    <w:sectPr>
      <w:footerReference r:id="rId3" w:type="default"/>
      <w:footerReference r:id="rId4" w:type="even"/>
      <w:pgSz w:w="11906" w:h="16838"/>
      <w:pgMar w:top="1871" w:right="1531" w:bottom="1587" w:left="1531" w:header="851" w:footer="1191" w:gutter="0"/>
      <w:pgNumType w:fmt="decimalFullWidt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7BAC49C-9905-4AE6-A84D-2B0A9BD8CAA3}"/>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6C769B55-FE3B-47D6-809C-90E34FE82E7F}"/>
  </w:font>
  <w:font w:name="方正仿宋_GBK">
    <w:panose1 w:val="03000509000000000000"/>
    <w:charset w:val="86"/>
    <w:family w:val="auto"/>
    <w:pitch w:val="default"/>
    <w:sig w:usb0="00000001" w:usb1="080E0000" w:usb2="00000000" w:usb3="00000000" w:csb0="00040000" w:csb1="00000000"/>
    <w:embedRegular r:id="rId3" w:fontKey="{645C5B20-31A5-4CF3-8F06-B3A22B35491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rPr>
                              <w:rStyle w:val="13"/>
                              <w:sz w:val="24"/>
                              <w:szCs w:val="24"/>
                            </w:rPr>
                          </w:pPr>
                          <w:r>
                            <w:rPr>
                              <w:rStyle w:val="13"/>
                              <w:sz w:val="24"/>
                              <w:szCs w:val="24"/>
                            </w:rPr>
                            <w:t xml:space="preserve">— </w:t>
                          </w:r>
                          <w:r>
                            <w:rPr>
                              <w:rFonts w:hint="eastAsia" w:ascii="方正仿宋_GBK" w:hAnsi="方正仿宋_GBK" w:eastAsia="方正仿宋_GBK" w:cs="方正仿宋_GBK"/>
                              <w:sz w:val="28"/>
                              <w:szCs w:val="24"/>
                            </w:rPr>
                            <w:fldChar w:fldCharType="begin"/>
                          </w:r>
                          <w:r>
                            <w:rPr>
                              <w:rStyle w:val="13"/>
                              <w:rFonts w:hint="eastAsia" w:ascii="方正仿宋_GBK" w:hAnsi="方正仿宋_GBK" w:eastAsia="方正仿宋_GBK" w:cs="方正仿宋_GBK"/>
                              <w:sz w:val="28"/>
                              <w:szCs w:val="24"/>
                            </w:rPr>
                            <w:instrText xml:space="preserve">PAGE  </w:instrText>
                          </w:r>
                          <w:r>
                            <w:rPr>
                              <w:rFonts w:hint="eastAsia" w:ascii="方正仿宋_GBK" w:hAnsi="方正仿宋_GBK" w:eastAsia="方正仿宋_GBK" w:cs="方正仿宋_GBK"/>
                              <w:sz w:val="28"/>
                              <w:szCs w:val="24"/>
                            </w:rPr>
                            <w:fldChar w:fldCharType="separate"/>
                          </w:r>
                          <w:r>
                            <w:rPr>
                              <w:rStyle w:val="13"/>
                              <w:rFonts w:hint="eastAsia" w:ascii="方正仿宋_GBK" w:hAnsi="方正仿宋_GBK" w:eastAsia="方正仿宋_GBK" w:cs="方正仿宋_GBK"/>
                              <w:sz w:val="28"/>
                              <w:szCs w:val="24"/>
                            </w:rPr>
                            <w:t>２</w:t>
                          </w:r>
                          <w:r>
                            <w:rPr>
                              <w:rFonts w:hint="eastAsia" w:ascii="方正仿宋_GBK" w:hAnsi="方正仿宋_GBK" w:eastAsia="方正仿宋_GBK" w:cs="方正仿宋_GBK"/>
                              <w:sz w:val="28"/>
                              <w:szCs w:val="24"/>
                            </w:rPr>
                            <w:fldChar w:fldCharType="end"/>
                          </w:r>
                          <w:r>
                            <w:rPr>
                              <w:rStyle w:val="13"/>
                              <w:sz w:val="24"/>
                              <w:szCs w:val="2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6"/>
                      <w:jc w:val="center"/>
                      <w:rPr>
                        <w:rStyle w:val="13"/>
                        <w:sz w:val="24"/>
                        <w:szCs w:val="24"/>
                      </w:rPr>
                    </w:pPr>
                    <w:r>
                      <w:rPr>
                        <w:rStyle w:val="13"/>
                        <w:sz w:val="24"/>
                        <w:szCs w:val="24"/>
                      </w:rPr>
                      <w:t xml:space="preserve">— </w:t>
                    </w:r>
                    <w:r>
                      <w:rPr>
                        <w:rFonts w:hint="eastAsia" w:ascii="方正仿宋_GBK" w:hAnsi="方正仿宋_GBK" w:eastAsia="方正仿宋_GBK" w:cs="方正仿宋_GBK"/>
                        <w:sz w:val="28"/>
                        <w:szCs w:val="24"/>
                      </w:rPr>
                      <w:fldChar w:fldCharType="begin"/>
                    </w:r>
                    <w:r>
                      <w:rPr>
                        <w:rStyle w:val="13"/>
                        <w:rFonts w:hint="eastAsia" w:ascii="方正仿宋_GBK" w:hAnsi="方正仿宋_GBK" w:eastAsia="方正仿宋_GBK" w:cs="方正仿宋_GBK"/>
                        <w:sz w:val="28"/>
                        <w:szCs w:val="24"/>
                      </w:rPr>
                      <w:instrText xml:space="preserve">PAGE  </w:instrText>
                    </w:r>
                    <w:r>
                      <w:rPr>
                        <w:rFonts w:hint="eastAsia" w:ascii="方正仿宋_GBK" w:hAnsi="方正仿宋_GBK" w:eastAsia="方正仿宋_GBK" w:cs="方正仿宋_GBK"/>
                        <w:sz w:val="28"/>
                        <w:szCs w:val="24"/>
                      </w:rPr>
                      <w:fldChar w:fldCharType="separate"/>
                    </w:r>
                    <w:r>
                      <w:rPr>
                        <w:rStyle w:val="13"/>
                        <w:rFonts w:hint="eastAsia" w:ascii="方正仿宋_GBK" w:hAnsi="方正仿宋_GBK" w:eastAsia="方正仿宋_GBK" w:cs="方正仿宋_GBK"/>
                        <w:sz w:val="28"/>
                        <w:szCs w:val="24"/>
                      </w:rPr>
                      <w:t>２</w:t>
                    </w:r>
                    <w:r>
                      <w:rPr>
                        <w:rFonts w:hint="eastAsia" w:ascii="方正仿宋_GBK" w:hAnsi="方正仿宋_GBK" w:eastAsia="方正仿宋_GBK" w:cs="方正仿宋_GBK"/>
                        <w:sz w:val="28"/>
                        <w:szCs w:val="24"/>
                      </w:rPr>
                      <w:fldChar w:fldCharType="end"/>
                    </w:r>
                    <w:r>
                      <w:rPr>
                        <w:rStyle w:val="13"/>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separate"/>
    </w:r>
    <w:r>
      <w:rPr>
        <w:rStyle w:val="13"/>
      </w:rPr>
      <w:t>１</w: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7346D"/>
    <w:multiLevelType w:val="singleLevel"/>
    <w:tmpl w:val="2EC7346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000000"/>
    <w:rsid w:val="0066135D"/>
    <w:rsid w:val="021A27AB"/>
    <w:rsid w:val="03045C9E"/>
    <w:rsid w:val="0BBC48D3"/>
    <w:rsid w:val="137141F5"/>
    <w:rsid w:val="13C96D81"/>
    <w:rsid w:val="1E5170FD"/>
    <w:rsid w:val="23C15E1B"/>
    <w:rsid w:val="26390D98"/>
    <w:rsid w:val="2A97058D"/>
    <w:rsid w:val="2BD24EFB"/>
    <w:rsid w:val="2DBD47AF"/>
    <w:rsid w:val="37273B0A"/>
    <w:rsid w:val="3CF275F1"/>
    <w:rsid w:val="3E577001"/>
    <w:rsid w:val="3FB857D5"/>
    <w:rsid w:val="402204A1"/>
    <w:rsid w:val="40924F40"/>
    <w:rsid w:val="461B60BF"/>
    <w:rsid w:val="47637D1D"/>
    <w:rsid w:val="4A4C61F3"/>
    <w:rsid w:val="4AB60164"/>
    <w:rsid w:val="590F352B"/>
    <w:rsid w:val="5C69115E"/>
    <w:rsid w:val="5C8E2CEF"/>
    <w:rsid w:val="5D4F3778"/>
    <w:rsid w:val="60CA62C0"/>
    <w:rsid w:val="63E15DFA"/>
    <w:rsid w:val="6A33021B"/>
    <w:rsid w:val="6ED952BF"/>
    <w:rsid w:val="713E488C"/>
    <w:rsid w:val="71C2292A"/>
    <w:rsid w:val="71EA0570"/>
    <w:rsid w:val="76706EDC"/>
    <w:rsid w:val="76B4114C"/>
    <w:rsid w:val="78F9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autoRedefine/>
    <w:unhideWhenUsed/>
    <w:qFormat/>
    <w:uiPriority w:val="99"/>
    <w:pPr>
      <w:ind w:firstLine="630"/>
    </w:pPr>
    <w:rPr>
      <w:rFonts w:ascii="Times New Roman" w:hAnsi="Times New Roman" w:eastAsia="仿宋_GB2312"/>
      <w:kern w:val="0"/>
      <w:sz w:val="32"/>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qFormat/>
    <w:uiPriority w:val="0"/>
    <w:pPr>
      <w:widowControl w:val="0"/>
      <w:ind w:right="214"/>
      <w:jc w:val="both"/>
    </w:pPr>
    <w:rPr>
      <w:rFonts w:ascii="仿宋_GB2312" w:hAnsi="Times New Roman" w:eastAsia="仿宋_GB2312" w:cs="Times New Roman"/>
      <w:kern w:val="2"/>
      <w:sz w:val="3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footnote text"/>
    <w:basedOn w:val="1"/>
    <w:unhideWhenUsed/>
    <w:qFormat/>
    <w:uiPriority w:val="99"/>
    <w:pPr>
      <w:snapToGrid w:val="0"/>
      <w:jc w:val="left"/>
    </w:pPr>
    <w:rPr>
      <w:sz w:val="18"/>
      <w:szCs w:val="18"/>
    </w:rPr>
  </w:style>
  <w:style w:type="paragraph" w:styleId="8">
    <w:name w:val="table of figures"/>
    <w:basedOn w:val="1"/>
    <w:next w:val="1"/>
    <w:unhideWhenUsed/>
    <w:qFormat/>
    <w:uiPriority w:val="99"/>
    <w:pPr>
      <w:ind w:left="200" w:leftChars="200" w:hanging="200" w:hanging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NormalIndent"/>
    <w:basedOn w:val="1"/>
    <w:qFormat/>
    <w:uiPriority w:val="0"/>
    <w:pPr>
      <w:ind w:firstLine="200" w:firstLineChars="200"/>
    </w:pPr>
    <w:rPr>
      <w:rFonts w:ascii="宋体" w:hAnsi="宋体"/>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4134</Words>
  <Characters>4216</Characters>
  <Lines>0</Lines>
  <Paragraphs>0</Paragraphs>
  <TotalTime>3</TotalTime>
  <ScaleCrop>false</ScaleCrop>
  <LinksUpToDate>false</LinksUpToDate>
  <CharactersWithSpaces>4216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学而知之</cp:lastModifiedBy>
  <dcterms:modified xsi:type="dcterms:W3CDTF">2024-05-22T10:03:18Z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23A8FE18261F486B8830082800C18064_13</vt:lpwstr>
  </property>
</Properties>
</file>