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68" w:type="dxa"/>
        <w:tblInd w:w="-459" w:type="dxa"/>
        <w:tblLayout w:type="fixed"/>
        <w:tblCellMar>
          <w:top w:w="0" w:type="dxa"/>
          <w:left w:w="108" w:type="dxa"/>
          <w:bottom w:w="0" w:type="dxa"/>
          <w:right w:w="108" w:type="dxa"/>
        </w:tblCellMar>
      </w:tblPr>
      <w:tblGrid>
        <w:gridCol w:w="567"/>
        <w:gridCol w:w="777"/>
        <w:gridCol w:w="1450"/>
        <w:gridCol w:w="1884"/>
        <w:gridCol w:w="756"/>
        <w:gridCol w:w="1155"/>
        <w:gridCol w:w="1170"/>
        <w:gridCol w:w="1155"/>
        <w:gridCol w:w="3986"/>
        <w:gridCol w:w="708"/>
        <w:gridCol w:w="1560"/>
      </w:tblGrid>
      <w:tr>
        <w:tblPrEx>
          <w:tblCellMar>
            <w:top w:w="0" w:type="dxa"/>
            <w:left w:w="108" w:type="dxa"/>
            <w:bottom w:w="0" w:type="dxa"/>
            <w:right w:w="108" w:type="dxa"/>
          </w:tblCellMar>
        </w:tblPrEx>
        <w:trPr>
          <w:trHeight w:val="420" w:hRule="atLeast"/>
          <w:tblHeader/>
        </w:trPr>
        <w:tc>
          <w:tcPr>
            <w:tcW w:w="15168" w:type="dxa"/>
            <w:gridSpan w:val="11"/>
            <w:tcBorders>
              <w:bottom w:val="single" w:color="auto" w:sz="4" w:space="0"/>
            </w:tcBorders>
            <w:shd w:val="clear" w:color="auto" w:fill="auto"/>
            <w:vAlign w:val="center"/>
          </w:tcPr>
          <w:p>
            <w:pPr>
              <w:widowControl/>
              <w:spacing w:line="460" w:lineRule="exact"/>
              <w:jc w:val="center"/>
              <w:rPr>
                <w:rFonts w:ascii="方正小标宋_GBK" w:hAnsi="宋体" w:eastAsia="方正小标宋_GBK" w:cs="宋体"/>
                <w:color w:val="000000" w:themeColor="text1"/>
                <w:kern w:val="0"/>
                <w:sz w:val="40"/>
                <w:szCs w:val="40"/>
                <w14:textFill>
                  <w14:solidFill>
                    <w14:schemeClr w14:val="tx1"/>
                  </w14:solidFill>
                </w14:textFill>
              </w:rPr>
            </w:pPr>
            <w:r>
              <w:rPr>
                <w:rFonts w:hint="eastAsia" w:ascii="方正小标宋_GBK" w:hAnsi="宋体" w:eastAsia="方正小标宋_GBK" w:cs="宋体"/>
                <w:color w:val="000000" w:themeColor="text1"/>
                <w:kern w:val="0"/>
                <w:sz w:val="40"/>
                <w:szCs w:val="40"/>
                <w14:textFill>
                  <w14:solidFill>
                    <w14:schemeClr w14:val="tx1"/>
                  </w14:solidFill>
                </w14:textFill>
              </w:rPr>
              <w:t>官渡区卫生健康局</w:t>
            </w:r>
          </w:p>
          <w:p>
            <w:pPr>
              <w:widowControl/>
              <w:spacing w:line="4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小标宋_GBK" w:hAnsi="宋体" w:eastAsia="方正小标宋_GBK" w:cs="宋体"/>
                <w:color w:val="000000" w:themeColor="text1"/>
                <w:kern w:val="0"/>
                <w:sz w:val="40"/>
                <w:szCs w:val="40"/>
                <w14:textFill>
                  <w14:solidFill>
                    <w14:schemeClr w14:val="tx1"/>
                  </w14:solidFill>
                </w14:textFill>
              </w:rPr>
              <w:t>随机抽查事项清单（第二版）</w:t>
            </w:r>
          </w:p>
        </w:tc>
      </w:tr>
      <w:tr>
        <w:tblPrEx>
          <w:tblCellMar>
            <w:top w:w="0" w:type="dxa"/>
            <w:left w:w="108" w:type="dxa"/>
            <w:bottom w:w="0" w:type="dxa"/>
            <w:right w:w="108" w:type="dxa"/>
          </w:tblCellMar>
        </w:tblPrEx>
        <w:trPr>
          <w:trHeight w:val="395" w:hRule="atLeast"/>
          <w:tblHeader/>
        </w:trPr>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序号</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部门</w:t>
            </w:r>
          </w:p>
        </w:tc>
        <w:tc>
          <w:tcPr>
            <w:tcW w:w="33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 xml:space="preserve">抽查项目 </w:t>
            </w:r>
          </w:p>
        </w:tc>
        <w:tc>
          <w:tcPr>
            <w:tcW w:w="7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事项类别</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检查对象</w:t>
            </w:r>
          </w:p>
        </w:tc>
        <w:tc>
          <w:tcPr>
            <w:tcW w:w="11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检查方式</w:t>
            </w:r>
          </w:p>
        </w:tc>
        <w:tc>
          <w:tcPr>
            <w:tcW w:w="11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检查主体</w:t>
            </w:r>
          </w:p>
        </w:tc>
        <w:tc>
          <w:tcPr>
            <w:tcW w:w="3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检查依据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适用区域</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备注</w:t>
            </w:r>
          </w:p>
        </w:tc>
      </w:tr>
      <w:tr>
        <w:tblPrEx>
          <w:tblCellMar>
            <w:top w:w="0" w:type="dxa"/>
            <w:left w:w="108" w:type="dxa"/>
            <w:bottom w:w="0" w:type="dxa"/>
            <w:right w:w="108" w:type="dxa"/>
          </w:tblCellMar>
        </w:tblPrEx>
        <w:trPr>
          <w:trHeight w:val="366" w:hRule="atLeast"/>
          <w:tblHeader/>
        </w:trPr>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抽查类别</w:t>
            </w:r>
          </w:p>
        </w:tc>
        <w:tc>
          <w:tcPr>
            <w:tcW w:w="1884" w:type="dxa"/>
            <w:tcBorders>
              <w:top w:val="nil"/>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color w:val="000000" w:themeColor="text1"/>
                <w:kern w:val="0"/>
                <w:sz w:val="22"/>
                <w14:textFill>
                  <w14:solidFill>
                    <w14:schemeClr w14:val="tx1"/>
                  </w14:solidFill>
                </w14:textFill>
              </w:rPr>
            </w:pPr>
            <w:r>
              <w:rPr>
                <w:rFonts w:hint="eastAsia" w:ascii="方正黑体_GBK" w:hAnsi="宋体" w:eastAsia="方正黑体_GBK" w:cs="宋体"/>
                <w:b/>
                <w:bCs/>
                <w:color w:val="000000" w:themeColor="text1"/>
                <w:kern w:val="0"/>
                <w:sz w:val="22"/>
                <w14:textFill>
                  <w14:solidFill>
                    <w14:schemeClr w14:val="tx1"/>
                  </w14:solidFill>
                </w14:textFill>
              </w:rPr>
              <w:t>抽查事项</w:t>
            </w:r>
          </w:p>
        </w:tc>
        <w:tc>
          <w:tcPr>
            <w:tcW w:w="7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1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15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398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黑体_GBK" w:hAnsi="宋体" w:eastAsia="方正黑体_GBK" w:cs="宋体"/>
                <w:b/>
                <w:bCs/>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消毒产品生产企业的监督检查</w:t>
            </w:r>
          </w:p>
        </w:tc>
        <w:tc>
          <w:tcPr>
            <w:tcW w:w="1884"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1.消毒产品生产企业卫生许可资质；</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2.按照批准的类别和项目开展生产的情况；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3.从业人员配备和管理情况；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4.原材料卫生质量情况；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5.生产过程规范情况；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6.产品质量控制情况；</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7.进行产品卫生安全评价报告及备案情况。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消毒产品生产企业</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《中华人民共和国传染病防治法》（2013年6月第二次修正）第六条第一款、第五十三条第一款第四项</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《消毒管理办法》（2017年12月修订）第三十六条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涉及饮用水卫生安全产品的监督检查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1.相关法律法规、标准的执行情况；2.按照批准的类别和项目组织生产的情况；3.产品配方原料、生产工艺、卫生许可批件、检验报告、生产检验设备、生产环境、仓储、索证、生产地址、产品标签标识、生产用水、生产车间布局、从业人员培训、个人卫生等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生产涉及饮用水卫生安全的产品企业；</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销售涉及饮用水卫生安全的产品经营单位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《中华人民共和国传染病防治法》（2013年6月第二次修正）第六条第一款、第五十三条第一款第四项</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《生活饮用水卫生监督管理办法》（2016年修订）第三条第一款、第十六条第一款、第二十三条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学校卫生的监督检查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1.学校教学和生活环境、传染病防控、学校饮用水以及学校内游泳场所的卫生管理情况；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2.托幼机构的饮用水卫生、传染病预防和控制等。</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区辖区内学校</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《学校卫生工作条例》第四条、第二十八条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《中华人民共和国传染病防治法》 （2013年6月第二次修正）第五十三条第一款第四项</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《生活饮用水卫生监督管理办法》（2016年修订）第三条第一款、第十六条第一款、第二十三条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《学校卫生工作条例》第四条、第二十八条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《公共场所卫生管理条例》（2019年修订）第十一条、第十二条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《公共场所卫生管理条例实施细则》（2017年12月修订）第三条第二款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《托儿所幼儿园卫生保健管理办法》第四条第一款、第五条第三款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公共场所卫生的监督检查</w:t>
            </w:r>
          </w:p>
        </w:tc>
        <w:tc>
          <w:tcPr>
            <w:tcW w:w="1884" w:type="dxa"/>
            <w:tcBorders>
              <w:top w:val="nil"/>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1.是否取得公共场所卫生许可证开展经营活动；</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2.公共场所卫生检测及管理情况；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3.艾滋病防控工作落实情况；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4.从业人员是否取得有效健康合格证明；</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5.传染病流行期间的传染病预防、控制措施情况。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辖区内公共场所</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《中华人民共和国传染病防治法》 （2013年6月第二次修正）第五十三条第一款第六项</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《公共场所卫生管理条例》（2019年修订）第十一条、第十二条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《公共场所卫生管理条例实施细则》（2017年12月修订）第三条第二款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《云南省艾滋病防治条例》第十八条、第三十条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传染病防治的监督检查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1.建立传染病防治、疫情报告、医疗废物、生物安全等管理组织；</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2.重复使用和一次性医疗器械的使用；</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3.预防接种管理；</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4.医疗废物收集、运输、贮存、处置活动中的疾病防治；</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5.法定传染病疫情报告；</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6.传染病疫情控制及消毒隔离制度执行情况；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7.病源微生物实验室生物安全管理。</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《中华人民共和国传染病防治法》 （2013年6月第二次修正）第五十三条第一款第二项、第五项；</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《中华人民共和国传染病防治法实施办法》第三条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《中华人民共和国疫苗管理法》第八条第二款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《突发公共卫生事件与传染病疫情监测信息报告管理办法》第四条第二款、第三十三条第二款；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《医疗废物管理条例》第五条第一款、第三十四条、第三十五条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《医疗卫生机构医疗废物管理办法》第三条第二款、第三十三条、第三十四条；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《病原微生物实验室生物安全管理条例》（2018年3月修改）第四十九条第一款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《医院感染管理办法》第四条第二款、第二十八条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《医疗机构临床实验室管理办法》第四条第二款、第四十八条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《医疗机构传染病预检分诊管理办法》第十条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《人类传染的高致病性病源微生物实验室和实验活动生物安全审批管理办法》第四条第三款  第二十八条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《艾滋病防治条例》第四条第二款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《医疗器械监督管理条例》第三条第二款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医疗卫生的监督检查</w:t>
            </w:r>
          </w:p>
        </w:tc>
        <w:tc>
          <w:tcPr>
            <w:tcW w:w="1884" w:type="dxa"/>
            <w:tcBorders>
              <w:top w:val="nil"/>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医疗卫生机构是否取得合法资质，执业活动是否合法；</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2.</w:t>
            </w:r>
            <w:r>
              <w:rPr>
                <w:rFonts w:hint="eastAsia"/>
                <w:color w:val="000000" w:themeColor="text1"/>
                <w:sz w:val="20"/>
                <w:szCs w:val="20"/>
                <w14:textFill>
                  <w14:solidFill>
                    <w14:schemeClr w14:val="tx1"/>
                  </w14:solidFill>
                </w14:textFill>
              </w:rPr>
              <w:t>医师是否依法执业；</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3.</w:t>
            </w:r>
            <w:r>
              <w:rPr>
                <w:rFonts w:hint="eastAsia"/>
                <w:color w:val="000000" w:themeColor="text1"/>
                <w:sz w:val="20"/>
                <w:szCs w:val="20"/>
                <w14:textFill>
                  <w14:solidFill>
                    <w14:schemeClr w14:val="tx1"/>
                  </w14:solidFill>
                </w14:textFill>
              </w:rPr>
              <w:t>戒毒医疗机构是否合法；</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4.</w:t>
            </w:r>
            <w:r>
              <w:rPr>
                <w:rFonts w:hint="eastAsia"/>
                <w:color w:val="000000" w:themeColor="text1"/>
                <w:sz w:val="20"/>
                <w:szCs w:val="20"/>
                <w14:textFill>
                  <w14:solidFill>
                    <w14:schemeClr w14:val="tx1"/>
                  </w14:solidFill>
                </w14:textFill>
              </w:rPr>
              <w:t>医疗机构是否违规发布医疗广告；</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5.</w:t>
            </w:r>
            <w:r>
              <w:rPr>
                <w:rFonts w:hint="eastAsia"/>
                <w:color w:val="000000" w:themeColor="text1"/>
                <w:sz w:val="20"/>
                <w:szCs w:val="20"/>
                <w14:textFill>
                  <w14:solidFill>
                    <w14:schemeClr w14:val="tx1"/>
                  </w14:solidFill>
                </w14:textFill>
              </w:rPr>
              <w:t>医疗技术临床应用；</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6.</w:t>
            </w:r>
            <w:r>
              <w:rPr>
                <w:rFonts w:hint="eastAsia"/>
                <w:color w:val="000000" w:themeColor="text1"/>
                <w:sz w:val="20"/>
                <w:szCs w:val="20"/>
                <w14:textFill>
                  <w14:solidFill>
                    <w14:schemeClr w14:val="tx1"/>
                  </w14:solidFill>
                </w14:textFill>
              </w:rPr>
              <w:t>护士执业情况；</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7.</w:t>
            </w:r>
            <w:r>
              <w:rPr>
                <w:rFonts w:hint="eastAsia"/>
                <w:color w:val="000000" w:themeColor="text1"/>
                <w:sz w:val="20"/>
                <w:szCs w:val="20"/>
                <w14:textFill>
                  <w14:solidFill>
                    <w14:schemeClr w14:val="tx1"/>
                  </w14:solidFill>
                </w14:textFill>
              </w:rPr>
              <w:t>对执业医师开具麻醉药品和精神药品处方的情况；</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8.</w:t>
            </w:r>
            <w:r>
              <w:rPr>
                <w:rFonts w:hint="eastAsia"/>
                <w:color w:val="000000" w:themeColor="text1"/>
                <w:sz w:val="20"/>
                <w:szCs w:val="20"/>
                <w14:textFill>
                  <w14:solidFill>
                    <w14:schemeClr w14:val="tx1"/>
                  </w14:solidFill>
                </w14:textFill>
              </w:rPr>
              <w:t>医疗机构抗菌药物临床应用；</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9.</w:t>
            </w:r>
            <w:r>
              <w:rPr>
                <w:rFonts w:hint="eastAsia"/>
                <w:color w:val="000000" w:themeColor="text1"/>
                <w:sz w:val="20"/>
                <w:szCs w:val="20"/>
                <w14:textFill>
                  <w14:solidFill>
                    <w14:schemeClr w14:val="tx1"/>
                  </w14:solidFill>
                </w14:textFill>
              </w:rPr>
              <w:t>涉及人的生物医学研究伦理工作；</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10.</w:t>
            </w:r>
            <w:r>
              <w:rPr>
                <w:rFonts w:hint="eastAsia"/>
                <w:color w:val="000000" w:themeColor="text1"/>
                <w:sz w:val="20"/>
                <w:szCs w:val="20"/>
                <w14:textFill>
                  <w14:solidFill>
                    <w14:schemeClr w14:val="tx1"/>
                  </w14:solidFill>
                </w14:textFill>
              </w:rPr>
              <w:t>使用大型医疗设备是否经过许可；</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11.</w:t>
            </w:r>
            <w:r>
              <w:rPr>
                <w:rFonts w:hint="eastAsia"/>
                <w:color w:val="000000" w:themeColor="text1"/>
                <w:sz w:val="20"/>
                <w:szCs w:val="20"/>
                <w14:textFill>
                  <w14:solidFill>
                    <w14:schemeClr w14:val="tx1"/>
                  </w14:solidFill>
                </w14:textFill>
              </w:rPr>
              <w:t>医疗机构残疾预防、康复工作；</w:t>
            </w:r>
            <w:r>
              <w:rPr>
                <w:rFonts w:hint="eastAsia"/>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12.</w:t>
            </w:r>
            <w:r>
              <w:rPr>
                <w:rFonts w:hint="eastAsia"/>
                <w:color w:val="000000" w:themeColor="text1"/>
                <w:sz w:val="20"/>
                <w:szCs w:val="20"/>
                <w14:textFill>
                  <w14:solidFill>
                    <w14:schemeClr w14:val="tx1"/>
                  </w14:solidFill>
                </w14:textFill>
              </w:rPr>
              <w:t>医疗机构评审评价。</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color w:val="000000" w:themeColor="text1"/>
                <w:sz w:val="20"/>
                <w:szCs w:val="20"/>
                <w14:textFill>
                  <w14:solidFill>
                    <w14:schemeClr w14:val="tx1"/>
                  </w14:solidFill>
                </w14:textFill>
              </w:rPr>
              <w:t>《中华人民共和国基本医疗卫生与健康促进法》</w:t>
            </w:r>
            <w:bookmarkStart w:id="0" w:name="_GoBack"/>
            <w:bookmarkEnd w:id="0"/>
            <w:r>
              <w:rPr>
                <w:rFonts w:ascii="Calibri" w:hAnsi="Calibri"/>
                <w:color w:val="000000" w:themeColor="text1"/>
                <w:sz w:val="20"/>
                <w:szCs w:val="20"/>
                <w14:textFill>
                  <w14:solidFill>
                    <w14:schemeClr w14:val="tx1"/>
                  </w14:solidFill>
                </w14:textFill>
              </w:rPr>
              <w:t>第七条第三款、第八十六条第二款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《中华人民共和国执业医师法》第四条第二款、第三十二条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《中华人民共和国精神卫生法》第八条第一款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《医疗机构管理条例》（国务院令第149号）第五条第二款、第四十条；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《医疗机构管理条例实施细则》第七十条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《医疗美容服务管理办法》第四条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《人体器官移植条例》第四条第一款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《麻醉药品和精神药品管理条例》第六十二条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《处方管理办法》第三条第二款、第五十二条第一款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《中外合资、合作医疗机构管理暂行办法》第五条第二款、第三十条第一款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《戒毒医疗服务管理暂行办法》第四条第二款、第四十一条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《抗菌药物临床应用管理办法》第三条第二款、第三十七条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《医疗质量管理办法》第三条第二款、第三十七条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《医疗机构临床用血管理办法》第二条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《医疗纠纷预防和处理条例》第六条第一款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《护士条例》第五条第二款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《医疗器械监督管理条例》第三条第二款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《医疗技术临床应用管理办法》第七条第二款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《医疗广告管理办法》第四条第二款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《医疗器械监督管理条例》第三条第二款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《医疗机构评审办法》第八条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《涉及人的生物医学研究伦理审查办法》第五条第三款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《残疾预防和残疾人康复条例》第四条第二款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《云南省医疗机构管理条例》第四条第一款、第四十一条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放射诊疗机构的监督检查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1.执行法律、法规、规章、标准和规范等情况；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2.放射诊疗规章制度和工作人员岗位责任制等制度的落实情况；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3.职业健康监护制度和防护措施的落实情况；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4.放射事件调查处理和报告情况。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放射诊疗机构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《中华人民共和国职业病防治法（2018年修订）》第九条第三款、第六十二条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《放射诊疗管理规定》2016(修订）第三条第二款、第三十四条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《放射工作人员职业健康检查管理办法》第三条第二款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《放射性同位素与射线装置安全和防护条例》第三条第三款、第四十六条第一款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对采供血机构的监督检查</w:t>
            </w:r>
          </w:p>
        </w:tc>
        <w:tc>
          <w:tcPr>
            <w:tcW w:w="1884" w:type="dxa"/>
            <w:tcBorders>
              <w:top w:val="nil"/>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1.采供血机构及从业人员资质；</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2.按照批准的类别和项目开展执业的情况；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3.法定传染病疫情报告；</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4.献血人员管理的情况；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5.实验室管理情况；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6.血液制备、包装、储存、配送的情况；</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7.医疗废物处理的情况。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采供血机构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bottom"/>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《中华人民共和国传染病防治法》 （2013年6月第二次修正）第五十三条第一款第三项</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《中华人民共和国献血法》第四条第一款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 xml:space="preserve">《血站管理办法》（2017年12月修改）第六条第二款、第五十条 </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《单采血浆站管理办法》第五条第二款、第五十二条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《血液制品管理条例》第三条第二款、第三十条第一款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对职业健康检查、职业病诊断机构的监督检查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职业健康检查机构：</w:t>
            </w:r>
            <w:r>
              <w:rPr>
                <w:rFonts w:ascii="Calibri" w:hAnsi="Calibri"/>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相关法律法规、标准的执行情况；</w:t>
            </w:r>
            <w:r>
              <w:rPr>
                <w:rFonts w:ascii="Calibri" w:hAnsi="Calibri"/>
                <w:color w:val="000000" w:themeColor="text1"/>
                <w:sz w:val="20"/>
                <w:szCs w:val="20"/>
                <w14:textFill>
                  <w14:solidFill>
                    <w14:schemeClr w14:val="tx1"/>
                  </w14:solidFill>
                </w14:textFill>
              </w:rPr>
              <w:t>2.</w:t>
            </w:r>
            <w:r>
              <w:rPr>
                <w:rFonts w:hint="eastAsia"/>
                <w:color w:val="000000" w:themeColor="text1"/>
                <w:sz w:val="20"/>
                <w:szCs w:val="20"/>
                <w14:textFill>
                  <w14:solidFill>
                    <w14:schemeClr w14:val="tx1"/>
                  </w14:solidFill>
                </w14:textFill>
              </w:rPr>
              <w:t>按照备案的类别和项目开展职业健康检查工作的情况；</w:t>
            </w:r>
            <w:r>
              <w:rPr>
                <w:rFonts w:ascii="Calibri" w:hAnsi="Calibri"/>
                <w:color w:val="000000" w:themeColor="text1"/>
                <w:sz w:val="20"/>
                <w:szCs w:val="20"/>
                <w14:textFill>
                  <w14:solidFill>
                    <w14:schemeClr w14:val="tx1"/>
                  </w14:solidFill>
                </w14:textFill>
              </w:rPr>
              <w:t>3.</w:t>
            </w:r>
            <w:r>
              <w:rPr>
                <w:rFonts w:hint="eastAsia"/>
                <w:color w:val="000000" w:themeColor="text1"/>
                <w:sz w:val="20"/>
                <w:szCs w:val="20"/>
                <w14:textFill>
                  <w14:solidFill>
                    <w14:schemeClr w14:val="tx1"/>
                  </w14:solidFill>
                </w14:textFill>
              </w:rPr>
              <w:t>外出职业健康检查工作情况；</w:t>
            </w:r>
            <w:r>
              <w:rPr>
                <w:rFonts w:ascii="Calibri" w:hAnsi="Calibri"/>
                <w:color w:val="000000" w:themeColor="text1"/>
                <w:sz w:val="20"/>
                <w:szCs w:val="20"/>
                <w14:textFill>
                  <w14:solidFill>
                    <w14:schemeClr w14:val="tx1"/>
                  </w14:solidFill>
                </w14:textFill>
              </w:rPr>
              <w:t>4.</w:t>
            </w:r>
            <w:r>
              <w:rPr>
                <w:rFonts w:hint="eastAsia"/>
                <w:color w:val="000000" w:themeColor="text1"/>
                <w:sz w:val="20"/>
                <w:szCs w:val="20"/>
                <w14:textFill>
                  <w14:solidFill>
                    <w14:schemeClr w14:val="tx1"/>
                  </w14:solidFill>
                </w14:textFill>
              </w:rPr>
              <w:t>职业健康检查质量控制情况；</w:t>
            </w:r>
            <w:r>
              <w:rPr>
                <w:rFonts w:ascii="Calibri" w:hAnsi="Calibri"/>
                <w:color w:val="000000" w:themeColor="text1"/>
                <w:sz w:val="20"/>
                <w:szCs w:val="20"/>
                <w14:textFill>
                  <w14:solidFill>
                    <w14:schemeClr w14:val="tx1"/>
                  </w14:solidFill>
                </w14:textFill>
              </w:rPr>
              <w:t>5.</w:t>
            </w:r>
            <w:r>
              <w:rPr>
                <w:rFonts w:hint="eastAsia"/>
                <w:color w:val="000000" w:themeColor="text1"/>
                <w:sz w:val="20"/>
                <w:szCs w:val="20"/>
                <w14:textFill>
                  <w14:solidFill>
                    <w14:schemeClr w14:val="tx1"/>
                  </w14:solidFill>
                </w14:textFill>
              </w:rPr>
              <w:t>职业健康检查结果、疑似职业病的报告与告知以及职业健康检查信息报告情况；</w:t>
            </w:r>
            <w:r>
              <w:rPr>
                <w:rFonts w:ascii="Calibri" w:hAnsi="Calibri"/>
                <w:color w:val="000000" w:themeColor="text1"/>
                <w:sz w:val="20"/>
                <w:szCs w:val="20"/>
                <w14:textFill>
                  <w14:solidFill>
                    <w14:schemeClr w14:val="tx1"/>
                  </w14:solidFill>
                </w14:textFill>
              </w:rPr>
              <w:t>6.</w:t>
            </w:r>
            <w:r>
              <w:rPr>
                <w:rFonts w:hint="eastAsia"/>
                <w:color w:val="000000" w:themeColor="text1"/>
                <w:sz w:val="20"/>
                <w:szCs w:val="20"/>
                <w14:textFill>
                  <w14:solidFill>
                    <w14:schemeClr w14:val="tx1"/>
                  </w14:solidFill>
                </w14:textFill>
              </w:rPr>
              <w:t>职业健康检查档案管理情况等。</w:t>
            </w: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职业病诊断机构：</w:t>
            </w:r>
            <w:r>
              <w:rPr>
                <w:rFonts w:ascii="Calibri" w:hAnsi="Calibri"/>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法律法规、标准的执行情况；</w:t>
            </w:r>
            <w:r>
              <w:rPr>
                <w:rFonts w:ascii="Calibri" w:hAnsi="Calibri"/>
                <w:color w:val="000000" w:themeColor="text1"/>
                <w:sz w:val="20"/>
                <w:szCs w:val="20"/>
                <w14:textFill>
                  <w14:solidFill>
                    <w14:schemeClr w14:val="tx1"/>
                  </w14:solidFill>
                </w14:textFill>
              </w:rPr>
              <w:t>2.</w:t>
            </w:r>
            <w:r>
              <w:rPr>
                <w:rFonts w:hint="eastAsia"/>
                <w:color w:val="000000" w:themeColor="text1"/>
                <w:sz w:val="20"/>
                <w:szCs w:val="20"/>
                <w14:textFill>
                  <w14:solidFill>
                    <w14:schemeClr w14:val="tx1"/>
                  </w14:solidFill>
                </w14:textFill>
              </w:rPr>
              <w:t>规章制度建立情况；</w:t>
            </w:r>
            <w:r>
              <w:rPr>
                <w:rFonts w:ascii="Calibri" w:hAnsi="Calibri"/>
                <w:color w:val="000000" w:themeColor="text1"/>
                <w:sz w:val="20"/>
                <w:szCs w:val="20"/>
                <w14:textFill>
                  <w14:solidFill>
                    <w14:schemeClr w14:val="tx1"/>
                  </w14:solidFill>
                </w14:textFill>
              </w:rPr>
              <w:t>3.</w:t>
            </w:r>
            <w:r>
              <w:rPr>
                <w:rFonts w:hint="eastAsia"/>
                <w:color w:val="000000" w:themeColor="text1"/>
                <w:sz w:val="20"/>
                <w:szCs w:val="20"/>
                <w14:textFill>
                  <w14:solidFill>
                    <w14:schemeClr w14:val="tx1"/>
                  </w14:solidFill>
                </w14:textFill>
              </w:rPr>
              <w:t>人员、岗位职责落实和培训等情况；</w:t>
            </w:r>
            <w:r>
              <w:rPr>
                <w:rFonts w:ascii="Calibri" w:hAnsi="Calibri"/>
                <w:color w:val="000000" w:themeColor="text1"/>
                <w:sz w:val="20"/>
                <w:szCs w:val="20"/>
                <w14:textFill>
                  <w14:solidFill>
                    <w14:schemeClr w14:val="tx1"/>
                  </w14:solidFill>
                </w14:textFill>
              </w:rPr>
              <w:t>4.</w:t>
            </w:r>
            <w:r>
              <w:rPr>
                <w:rFonts w:hint="eastAsia"/>
                <w:color w:val="000000" w:themeColor="text1"/>
                <w:sz w:val="20"/>
                <w:szCs w:val="20"/>
                <w14:textFill>
                  <w14:solidFill>
                    <w14:schemeClr w14:val="tx1"/>
                  </w14:solidFill>
                </w14:textFill>
              </w:rPr>
              <w:t>职业病报告情况等。</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职业病健康检查机构、职业病诊断机构、机构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《中华人民共和国职业病防治法（2018年修订）》第九条第三款、第四十二条、第六十二条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《职业健康检查管理办法》第三条第二款、第二十一条、二十二条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《职业病诊断与鉴定管理办法》第五十二条、第五十三条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对母婴保健、计划生育技术服务机构的监督检查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母婴保健技术服务机构：1.相关法律法规、标准、规范的执行情况；2.按照批准的类别和项目开展母婴保健技术服务工作的情况；3.从事母婴保健技术服务人员资质情况；4.开展母婴保健技术的管理情况等。</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医疗卫生机构：1.非法实施计划生育手术情况；2.开展非医学需要的胎儿性别鉴定和选择性别人工终止妊娠情况。</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区辖区内母婴保健技术服务机构</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hint="eastAsia" w:ascii="Calibri" w:hAnsi="Calibri"/>
                <w:color w:val="000000" w:themeColor="text1"/>
                <w:sz w:val="20"/>
                <w:szCs w:val="20"/>
                <w:lang w:eastAsia="zh-CN"/>
                <w14:textFill>
                  <w14:solidFill>
                    <w14:schemeClr w14:val="tx1"/>
                  </w14:solidFill>
                </w14:textFill>
              </w:rPr>
              <w:t>《中华人民共和国母婴保健法》</w:t>
            </w:r>
            <w:r>
              <w:rPr>
                <w:rFonts w:ascii="Calibri" w:hAnsi="Calibri"/>
                <w:color w:val="000000" w:themeColor="text1"/>
                <w:sz w:val="20"/>
                <w:szCs w:val="20"/>
                <w14:textFill>
                  <w14:solidFill>
                    <w14:schemeClr w14:val="tx1"/>
                  </w14:solidFill>
                </w14:textFill>
              </w:rPr>
              <w:t>第二十九条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《中华人民共和国人口与计划生育法》第六条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《中华人民共和国母婴保健法实施办法》第三十四条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《计划生育技术服务管理条例》（2004年12月修订）第三十一条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《计划生育技术服务管理条例实施细则》第四十条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《产前诊断技术管理办法》第七条第四款</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《禁止非医学需要的胎儿性别鉴定和选择性别人工终止妊娠的规定》第五条</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《云南省母婴保健条例》第二十三条第四项</w:t>
            </w:r>
            <w:r>
              <w:rPr>
                <w:rFonts w:ascii="Calibri" w:hAnsi="Calibri"/>
                <w:color w:val="000000" w:themeColor="text1"/>
                <w:sz w:val="20"/>
                <w:szCs w:val="20"/>
                <w14:textFill>
                  <w14:solidFill>
                    <w14:schemeClr w14:val="tx1"/>
                  </w14:solidFill>
                </w14:textFill>
              </w:rPr>
              <w:br w:type="textWrapping"/>
            </w:r>
            <w:r>
              <w:rPr>
                <w:rFonts w:ascii="Calibri" w:hAnsi="Calibri"/>
                <w:color w:val="000000" w:themeColor="text1"/>
                <w:sz w:val="20"/>
                <w:szCs w:val="20"/>
                <w14:textFill>
                  <w14:solidFill>
                    <w14:schemeClr w14:val="tx1"/>
                  </w14:solidFill>
                </w14:textFill>
              </w:rPr>
              <w:t>《云南省人口与计划生育条例》（2018年12月第二次修正）第四条第二款</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r>
        <w:tblPrEx>
          <w:tblCellMar>
            <w:top w:w="0" w:type="dxa"/>
            <w:left w:w="108" w:type="dxa"/>
            <w:bottom w:w="0" w:type="dxa"/>
            <w:right w:w="108" w:type="dxa"/>
          </w:tblCellMar>
        </w:tblPrEx>
        <w:trPr>
          <w:trHeight w:val="215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numPr>
                <w:ilvl w:val="0"/>
                <w:numId w:val="1"/>
              </w:numPr>
              <w:jc w:val="center"/>
              <w:rPr>
                <w:rFonts w:cs="宋体" w:asciiTheme="minorEastAsia" w:hAnsiTheme="minorEastAsia"/>
                <w:color w:val="000000" w:themeColor="text1"/>
                <w:sz w:val="20"/>
                <w:szCs w:val="20"/>
                <w14:textFill>
                  <w14:solidFill>
                    <w14:schemeClr w14:val="tx1"/>
                  </w14:solidFill>
                </w14:textFill>
              </w:rPr>
            </w:pPr>
          </w:p>
        </w:tc>
        <w:tc>
          <w:tcPr>
            <w:tcW w:w="77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r>
              <w:rPr>
                <w:rFonts w:hint="eastAsia" w:cs="宋体" w:asciiTheme="minorEastAsia" w:hAnsiTheme="minorEastAsia"/>
                <w:color w:val="000000" w:themeColor="text1"/>
                <w:kern w:val="0"/>
                <w:sz w:val="20"/>
                <w:szCs w:val="20"/>
                <w14:textFill>
                  <w14:solidFill>
                    <w14:schemeClr w14:val="tx1"/>
                  </w14:solidFill>
                </w14:textFill>
              </w:rPr>
              <w:t>官渡区卫生健康局（11类11项</w:t>
            </w:r>
          </w:p>
        </w:tc>
        <w:tc>
          <w:tcPr>
            <w:tcW w:w="1450"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对职业卫生的监督检查</w:t>
            </w:r>
          </w:p>
        </w:tc>
        <w:tc>
          <w:tcPr>
            <w:tcW w:w="1884"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涉及职业病危害的用人单位及职业卫生技术服务机构是否按照《中华人民共和国职业病防治法》要求，开展职业病防治工作。</w:t>
            </w:r>
          </w:p>
        </w:tc>
        <w:tc>
          <w:tcPr>
            <w:tcW w:w="7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一般检查事项</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用人单位</w:t>
            </w:r>
          </w:p>
        </w:tc>
        <w:tc>
          <w:tcPr>
            <w:tcW w:w="1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现场检查</w:t>
            </w:r>
          </w:p>
        </w:tc>
        <w:tc>
          <w:tcPr>
            <w:tcW w:w="115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br w:type="textWrapping"/>
            </w:r>
            <w:r>
              <w:rPr>
                <w:rFonts w:hint="eastAsia"/>
                <w:color w:val="000000" w:themeColor="text1"/>
                <w:sz w:val="20"/>
                <w:szCs w:val="20"/>
                <w14:textFill>
                  <w14:solidFill>
                    <w14:schemeClr w14:val="tx1"/>
                  </w14:solidFill>
                </w14:textFill>
              </w:rPr>
              <w:t>官渡区卫生健康局</w:t>
            </w:r>
          </w:p>
        </w:tc>
        <w:tc>
          <w:tcPr>
            <w:tcW w:w="3986" w:type="dxa"/>
            <w:tcBorders>
              <w:top w:val="single" w:color="auto" w:sz="4" w:space="0"/>
              <w:left w:val="nil"/>
              <w:bottom w:val="single" w:color="auto" w:sz="4" w:space="0"/>
              <w:right w:val="single" w:color="auto" w:sz="4" w:space="0"/>
            </w:tcBorders>
            <w:shd w:val="clear" w:color="auto" w:fill="auto"/>
            <w:vAlign w:val="center"/>
          </w:tcPr>
          <w:p>
            <w:pPr>
              <w:jc w:val="center"/>
              <w:rPr>
                <w:rFonts w:ascii="Calibri" w:hAnsi="Calibri" w:eastAsia="宋体" w:cs="宋体"/>
                <w:color w:val="000000" w:themeColor="text1"/>
                <w:sz w:val="20"/>
                <w:szCs w:val="20"/>
                <w14:textFill>
                  <w14:solidFill>
                    <w14:schemeClr w14:val="tx1"/>
                  </w14:solidFill>
                </w14:textFill>
              </w:rPr>
            </w:pPr>
            <w:r>
              <w:rPr>
                <w:rFonts w:ascii="Calibri" w:hAnsi="Calibri"/>
                <w:color w:val="000000" w:themeColor="text1"/>
                <w:sz w:val="20"/>
                <w:szCs w:val="20"/>
                <w14:textFill>
                  <w14:solidFill>
                    <w14:schemeClr w14:val="tx1"/>
                  </w14:solidFill>
                </w14:textFill>
              </w:rPr>
              <w:t>《中华人民共和国职业病防治法（2018年修订）》第九条第三款、第四十二条、第六十二条</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全区</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cs="宋体" w:asciiTheme="minorEastAsia" w:hAnsiTheme="minorEastAsia"/>
                <w:color w:val="000000" w:themeColor="text1"/>
                <w:kern w:val="0"/>
                <w:sz w:val="20"/>
                <w:szCs w:val="20"/>
                <w14:textFill>
                  <w14:solidFill>
                    <w14:schemeClr w14:val="tx1"/>
                  </w14:solidFill>
                </w14:textFill>
              </w:rPr>
            </w:pPr>
          </w:p>
        </w:tc>
      </w:tr>
    </w:tbl>
    <w:p>
      <w:pPr>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F3ABB"/>
    <w:multiLevelType w:val="singleLevel"/>
    <w:tmpl w:val="60BF3ABB"/>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Tc5NDc4NDUxMTc0YzljM2FkNzNkNjQyOGQ0Y2EifQ=="/>
  </w:docVars>
  <w:rsids>
    <w:rsidRoot w:val="7DC74E1D"/>
    <w:rsid w:val="00030F69"/>
    <w:rsid w:val="00034EDC"/>
    <w:rsid w:val="00057CAC"/>
    <w:rsid w:val="00072188"/>
    <w:rsid w:val="00174163"/>
    <w:rsid w:val="002500EC"/>
    <w:rsid w:val="00250286"/>
    <w:rsid w:val="00287575"/>
    <w:rsid w:val="002F051E"/>
    <w:rsid w:val="0030741F"/>
    <w:rsid w:val="00346E43"/>
    <w:rsid w:val="0037387A"/>
    <w:rsid w:val="00381BE9"/>
    <w:rsid w:val="003D725C"/>
    <w:rsid w:val="003E6E03"/>
    <w:rsid w:val="003E73C3"/>
    <w:rsid w:val="003F002B"/>
    <w:rsid w:val="00412D5E"/>
    <w:rsid w:val="0045089D"/>
    <w:rsid w:val="00510C6F"/>
    <w:rsid w:val="00521798"/>
    <w:rsid w:val="00557874"/>
    <w:rsid w:val="0056062C"/>
    <w:rsid w:val="00583535"/>
    <w:rsid w:val="005B7619"/>
    <w:rsid w:val="00677A9D"/>
    <w:rsid w:val="00772011"/>
    <w:rsid w:val="007751DF"/>
    <w:rsid w:val="007D24C2"/>
    <w:rsid w:val="007E2406"/>
    <w:rsid w:val="008973FB"/>
    <w:rsid w:val="009257B0"/>
    <w:rsid w:val="00966E80"/>
    <w:rsid w:val="00983065"/>
    <w:rsid w:val="00993D5F"/>
    <w:rsid w:val="00996C80"/>
    <w:rsid w:val="00A95BF6"/>
    <w:rsid w:val="00B36FA4"/>
    <w:rsid w:val="00B8083A"/>
    <w:rsid w:val="00B930A2"/>
    <w:rsid w:val="00BF41EF"/>
    <w:rsid w:val="00C11547"/>
    <w:rsid w:val="00C20388"/>
    <w:rsid w:val="00C267B5"/>
    <w:rsid w:val="00D02672"/>
    <w:rsid w:val="00DB5037"/>
    <w:rsid w:val="00DE78B2"/>
    <w:rsid w:val="00DF73A1"/>
    <w:rsid w:val="00E5157C"/>
    <w:rsid w:val="00E635D9"/>
    <w:rsid w:val="00E7578D"/>
    <w:rsid w:val="00E80771"/>
    <w:rsid w:val="00F36786"/>
    <w:rsid w:val="00F75F15"/>
    <w:rsid w:val="00FA4C0A"/>
    <w:rsid w:val="06F72626"/>
    <w:rsid w:val="072A5185"/>
    <w:rsid w:val="087C359F"/>
    <w:rsid w:val="08CF4D2C"/>
    <w:rsid w:val="091E7FE8"/>
    <w:rsid w:val="097E282F"/>
    <w:rsid w:val="0CE57CAE"/>
    <w:rsid w:val="0D1F7B15"/>
    <w:rsid w:val="0DAC3EBF"/>
    <w:rsid w:val="10B553BA"/>
    <w:rsid w:val="12512503"/>
    <w:rsid w:val="13A22B01"/>
    <w:rsid w:val="15072958"/>
    <w:rsid w:val="1C5203C6"/>
    <w:rsid w:val="1C726B5E"/>
    <w:rsid w:val="1EE27BB0"/>
    <w:rsid w:val="1FE5662E"/>
    <w:rsid w:val="204A438F"/>
    <w:rsid w:val="20514806"/>
    <w:rsid w:val="2A1735F2"/>
    <w:rsid w:val="32C7424B"/>
    <w:rsid w:val="342220D9"/>
    <w:rsid w:val="350A68EF"/>
    <w:rsid w:val="367A550F"/>
    <w:rsid w:val="36BB3F3F"/>
    <w:rsid w:val="36BB6DFB"/>
    <w:rsid w:val="38B706F6"/>
    <w:rsid w:val="39A17860"/>
    <w:rsid w:val="3A0B26A0"/>
    <w:rsid w:val="3A6F49C1"/>
    <w:rsid w:val="3B7128E6"/>
    <w:rsid w:val="40CC5087"/>
    <w:rsid w:val="465D1987"/>
    <w:rsid w:val="49A921CC"/>
    <w:rsid w:val="49C97CA8"/>
    <w:rsid w:val="4C232830"/>
    <w:rsid w:val="4FDE4211"/>
    <w:rsid w:val="503373B0"/>
    <w:rsid w:val="51BD4229"/>
    <w:rsid w:val="53EA24C8"/>
    <w:rsid w:val="54E14EA8"/>
    <w:rsid w:val="596C243F"/>
    <w:rsid w:val="5BBF7814"/>
    <w:rsid w:val="5C111F3E"/>
    <w:rsid w:val="5C3939BA"/>
    <w:rsid w:val="5CC82DBD"/>
    <w:rsid w:val="60560BE9"/>
    <w:rsid w:val="60C57968"/>
    <w:rsid w:val="63065889"/>
    <w:rsid w:val="632B3D56"/>
    <w:rsid w:val="667C32DD"/>
    <w:rsid w:val="6A374F7E"/>
    <w:rsid w:val="6AC22CA6"/>
    <w:rsid w:val="6C9B4444"/>
    <w:rsid w:val="6E4F04BB"/>
    <w:rsid w:val="712311CE"/>
    <w:rsid w:val="745A72EC"/>
    <w:rsid w:val="74753989"/>
    <w:rsid w:val="7515721C"/>
    <w:rsid w:val="75FC7ED6"/>
    <w:rsid w:val="77F15D67"/>
    <w:rsid w:val="7A503585"/>
    <w:rsid w:val="7DC74E1D"/>
    <w:rsid w:val="7DF2015A"/>
    <w:rsid w:val="7E7E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方正仿宋_GBK" w:hAnsi="方正仿宋_GBK" w:eastAsia="方正仿宋_GBK" w:cs="方正仿宋_GBK"/>
      <w:kern w:val="0"/>
      <w:sz w:val="32"/>
      <w:szCs w:val="32"/>
      <w:lang w:val="zh-CN" w:bidi="zh-CN"/>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41"/>
    <w:basedOn w:val="6"/>
    <w:qFormat/>
    <w:uiPriority w:val="0"/>
    <w:rPr>
      <w:rFonts w:hint="eastAsia" w:ascii="宋体" w:hAnsi="宋体" w:eastAsia="宋体" w:cs="宋体"/>
      <w:color w:val="000000"/>
      <w:sz w:val="20"/>
      <w:szCs w:val="20"/>
      <w:u w:val="none"/>
    </w:rPr>
  </w:style>
  <w:style w:type="character" w:customStyle="1" w:styleId="8">
    <w:name w:val="font91"/>
    <w:basedOn w:val="6"/>
    <w:qFormat/>
    <w:uiPriority w:val="0"/>
    <w:rPr>
      <w:rFonts w:hint="eastAsia" w:ascii="宋体" w:hAnsi="宋体" w:eastAsia="宋体" w:cs="宋体"/>
      <w:color w:val="000000"/>
      <w:sz w:val="20"/>
      <w:szCs w:val="20"/>
      <w:u w:val="none"/>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11</Pages>
  <Words>3813</Words>
  <Characters>3969</Characters>
  <Lines>30</Lines>
  <Paragraphs>8</Paragraphs>
  <TotalTime>3</TotalTime>
  <ScaleCrop>false</ScaleCrop>
  <LinksUpToDate>false</LinksUpToDate>
  <CharactersWithSpaces>3979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2021-07-22T03:42:00Z</dcterms:created>
  <dc:creator>NTKO</dc:creator>
  <cp:lastModifiedBy>学而知之</cp:lastModifiedBy>
  <dcterms:modified xsi:type="dcterms:W3CDTF">2024-06-14T09:37:04Z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8AD86E40FAC44582B0571A93F15CCA61_13</vt:lpwstr>
  </property>
</Properties>
</file>