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left" w:pos="916"/>
          <w:tab w:val="left" w:pos="1832"/>
          <w:tab w:val="left" w:pos="2748"/>
          <w:tab w:val="left" w:pos="3664"/>
          <w:tab w:val="left" w:pos="4580"/>
          <w:tab w:val="left" w:pos="5496"/>
          <w:tab w:val="left" w:pos="6412"/>
          <w:tab w:val="left" w:pos="7328"/>
          <w:tab w:val="left" w:pos="7980"/>
          <w:tab w:val="left" w:pos="8244"/>
          <w:tab w:val="left" w:pos="9160"/>
          <w:tab w:val="left" w:pos="10076"/>
          <w:tab w:val="left" w:pos="10992"/>
          <w:tab w:val="left" w:pos="11908"/>
          <w:tab w:val="left" w:pos="12824"/>
          <w:tab w:val="left" w:pos="13740"/>
          <w:tab w:val="left" w:pos="14656"/>
        </w:tabs>
        <w:jc w:val="center"/>
        <w:rPr>
          <w:rFonts w:ascii="宋体" w:hAnsi="宋体" w:eastAsia="宋体" w:cs="宋体"/>
          <w:kern w:val="0"/>
          <w:sz w:val="24"/>
          <w:szCs w:val="24"/>
        </w:rPr>
      </w:pPr>
      <w:bookmarkStart w:id="2" w:name="_GoBack"/>
      <w:r>
        <w:rPr>
          <w:rFonts w:hint="eastAsia" w:ascii="方正小标宋简体" w:hAnsi="宋体" w:eastAsia="方正小标宋简体" w:cs="宋体"/>
          <w:color w:val="000000"/>
          <w:kern w:val="0"/>
          <w:sz w:val="44"/>
          <w:szCs w:val="44"/>
        </w:rPr>
        <w:t>官渡区烟草专卖局烟草制品零售点</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hint="eastAsia" w:ascii="方正小标宋简体" w:hAnsi="宋体" w:eastAsia="方正小标宋简体" w:cs="宋体"/>
          <w:color w:val="000000"/>
          <w:kern w:val="0"/>
          <w:sz w:val="44"/>
          <w:szCs w:val="44"/>
        </w:rPr>
      </w:pPr>
      <w:r>
        <w:rPr>
          <w:rFonts w:hint="eastAsia" w:ascii="方正小标宋简体" w:hAnsi="宋体" w:eastAsia="方正小标宋简体" w:cs="宋体"/>
          <w:color w:val="000000"/>
          <w:kern w:val="0"/>
          <w:sz w:val="44"/>
          <w:szCs w:val="44"/>
        </w:rPr>
        <w:t>合理布局规划</w:t>
      </w:r>
    </w:p>
    <w:p>
      <w:pPr>
        <w:pStyle w:val="19"/>
        <w:jc w:val="center"/>
        <w:rPr>
          <w:rFonts w:hint="eastAsia" w:ascii="楷体_GB2312" w:hAnsi="楷体_GB2312" w:eastAsia="楷体_GB2312" w:cs="楷体_GB2312"/>
          <w:sz w:val="32"/>
          <w:szCs w:val="32"/>
          <w:lang w:eastAsia="zh-CN"/>
        </w:rPr>
      </w:pPr>
      <w:r>
        <w:rPr>
          <w:rFonts w:hint="eastAsia" w:ascii="楷体_GB2312" w:hAnsi="楷体_GB2312" w:eastAsia="楷体_GB2312" w:cs="楷体_GB2312"/>
          <w:color w:val="000000"/>
          <w:kern w:val="0"/>
          <w:sz w:val="32"/>
          <w:szCs w:val="32"/>
          <w:lang w:eastAsia="zh-CN"/>
        </w:rPr>
        <w:t>（</w:t>
      </w:r>
      <w:r>
        <w:rPr>
          <w:rFonts w:hint="eastAsia" w:ascii="楷体_GB2312" w:hAnsi="楷体_GB2312" w:eastAsia="楷体_GB2312" w:cs="楷体_GB2312"/>
          <w:color w:val="000000"/>
          <w:kern w:val="0"/>
          <w:sz w:val="32"/>
          <w:szCs w:val="32"/>
          <w:lang w:val="en-US" w:eastAsia="zh-CN"/>
        </w:rPr>
        <w:t>征求意见稿</w:t>
      </w:r>
      <w:r>
        <w:rPr>
          <w:rFonts w:hint="eastAsia" w:ascii="楷体_GB2312" w:hAnsi="楷体_GB2312" w:eastAsia="楷体_GB2312" w:cs="楷体_GB2312"/>
          <w:color w:val="000000"/>
          <w:kern w:val="0"/>
          <w:sz w:val="32"/>
          <w:szCs w:val="32"/>
          <w:lang w:eastAsia="zh-CN"/>
        </w:rPr>
        <w:t>）</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157" w:beforeLines="50" w:after="157" w:afterLines="50" w:line="336" w:lineRule="auto"/>
        <w:jc w:val="center"/>
        <w:textAlignment w:val="auto"/>
        <w:rPr>
          <w:rFonts w:hint="eastAsia" w:ascii="黑体" w:hAnsi="黑体" w:eastAsia="黑体" w:cs="宋体"/>
          <w:color w:val="000000"/>
          <w:kern w:val="0"/>
          <w:sz w:val="32"/>
          <w:szCs w:val="32"/>
        </w:rPr>
      </w:pPr>
      <w:r>
        <w:rPr>
          <w:rFonts w:hint="eastAsia" w:ascii="黑体" w:hAnsi="黑体" w:eastAsia="黑体" w:cs="宋体"/>
          <w:color w:val="000000"/>
          <w:kern w:val="0"/>
          <w:sz w:val="32"/>
          <w:szCs w:val="32"/>
        </w:rPr>
        <w:t>第一章 总则</w:t>
      </w:r>
    </w:p>
    <w:p>
      <w:pPr>
        <w:keepNext w:val="0"/>
        <w:keepLines w:val="0"/>
        <w:pageBreakBefore w:val="0"/>
        <w:widowControl w:val="0"/>
        <w:kinsoku/>
        <w:wordWrap/>
        <w:overflowPunct/>
        <w:topLinePunct w:val="0"/>
        <w:autoSpaceDE/>
        <w:autoSpaceDN/>
        <w:bidi w:val="0"/>
        <w:adjustRightInd w:val="0"/>
        <w:snapToGrid w:val="0"/>
        <w:spacing w:line="336" w:lineRule="auto"/>
        <w:ind w:firstLine="640" w:firstLineChars="200"/>
        <w:textAlignment w:val="baseline"/>
        <w:rPr>
          <w:rFonts w:eastAsia="仿宋_GB2312"/>
          <w:sz w:val="32"/>
          <w:szCs w:val="32"/>
        </w:rPr>
      </w:pPr>
      <w:r>
        <w:rPr>
          <w:rFonts w:hint="eastAsia" w:ascii="黑体" w:hAnsi="黑体" w:eastAsia="黑体"/>
          <w:sz w:val="32"/>
          <w:szCs w:val="32"/>
        </w:rPr>
        <w:t>第一条</w:t>
      </w:r>
      <w:r>
        <w:rPr>
          <w:rFonts w:hint="eastAsia" w:ascii="仿宋_GB2312" w:eastAsia="仿宋_GB2312"/>
          <w:sz w:val="32"/>
          <w:szCs w:val="32"/>
        </w:rPr>
        <w:t xml:space="preserve"> </w:t>
      </w:r>
      <w:r>
        <w:rPr>
          <w:rFonts w:ascii="仿宋_GB2312" w:eastAsia="仿宋_GB2312"/>
          <w:sz w:val="32"/>
          <w:szCs w:val="32"/>
        </w:rPr>
        <w:t>为深入推进</w:t>
      </w:r>
      <w:r>
        <w:rPr>
          <w:rFonts w:hint="eastAsia" w:ascii="仿宋_GB2312" w:eastAsia="仿宋_GB2312"/>
          <w:sz w:val="32"/>
          <w:szCs w:val="32"/>
        </w:rPr>
        <w:t>“放管服”</w:t>
      </w:r>
      <w:r>
        <w:rPr>
          <w:rFonts w:ascii="仿宋_GB2312" w:eastAsia="仿宋_GB2312"/>
          <w:sz w:val="32"/>
          <w:szCs w:val="32"/>
        </w:rPr>
        <w:t>改革，依法依规、科学合理制定烟草制品零售点合理布局规划，提升烟草专卖行政许可的公开性、公平性和公正性，依据《中华人民共和国行政许可法》</w:t>
      </w:r>
      <w:r>
        <w:rPr>
          <w:rFonts w:ascii="仿宋_GB2312" w:eastAsia="仿宋_GB2312"/>
          <w:bCs/>
          <w:sz w:val="32"/>
          <w:szCs w:val="32"/>
        </w:rPr>
        <w:t>《中华人民共和国未成年人保护法》《中华人民共和国烟草专卖法》</w:t>
      </w:r>
      <w:r>
        <w:rPr>
          <w:rFonts w:ascii="仿宋_GB2312" w:eastAsia="仿宋_GB2312"/>
          <w:sz w:val="32"/>
          <w:szCs w:val="32"/>
        </w:rPr>
        <w:t>《中华人民共和国烟草专卖法实施条例》《烟草专卖许可证管理办法》《烟草专卖许可证管理办法实施细则》等法律</w:t>
      </w:r>
      <w:r>
        <w:rPr>
          <w:rFonts w:hint="eastAsia" w:ascii="仿宋_GB2312" w:eastAsia="仿宋_GB2312"/>
          <w:sz w:val="32"/>
          <w:szCs w:val="32"/>
        </w:rPr>
        <w:t>、</w:t>
      </w:r>
      <w:r>
        <w:rPr>
          <w:rFonts w:ascii="仿宋_GB2312" w:eastAsia="仿宋_GB2312"/>
          <w:sz w:val="32"/>
          <w:szCs w:val="32"/>
        </w:rPr>
        <w:t>法规</w:t>
      </w:r>
      <w:r>
        <w:rPr>
          <w:rFonts w:hint="eastAsia" w:ascii="仿宋_GB2312" w:eastAsia="仿宋_GB2312"/>
          <w:sz w:val="32"/>
          <w:szCs w:val="32"/>
        </w:rPr>
        <w:t>、</w:t>
      </w:r>
      <w:r>
        <w:rPr>
          <w:rFonts w:ascii="仿宋_GB2312" w:eastAsia="仿宋_GB2312"/>
          <w:sz w:val="32"/>
          <w:szCs w:val="32"/>
        </w:rPr>
        <w:t>规章</w:t>
      </w:r>
      <w:r>
        <w:rPr>
          <w:rFonts w:hint="eastAsia" w:ascii="仿宋_GB2312" w:eastAsia="仿宋_GB2312"/>
          <w:sz w:val="32"/>
          <w:szCs w:val="32"/>
        </w:rPr>
        <w:t>和国家烟草专卖局</w:t>
      </w:r>
      <w:r>
        <w:rPr>
          <w:rFonts w:ascii="仿宋_GB2312" w:eastAsia="仿宋_GB2312"/>
          <w:sz w:val="32"/>
          <w:szCs w:val="32"/>
        </w:rPr>
        <w:t>的</w:t>
      </w:r>
      <w:r>
        <w:rPr>
          <w:rFonts w:hint="eastAsia" w:ascii="仿宋_GB2312" w:eastAsia="仿宋_GB2312"/>
          <w:sz w:val="32"/>
          <w:szCs w:val="32"/>
        </w:rPr>
        <w:t>有关</w:t>
      </w:r>
      <w:r>
        <w:rPr>
          <w:rFonts w:ascii="仿宋_GB2312" w:eastAsia="仿宋_GB2312"/>
          <w:sz w:val="32"/>
          <w:szCs w:val="32"/>
        </w:rPr>
        <w:t>规定，结合</w:t>
      </w:r>
      <w:r>
        <w:rPr>
          <w:rFonts w:hint="eastAsia" w:eastAsia="仿宋_GB2312"/>
          <w:sz w:val="32"/>
          <w:szCs w:val="32"/>
        </w:rPr>
        <w:t>官渡区</w:t>
      </w:r>
      <w:r>
        <w:rPr>
          <w:rFonts w:ascii="仿宋_GB2312" w:eastAsia="仿宋_GB2312"/>
          <w:sz w:val="32"/>
          <w:szCs w:val="32"/>
        </w:rPr>
        <w:t>实际，制定本规划。</w:t>
      </w:r>
    </w:p>
    <w:p>
      <w:pPr>
        <w:keepNext w:val="0"/>
        <w:keepLines w:val="0"/>
        <w:pageBreakBefore w:val="0"/>
        <w:widowControl w:val="0"/>
        <w:kinsoku/>
        <w:wordWrap/>
        <w:overflowPunct/>
        <w:topLinePunct w:val="0"/>
        <w:autoSpaceDE/>
        <w:autoSpaceDN/>
        <w:bidi w:val="0"/>
        <w:adjustRightInd w:val="0"/>
        <w:snapToGrid w:val="0"/>
        <w:spacing w:line="336" w:lineRule="auto"/>
        <w:ind w:firstLine="640" w:firstLineChars="200"/>
        <w:textAlignment w:val="baseline"/>
        <w:rPr>
          <w:rFonts w:eastAsia="仿宋_GB2312"/>
          <w:sz w:val="32"/>
          <w:szCs w:val="32"/>
          <w:highlight w:val="none"/>
        </w:rPr>
      </w:pPr>
      <w:r>
        <w:rPr>
          <w:rFonts w:hint="eastAsia" w:ascii="黑体" w:hAnsi="黑体" w:eastAsia="黑体"/>
          <w:sz w:val="32"/>
          <w:szCs w:val="32"/>
          <w:highlight w:val="none"/>
        </w:rPr>
        <w:t>第二条</w:t>
      </w:r>
      <w:r>
        <w:rPr>
          <w:rFonts w:hint="eastAsia" w:ascii="仿宋_GB2312" w:eastAsia="仿宋_GB2312"/>
          <w:sz w:val="32"/>
          <w:szCs w:val="32"/>
          <w:highlight w:val="none"/>
        </w:rPr>
        <w:t xml:space="preserve"> </w:t>
      </w:r>
      <w:r>
        <w:rPr>
          <w:rFonts w:ascii="仿宋_GB2312" w:eastAsia="仿宋_GB2312"/>
          <w:sz w:val="32"/>
          <w:szCs w:val="32"/>
          <w:highlight w:val="none"/>
        </w:rPr>
        <w:t>本规划适用于云南省</w:t>
      </w:r>
      <w:r>
        <w:rPr>
          <w:rFonts w:hint="eastAsia" w:ascii="仿宋_GB2312" w:eastAsia="仿宋_GB2312"/>
          <w:sz w:val="32"/>
          <w:szCs w:val="32"/>
          <w:highlight w:val="none"/>
        </w:rPr>
        <w:t>昆明市官渡区烟草专卖局辖区</w:t>
      </w:r>
      <w:r>
        <w:rPr>
          <w:rFonts w:ascii="仿宋_GB2312" w:eastAsia="仿宋_GB2312"/>
          <w:sz w:val="32"/>
          <w:szCs w:val="32"/>
          <w:highlight w:val="none"/>
        </w:rPr>
        <w:t>范围内烟草制品零售点的布局管理。电子烟零售点布局按照《云南省电子烟零售点布局规划》执行。</w:t>
      </w:r>
    </w:p>
    <w:p>
      <w:pPr>
        <w:keepNext w:val="0"/>
        <w:keepLines w:val="0"/>
        <w:pageBreakBefore w:val="0"/>
        <w:widowControl w:val="0"/>
        <w:kinsoku/>
        <w:wordWrap/>
        <w:overflowPunct/>
        <w:topLinePunct w:val="0"/>
        <w:autoSpaceDE/>
        <w:autoSpaceDN/>
        <w:bidi w:val="0"/>
        <w:adjustRightInd w:val="0"/>
        <w:snapToGrid w:val="0"/>
        <w:spacing w:line="336" w:lineRule="auto"/>
        <w:ind w:firstLine="640" w:firstLineChars="200"/>
        <w:textAlignment w:val="baseline"/>
        <w:rPr>
          <w:rFonts w:eastAsia="仿宋_GB2312"/>
          <w:color w:val="auto"/>
          <w:sz w:val="32"/>
          <w:szCs w:val="32"/>
          <w:highlight w:val="none"/>
        </w:rPr>
      </w:pPr>
      <w:r>
        <w:rPr>
          <w:rFonts w:hint="eastAsia" w:ascii="黑体" w:hAnsi="黑体" w:eastAsia="黑体"/>
          <w:sz w:val="32"/>
          <w:szCs w:val="32"/>
          <w:highlight w:val="none"/>
        </w:rPr>
        <w:t xml:space="preserve">第三条 </w:t>
      </w:r>
      <w:r>
        <w:rPr>
          <w:rFonts w:hint="eastAsia" w:ascii="仿宋_GB2312" w:eastAsia="仿宋_GB2312"/>
          <w:sz w:val="32"/>
          <w:szCs w:val="32"/>
          <w:highlight w:val="none"/>
        </w:rPr>
        <w:t>本规划所称烟草制品为卷烟、雪茄烟</w:t>
      </w:r>
      <w:r>
        <w:rPr>
          <w:rFonts w:hint="eastAsia" w:ascii="仿宋_GB2312" w:eastAsia="仿宋_GB2312"/>
          <w:sz w:val="32"/>
          <w:szCs w:val="32"/>
          <w:highlight w:val="none"/>
          <w:lang w:eastAsia="zh-CN"/>
        </w:rPr>
        <w:t>、</w:t>
      </w:r>
      <w:r>
        <w:rPr>
          <w:rFonts w:hint="eastAsia" w:ascii="仿宋_GB2312" w:eastAsia="仿宋_GB2312"/>
          <w:sz w:val="32"/>
          <w:szCs w:val="32"/>
          <w:highlight w:val="none"/>
          <w:lang w:val="en-US" w:eastAsia="zh-CN"/>
        </w:rPr>
        <w:t>消费类烟丝</w:t>
      </w:r>
      <w:r>
        <w:rPr>
          <w:rFonts w:hint="eastAsia" w:ascii="仿宋_GB2312" w:eastAsia="仿宋_GB2312"/>
          <w:color w:val="auto"/>
          <w:sz w:val="32"/>
          <w:szCs w:val="32"/>
          <w:highlight w:val="none"/>
        </w:rPr>
        <w:t>，不包含其他烟草制品（含电子烟）。</w:t>
      </w:r>
    </w:p>
    <w:p>
      <w:pPr>
        <w:keepNext w:val="0"/>
        <w:keepLines w:val="0"/>
        <w:pageBreakBefore w:val="0"/>
        <w:widowControl w:val="0"/>
        <w:kinsoku/>
        <w:wordWrap/>
        <w:overflowPunct/>
        <w:topLinePunct w:val="0"/>
        <w:autoSpaceDE/>
        <w:autoSpaceDN/>
        <w:bidi w:val="0"/>
        <w:adjustRightInd w:val="0"/>
        <w:snapToGrid w:val="0"/>
        <w:spacing w:line="336" w:lineRule="auto"/>
        <w:ind w:firstLine="640" w:firstLineChars="200"/>
        <w:textAlignment w:val="baseline"/>
        <w:rPr>
          <w:rFonts w:eastAsia="仿宋_GB2312"/>
          <w:sz w:val="32"/>
          <w:szCs w:val="32"/>
        </w:rPr>
      </w:pPr>
      <w:r>
        <w:rPr>
          <w:rFonts w:hint="eastAsia" w:ascii="黑体" w:hAnsi="黑体" w:eastAsia="黑体"/>
          <w:sz w:val="32"/>
          <w:szCs w:val="32"/>
        </w:rPr>
        <w:t>第四条</w:t>
      </w:r>
      <w:r>
        <w:rPr>
          <w:rFonts w:hint="eastAsia" w:eastAsia="仿宋_GB2312"/>
          <w:sz w:val="32"/>
          <w:szCs w:val="32"/>
        </w:rPr>
        <w:t xml:space="preserve"> </w:t>
      </w:r>
      <w:r>
        <w:rPr>
          <w:rFonts w:ascii="仿宋_GB2312" w:eastAsia="仿宋_GB2312"/>
          <w:sz w:val="32"/>
          <w:szCs w:val="32"/>
        </w:rPr>
        <w:t>本规划所称烟草制品零售点（以下简称零售点）是指依法取得烟草专卖零售许可证（以下简称零售许可证）的公民、法人和其他组织从事烟草制品零售业务的经营场所。</w:t>
      </w:r>
      <w:r>
        <w:rPr>
          <w:rFonts w:hint="eastAsia" w:eastAsia="仿宋_GB2312"/>
          <w:sz w:val="32"/>
          <w:szCs w:val="32"/>
        </w:rPr>
        <w:t xml:space="preserve"> </w:t>
      </w:r>
    </w:p>
    <w:p>
      <w:pPr>
        <w:keepNext w:val="0"/>
        <w:keepLines w:val="0"/>
        <w:pageBreakBefore w:val="0"/>
        <w:widowControl w:val="0"/>
        <w:kinsoku/>
        <w:wordWrap/>
        <w:overflowPunct/>
        <w:topLinePunct w:val="0"/>
        <w:autoSpaceDE/>
        <w:autoSpaceDN/>
        <w:bidi w:val="0"/>
        <w:adjustRightInd w:val="0"/>
        <w:snapToGrid w:val="0"/>
        <w:spacing w:line="336" w:lineRule="auto"/>
        <w:ind w:firstLine="640" w:firstLineChars="200"/>
        <w:rPr>
          <w:rFonts w:eastAsia="仿宋_GB2312"/>
          <w:bCs/>
          <w:sz w:val="32"/>
          <w:szCs w:val="32"/>
          <w:highlight w:val="none"/>
        </w:rPr>
      </w:pPr>
      <w:r>
        <w:rPr>
          <w:rFonts w:ascii="仿宋_GB2312" w:eastAsia="仿宋_GB2312"/>
          <w:bCs/>
          <w:sz w:val="32"/>
          <w:szCs w:val="32"/>
          <w:highlight w:val="none"/>
        </w:rPr>
        <w:t>零售点应当设置于与住所相独立的固定经营场所，经营场所与住所应当</w:t>
      </w:r>
      <w:r>
        <w:rPr>
          <w:rFonts w:ascii="仿宋_GB2312" w:eastAsia="仿宋_GB2312"/>
          <w:sz w:val="32"/>
          <w:szCs w:val="32"/>
          <w:highlight w:val="none"/>
        </w:rPr>
        <w:t>在空间上相互独立，在物理特性上应有实体墙相隔离或有明确的区域界线。经营场所</w:t>
      </w:r>
      <w:r>
        <w:rPr>
          <w:rFonts w:hint="eastAsia" w:ascii="仿宋_GB2312" w:eastAsia="仿宋_GB2312"/>
          <w:sz w:val="32"/>
          <w:szCs w:val="32"/>
          <w:highlight w:val="none"/>
        </w:rPr>
        <w:t>应有指向明确并唯一的门牌、地址或者方位表述，</w:t>
      </w:r>
      <w:r>
        <w:rPr>
          <w:rFonts w:hint="eastAsia" w:ascii="仿宋_GB2312" w:eastAsia="仿宋_GB2312"/>
          <w:bCs/>
          <w:sz w:val="32"/>
          <w:szCs w:val="32"/>
          <w:highlight w:val="none"/>
        </w:rPr>
        <w:t>且</w:t>
      </w:r>
      <w:r>
        <w:rPr>
          <w:rFonts w:ascii="仿宋_GB2312" w:eastAsia="仿宋_GB2312"/>
          <w:bCs/>
          <w:sz w:val="32"/>
          <w:szCs w:val="32"/>
          <w:highlight w:val="none"/>
        </w:rPr>
        <w:t>与营业执照登记注册的经营场所一致</w:t>
      </w:r>
      <w:r>
        <w:rPr>
          <w:rFonts w:hint="eastAsia" w:ascii="仿宋_GB2312" w:eastAsia="仿宋_GB2312"/>
          <w:bCs/>
          <w:sz w:val="32"/>
          <w:szCs w:val="32"/>
          <w:highlight w:val="none"/>
        </w:rPr>
        <w:t>，并</w:t>
      </w:r>
      <w:r>
        <w:rPr>
          <w:rFonts w:ascii="仿宋_GB2312" w:eastAsia="仿宋_GB2312"/>
          <w:bCs/>
          <w:sz w:val="32"/>
          <w:szCs w:val="32"/>
          <w:highlight w:val="none"/>
        </w:rPr>
        <w:t>面向公众经营。</w:t>
      </w:r>
    </w:p>
    <w:p>
      <w:pPr>
        <w:keepNext w:val="0"/>
        <w:keepLines w:val="0"/>
        <w:pageBreakBefore w:val="0"/>
        <w:widowControl w:val="0"/>
        <w:kinsoku/>
        <w:wordWrap/>
        <w:overflowPunct/>
        <w:topLinePunct w:val="0"/>
        <w:autoSpaceDE/>
        <w:autoSpaceDN/>
        <w:bidi w:val="0"/>
        <w:adjustRightInd w:val="0"/>
        <w:snapToGrid w:val="0"/>
        <w:spacing w:line="336" w:lineRule="auto"/>
        <w:ind w:firstLine="640" w:firstLineChars="200"/>
        <w:rPr>
          <w:rFonts w:hint="eastAsia" w:ascii="仿宋_GB2312" w:eastAsia="仿宋_GB2312"/>
          <w:sz w:val="32"/>
          <w:szCs w:val="32"/>
          <w:highlight w:val="none"/>
        </w:rPr>
      </w:pPr>
      <w:r>
        <w:rPr>
          <w:rFonts w:hint="eastAsia" w:ascii="黑体" w:hAnsi="黑体" w:eastAsia="黑体"/>
          <w:sz w:val="32"/>
          <w:szCs w:val="32"/>
          <w:highlight w:val="none"/>
        </w:rPr>
        <w:t>第五条</w:t>
      </w:r>
      <w:r>
        <w:rPr>
          <w:rFonts w:hint="eastAsia" w:ascii="仿宋_GB2312" w:eastAsia="仿宋_GB2312"/>
          <w:sz w:val="32"/>
          <w:szCs w:val="32"/>
          <w:highlight w:val="none"/>
        </w:rPr>
        <w:t xml:space="preserve"> 本规划遵循依法行政、科学规划、服务社会、均衡发展原则，</w:t>
      </w:r>
      <w:r>
        <w:rPr>
          <w:rFonts w:ascii="仿宋_GB2312" w:eastAsia="仿宋_GB2312"/>
          <w:sz w:val="32"/>
          <w:szCs w:val="32"/>
          <w:highlight w:val="none"/>
        </w:rPr>
        <w:t>对零售点进行科学合理的规划布局</w:t>
      </w:r>
      <w:r>
        <w:rPr>
          <w:rFonts w:hint="eastAsia" w:ascii="仿宋_GB2312" w:eastAsia="仿宋_GB2312"/>
          <w:sz w:val="32"/>
          <w:szCs w:val="32"/>
          <w:highlight w:val="none"/>
        </w:rPr>
        <w:t>，构建竞争适度、规范有序、状态良好的卷烟市场秩序。</w:t>
      </w:r>
    </w:p>
    <w:p>
      <w:pPr>
        <w:keepNext w:val="0"/>
        <w:keepLines w:val="0"/>
        <w:pageBreakBefore w:val="0"/>
        <w:widowControl w:val="0"/>
        <w:kinsoku/>
        <w:wordWrap/>
        <w:overflowPunct/>
        <w:topLinePunct w:val="0"/>
        <w:autoSpaceDE/>
        <w:autoSpaceDN/>
        <w:bidi w:val="0"/>
        <w:adjustRightInd w:val="0"/>
        <w:snapToGrid w:val="0"/>
        <w:spacing w:line="336" w:lineRule="auto"/>
        <w:ind w:firstLine="640" w:firstLineChars="200"/>
        <w:rPr>
          <w:rFonts w:hint="eastAsia" w:ascii="仿宋_GB2312" w:eastAsia="仿宋_GB2312"/>
          <w:color w:val="FF0000"/>
          <w:sz w:val="32"/>
          <w:szCs w:val="32"/>
          <w:highlight w:val="yellow"/>
        </w:rPr>
      </w:pPr>
      <w:r>
        <w:rPr>
          <w:rFonts w:hint="eastAsia" w:ascii="黑体" w:hAnsi="黑体" w:eastAsia="黑体"/>
          <w:sz w:val="32"/>
          <w:szCs w:val="32"/>
        </w:rPr>
        <w:t xml:space="preserve">第六条 </w:t>
      </w:r>
      <w:r>
        <w:rPr>
          <w:rFonts w:hint="eastAsia" w:ascii="仿宋_GB2312" w:eastAsia="仿宋_GB2312"/>
          <w:sz w:val="32"/>
          <w:szCs w:val="32"/>
        </w:rPr>
        <w:t>本规划的零售点布局采取</w:t>
      </w:r>
      <w:r>
        <w:rPr>
          <w:rFonts w:hint="eastAsia" w:ascii="仿宋_GB2312" w:eastAsia="仿宋_GB2312"/>
          <w:sz w:val="32"/>
          <w:szCs w:val="32"/>
          <w:lang w:val="en-US" w:eastAsia="zh-CN"/>
        </w:rPr>
        <w:t>数量限制、距离限制、数量限制与距离限制相结合、</w:t>
      </w:r>
      <w:r>
        <w:rPr>
          <w:rFonts w:ascii="仿宋_GB2312" w:eastAsia="仿宋_GB2312"/>
          <w:sz w:val="32"/>
          <w:szCs w:val="32"/>
        </w:rPr>
        <w:t>不予设置烟草制品零售点</w:t>
      </w:r>
      <w:r>
        <w:rPr>
          <w:rFonts w:hint="eastAsia" w:ascii="仿宋_GB2312" w:eastAsia="仿宋_GB2312"/>
          <w:sz w:val="32"/>
          <w:szCs w:val="32"/>
          <w:lang w:val="en-US" w:eastAsia="zh-CN"/>
        </w:rPr>
        <w:t>等</w:t>
      </w:r>
      <w:r>
        <w:rPr>
          <w:rFonts w:hint="eastAsia" w:ascii="仿宋_GB2312" w:eastAsia="仿宋_GB2312"/>
          <w:sz w:val="32"/>
          <w:szCs w:val="32"/>
        </w:rPr>
        <w:t>布局标准。</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157" w:beforeLines="50" w:after="157" w:afterLines="50" w:line="336" w:lineRule="auto"/>
        <w:jc w:val="center"/>
        <w:textAlignment w:val="auto"/>
        <w:rPr>
          <w:rFonts w:hint="eastAsia" w:ascii="黑体" w:hAnsi="黑体" w:eastAsia="黑体" w:cs="宋体"/>
          <w:color w:val="000000"/>
          <w:kern w:val="0"/>
          <w:sz w:val="32"/>
          <w:szCs w:val="32"/>
        </w:rPr>
      </w:pPr>
      <w:r>
        <w:rPr>
          <w:rFonts w:hint="eastAsia" w:ascii="黑体" w:hAnsi="黑体" w:eastAsia="黑体" w:cs="宋体"/>
          <w:color w:val="000000"/>
          <w:kern w:val="0"/>
          <w:sz w:val="32"/>
          <w:szCs w:val="32"/>
        </w:rPr>
        <w:t xml:space="preserve">第二章 </w:t>
      </w:r>
      <w:r>
        <w:rPr>
          <w:rFonts w:hint="eastAsia" w:ascii="黑体" w:hAnsi="黑体" w:eastAsia="黑体" w:cs="宋体"/>
          <w:color w:val="000000"/>
          <w:kern w:val="0"/>
          <w:sz w:val="32"/>
          <w:szCs w:val="32"/>
          <w:lang w:val="en-US" w:eastAsia="zh-CN"/>
        </w:rPr>
        <w:t xml:space="preserve"> </w:t>
      </w:r>
      <w:r>
        <w:rPr>
          <w:rFonts w:hint="eastAsia" w:ascii="黑体" w:hAnsi="黑体" w:eastAsia="黑体" w:cs="宋体"/>
          <w:color w:val="000000"/>
          <w:kern w:val="0"/>
          <w:sz w:val="32"/>
          <w:szCs w:val="32"/>
        </w:rPr>
        <w:t>零售点布局标准</w:t>
      </w:r>
    </w:p>
    <w:p>
      <w:pPr>
        <w:pStyle w:val="19"/>
        <w:keepNext w:val="0"/>
        <w:keepLines w:val="0"/>
        <w:pageBreakBefore w:val="0"/>
        <w:widowControl w:val="0"/>
        <w:kinsoku/>
        <w:wordWrap/>
        <w:overflowPunct/>
        <w:topLinePunct w:val="0"/>
        <w:autoSpaceDE w:val="0"/>
        <w:autoSpaceDN w:val="0"/>
        <w:bidi w:val="0"/>
        <w:adjustRightInd w:val="0"/>
        <w:snapToGrid/>
        <w:ind w:firstLine="640" w:firstLineChars="200"/>
        <w:jc w:val="both"/>
        <w:textAlignment w:val="auto"/>
        <w:rPr>
          <w:rFonts w:hint="eastAsia" w:ascii="仿宋_GB2312" w:eastAsia="仿宋_GB2312"/>
          <w:sz w:val="32"/>
          <w:szCs w:val="32"/>
          <w:highlight w:val="none"/>
        </w:rPr>
      </w:pPr>
      <w:r>
        <w:rPr>
          <w:rFonts w:hint="eastAsia" w:ascii="黑体" w:hAnsi="黑体" w:eastAsia="黑体"/>
          <w:sz w:val="32"/>
          <w:szCs w:val="32"/>
        </w:rPr>
        <w:t xml:space="preserve">第七条 </w:t>
      </w:r>
      <w:r>
        <w:rPr>
          <w:rFonts w:hint="eastAsia" w:ascii="仿宋_GB2312" w:hAnsi="黑体" w:eastAsia="仿宋_GB2312"/>
          <w:sz w:val="32"/>
          <w:szCs w:val="32"/>
        </w:rPr>
        <w:t>本规划综合</w:t>
      </w:r>
      <w:r>
        <w:rPr>
          <w:rFonts w:hint="eastAsia" w:ascii="仿宋_GB2312" w:eastAsia="仿宋_GB2312"/>
          <w:sz w:val="32"/>
          <w:szCs w:val="32"/>
        </w:rPr>
        <w:t>辖区内的人口数量、交通状况、经济发展水平、消费能力水平、</w:t>
      </w:r>
      <w:r>
        <w:rPr>
          <w:rFonts w:hint="eastAsia" w:ascii="仿宋_GB2312" w:eastAsia="仿宋_GB2312"/>
          <w:sz w:val="32"/>
          <w:szCs w:val="32"/>
          <w:highlight w:val="none"/>
          <w:lang w:val="en-US" w:eastAsia="zh-CN"/>
        </w:rPr>
        <w:t>烟草制品供给</w:t>
      </w:r>
      <w:r>
        <w:rPr>
          <w:rFonts w:hint="eastAsia" w:ascii="仿宋_GB2312" w:eastAsia="仿宋_GB2312"/>
          <w:sz w:val="32"/>
          <w:szCs w:val="32"/>
          <w:highlight w:val="none"/>
        </w:rPr>
        <w:t>、卷烟市场状态等实际因素，合理确定区域零售点规划数</w:t>
      </w:r>
      <w:r>
        <w:rPr>
          <w:rFonts w:hint="eastAsia" w:ascii="仿宋_GB2312" w:eastAsia="仿宋_GB2312"/>
          <w:sz w:val="32"/>
          <w:szCs w:val="32"/>
          <w:highlight w:val="none"/>
          <w:lang w:eastAsia="zh-CN"/>
        </w:rPr>
        <w:t>；</w:t>
      </w:r>
      <w:r>
        <w:rPr>
          <w:rFonts w:hint="eastAsia" w:ascii="仿宋_GB2312" w:eastAsia="仿宋_GB2312"/>
          <w:sz w:val="32"/>
          <w:szCs w:val="32"/>
          <w:highlight w:val="none"/>
          <w:lang w:val="en-US" w:eastAsia="zh-CN"/>
        </w:rPr>
        <w:t>同时结合辖区行政规划、经济发展、人流情况、商圈配置、路段规划等实际，划定最小单元网格。其中，最小</w:t>
      </w:r>
      <w:r>
        <w:rPr>
          <w:rFonts w:hint="eastAsia" w:ascii="仿宋_GB2312" w:eastAsia="仿宋_GB2312"/>
          <w:sz w:val="32"/>
          <w:szCs w:val="32"/>
          <w:highlight w:val="none"/>
          <w:lang w:eastAsia="zh-CN"/>
        </w:rPr>
        <w:t>单元网格零售点规划数是指最小单元网格内可设置零售点的数量。总量规划数是指辖区范围内所有</w:t>
      </w:r>
      <w:r>
        <w:rPr>
          <w:rFonts w:hint="eastAsia" w:ascii="仿宋_GB2312" w:eastAsia="仿宋_GB2312"/>
          <w:sz w:val="32"/>
          <w:szCs w:val="32"/>
          <w:highlight w:val="none"/>
          <w:lang w:val="en-US" w:eastAsia="zh-CN"/>
        </w:rPr>
        <w:t>最小</w:t>
      </w:r>
      <w:r>
        <w:rPr>
          <w:rFonts w:hint="eastAsia" w:ascii="仿宋_GB2312" w:eastAsia="仿宋_GB2312"/>
          <w:sz w:val="32"/>
          <w:szCs w:val="32"/>
          <w:highlight w:val="none"/>
          <w:lang w:eastAsia="zh-CN"/>
        </w:rPr>
        <w:t>单元网格零售点规划数之和。</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336" w:lineRule="auto"/>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除本规划规定的特殊区域外，辖区内零售点总数达到总量规划数时不予新设零售点；最小单元网格内零售点数量达到最小单元网格规划数时，该最小单元网格不予新设零售点。</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336" w:lineRule="auto"/>
        <w:ind w:firstLine="640" w:firstLineChars="200"/>
        <w:rPr>
          <w:rFonts w:hint="eastAsia" w:ascii="仿宋_GB2312" w:eastAsia="仿宋_GB2312"/>
          <w:sz w:val="32"/>
          <w:szCs w:val="32"/>
          <w:highlight w:val="none"/>
          <w:lang w:val="en-US" w:eastAsia="zh-CN"/>
        </w:rPr>
      </w:pPr>
      <w:r>
        <w:rPr>
          <w:rFonts w:hint="eastAsia" w:ascii="黑体" w:hAnsi="黑体" w:eastAsia="黑体"/>
          <w:sz w:val="32"/>
          <w:szCs w:val="32"/>
          <w:highlight w:val="none"/>
          <w:lang w:val="en-US" w:eastAsia="zh-CN"/>
        </w:rPr>
        <w:t>第八条</w:t>
      </w:r>
      <w:r>
        <w:rPr>
          <w:rFonts w:hint="eastAsia" w:ascii="仿宋_GB2312" w:eastAsia="仿宋_GB2312"/>
          <w:sz w:val="32"/>
          <w:szCs w:val="32"/>
          <w:highlight w:val="none"/>
          <w:lang w:val="en-US" w:eastAsia="zh-CN"/>
        </w:rPr>
        <w:t xml:space="preserve"> 本规划根据辖区市场状态、交通状况、人口热度、消费购买习惯等因素，合理确定零售点间距。零售点间距是指申请人拟从事烟草制品零售业务的经营场所与最近的烟草制品零售点之间的距离。测量的总体原则为两个零售点“门边到门边”可安全步行的最短距离。测量规则及标准详见《云南省昆明市官渡区烟草制品零售点间距测量规则及标准》（附件1）。</w:t>
      </w:r>
    </w:p>
    <w:p>
      <w:pPr>
        <w:pStyle w:val="19"/>
        <w:ind w:firstLine="640" w:firstLineChars="200"/>
        <w:rPr>
          <w:rFonts w:hint="default" w:ascii="仿宋_GB2312" w:hAnsi="仿宋_GB2312" w:eastAsia="仿宋_GB2312" w:cs="仿宋_GB2312"/>
          <w:lang w:val="en-US" w:eastAsia="zh-CN"/>
        </w:rPr>
      </w:pPr>
      <w:r>
        <w:rPr>
          <w:rFonts w:hint="eastAsia" w:ascii="黑体" w:hAnsi="黑体" w:eastAsia="黑体"/>
          <w:sz w:val="32"/>
          <w:szCs w:val="32"/>
          <w:lang w:val="en-US" w:eastAsia="zh-CN"/>
        </w:rPr>
        <w:t xml:space="preserve">第九条 </w:t>
      </w:r>
      <w:r>
        <w:rPr>
          <w:rFonts w:hint="eastAsia" w:ascii="仿宋_GB2312" w:hAnsi="仿宋_GB2312" w:eastAsia="仿宋_GB2312" w:cs="仿宋_GB2312"/>
          <w:sz w:val="32"/>
          <w:szCs w:val="32"/>
          <w:lang w:val="en-US" w:eastAsia="zh-CN"/>
        </w:rPr>
        <w:t>辖区内的最小单元网格划分、最小单元网格零售点规划数及最小单元网格零售点距离标准等详见《云南省昆明市官渡区烟草专卖局烟草制品单元网格零售点合理布局公示表》（附件2）。其中，公示执行标准、公示方式等实行动态调整管理制度，详见本规划第五章。</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336" w:lineRule="auto"/>
        <w:ind w:firstLine="640" w:firstLineChars="200"/>
        <w:rPr>
          <w:rFonts w:hint="eastAsia" w:ascii="仿宋_GB2312" w:hAnsi="仿宋_GB2312" w:eastAsia="仿宋_GB2312" w:cs="仿宋_GB2312"/>
          <w:b w:val="0"/>
          <w:bCs w:val="0"/>
          <w:sz w:val="32"/>
          <w:szCs w:val="32"/>
          <w:lang w:val="en-US" w:eastAsia="zh-CN"/>
        </w:rPr>
      </w:pPr>
      <w:r>
        <w:rPr>
          <w:rFonts w:hint="eastAsia" w:ascii="黑体" w:hAnsi="黑体" w:eastAsia="黑体"/>
          <w:sz w:val="32"/>
          <w:szCs w:val="32"/>
          <w:lang w:val="en-US" w:eastAsia="zh-CN"/>
        </w:rPr>
        <w:t xml:space="preserve">第十条 </w:t>
      </w:r>
      <w:r>
        <w:rPr>
          <w:rFonts w:hint="eastAsia" w:ascii="仿宋_GB2312" w:hAnsi="仿宋_GB2312" w:eastAsia="仿宋_GB2312" w:cs="仿宋_GB2312"/>
          <w:b w:val="0"/>
          <w:bCs w:val="0"/>
          <w:sz w:val="32"/>
          <w:szCs w:val="32"/>
          <w:lang w:val="en-US" w:eastAsia="zh-CN"/>
        </w:rPr>
        <w:t>特殊区域零售点布局标准：</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336"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1.</w:t>
      </w:r>
      <w:r>
        <w:rPr>
          <w:rFonts w:hint="eastAsia" w:ascii="仿宋_GB2312" w:hAnsi="仿宋_GB2312" w:eastAsia="仿宋_GB2312" w:cs="仿宋_GB2312"/>
          <w:sz w:val="32"/>
          <w:szCs w:val="32"/>
          <w:highlight w:val="none"/>
          <w:lang w:val="en-US" w:eastAsia="zh-CN"/>
        </w:rPr>
        <w:t>辖区内的机场、火车站、汽车站、码头等相对封闭的内部等候区及辖区内的产业园区、航空园区、工业园区、物流园区等相对封闭的内部生活区域，可结合相应区域的人流实际，单独设置零售点数量，不受本规划的数量限制，相应区域零售点距离限制标准以公示结果为准。</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336"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辖区内的部队、监狱、看守所、戒毒所等封闭式特殊区域内部，或辖区内高速公路单侧加油站（含服务区）内，或辖区内单体经营面积在500平方米以上且申请人为该场所实际经营者本人的商场、超市、便利店、烟酒店，可单独设置1个零售点，不受本规划的数量限制和距离限制。</w:t>
      </w:r>
    </w:p>
    <w:p>
      <w:pPr>
        <w:pStyle w:val="19"/>
        <w:ind w:firstLine="640" w:firstLineChars="200"/>
        <w:rPr>
          <w:rFonts w:hint="eastAsia" w:ascii="仿宋_GB2312" w:hAnsi="仿宋_GB2312" w:eastAsia="仿宋_GB2312" w:cs="仿宋_GB2312"/>
          <w:sz w:val="32"/>
          <w:szCs w:val="32"/>
          <w:highlight w:val="none"/>
          <w:lang w:val="en-US" w:eastAsia="zh-CN"/>
        </w:rPr>
      </w:pPr>
      <w:r>
        <w:rPr>
          <w:rFonts w:hint="eastAsia" w:ascii="黑体" w:hAnsi="黑体" w:eastAsia="黑体" w:cstheme="minorBidi"/>
          <w:color w:val="auto"/>
          <w:kern w:val="2"/>
          <w:sz w:val="32"/>
          <w:szCs w:val="32"/>
          <w:highlight w:val="none"/>
          <w:lang w:val="en-US" w:eastAsia="zh-CN" w:bidi="ar-SA"/>
        </w:rPr>
        <w:t xml:space="preserve">第十一条 </w:t>
      </w:r>
      <w:r>
        <w:rPr>
          <w:rFonts w:hint="eastAsia" w:ascii="仿宋_GB2312" w:hAnsi="仿宋_GB2312" w:eastAsia="仿宋_GB2312" w:cs="仿宋_GB2312"/>
          <w:sz w:val="32"/>
          <w:szCs w:val="32"/>
          <w:highlight w:val="none"/>
          <w:lang w:val="en-US" w:eastAsia="zh-CN"/>
        </w:rPr>
        <w:t xml:space="preserve"> 辖区内的特殊区域零售点规划数及规划区域、零售点距离标准等详见《云南省昆明市官渡区烟草专卖局烟草专卖局特殊区域零售点合理布局公示表》（附件3）。其中，公示执行标准、公示方式等实行动态调整管理制度，详见本规划第五章。</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336" w:lineRule="auto"/>
        <w:ind w:firstLine="640" w:firstLineChars="200"/>
        <w:rPr>
          <w:rFonts w:hint="eastAsia" w:ascii="仿宋_GB2312" w:eastAsia="仿宋_GB2312"/>
          <w:sz w:val="32"/>
          <w:szCs w:val="32"/>
          <w:highlight w:val="none"/>
          <w:lang w:val="en-US" w:eastAsia="zh-CN"/>
        </w:rPr>
      </w:pPr>
      <w:r>
        <w:rPr>
          <w:rFonts w:hint="eastAsia" w:ascii="黑体" w:hAnsi="黑体" w:eastAsia="黑体"/>
          <w:sz w:val="32"/>
          <w:szCs w:val="32"/>
          <w:lang w:val="en-US" w:eastAsia="zh-CN"/>
        </w:rPr>
        <w:t>第十二条　</w:t>
      </w:r>
      <w:r>
        <w:rPr>
          <w:rFonts w:hint="eastAsia" w:ascii="仿宋_GB2312" w:eastAsia="仿宋_GB2312"/>
          <w:sz w:val="32"/>
          <w:szCs w:val="32"/>
          <w:highlight w:val="none"/>
          <w:lang w:val="en-US" w:eastAsia="zh-CN"/>
        </w:rPr>
        <w:t>具有下列情形之一的，不予设置零售点：</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36" w:lineRule="auto"/>
        <w:ind w:firstLine="640"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一）辖区内中小学、幼儿园内部及周边范围（含通道）100米以内。其中，“中小学、幼儿园周边范围（含通道）”是指中小学、幼儿园的进出口及相关通道，包括但不限于大门、侧门、后门、教职工通道、后勤通道、消防通道、应急通道、垃圾通道等。</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36" w:lineRule="auto"/>
        <w:ind w:firstLine="640"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（二）无固定经营场所的：包括但不限于流动的摊、点、车、棚、简易板房、活动板房（彩钢房）、临时占道建筑等。</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36" w:lineRule="auto"/>
        <w:ind w:firstLine="640"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（三）经营场所与住所不相独立的：包括但不限于经营场所为住所的客厅、餐厅、卧室、阳台、地下室、车库、储藏室等；居民楼内公用道、楼梯间等。</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36" w:lineRule="auto"/>
        <w:ind w:firstLine="640"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（四）经营业态存在容易诱导未成年人关注、购买、吸食卷烟或其他不利于未成年人保护的文化体育、母婴用品、音像制品、传真打印、各类培训咨询机构等。</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36" w:lineRule="auto"/>
        <w:ind w:firstLine="640"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五）专业性较强且与烟草制品零售业务没有直接或间接互补营销关系的家电家具、五金机械、通信器材、金融证券、仪器仪表、金银珠宝、寄递配送、洗涤护理、服装制售、中介劳服、寄卖典当、汽车租赁、照相馆、床上用品、</w:t>
      </w:r>
      <w:r>
        <w:rPr>
          <w:rFonts w:hint="eastAsia" w:ascii="仿宋_GB2312" w:eastAsia="仿宋_GB2312"/>
          <w:color w:val="auto"/>
          <w:sz w:val="32"/>
          <w:szCs w:val="32"/>
          <w:highlight w:val="none"/>
          <w:lang w:val="en-US" w:eastAsia="zh-CN"/>
        </w:rPr>
        <w:t>彩票专营</w:t>
      </w:r>
      <w:r>
        <w:rPr>
          <w:rFonts w:hint="eastAsia" w:ascii="仿宋_GB2312" w:eastAsia="仿宋_GB2312"/>
          <w:sz w:val="32"/>
          <w:szCs w:val="32"/>
          <w:highlight w:val="none"/>
          <w:lang w:val="en-US" w:eastAsia="zh-CN"/>
        </w:rPr>
        <w:t>等。</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36" w:lineRule="auto"/>
        <w:ind w:firstLine="640"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（六）经营场所基于安全因素不适宜经营卷烟的烟花爆竹、化工产品、五金建材、建筑装潢、美容美发、按摩推拿、药妆医械、农畜养殖、农药化肥、机耕农具、修理修配、汽车美容等经营场所。</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36" w:lineRule="auto"/>
        <w:ind w:firstLine="640" w:firstLineChars="200"/>
        <w:textAlignment w:val="auto"/>
        <w:rPr>
          <w:rFonts w:hint="default"/>
          <w:color w:val="auto"/>
          <w:highlight w:val="none"/>
          <w:lang w:val="en-US" w:eastAsia="zh-CN"/>
        </w:rPr>
      </w:pPr>
      <w:r>
        <w:rPr>
          <w:rFonts w:hint="eastAsia" w:ascii="仿宋_GB2312" w:eastAsia="仿宋_GB2312"/>
          <w:color w:val="auto"/>
          <w:sz w:val="32"/>
          <w:szCs w:val="32"/>
          <w:highlight w:val="none"/>
          <w:lang w:val="en-US" w:eastAsia="zh-CN"/>
        </w:rPr>
        <w:t>（七）经营场所位于封闭式住宅小区内的。封闭式住宅小区是指属于有门禁、有道闸且非业主进出小区需采取登记等限制性措施的小区。</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36" w:lineRule="auto"/>
        <w:ind w:firstLine="640"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（八）法律、法规、规章、规范性文件等规定的其他不予许可的情形。详见《云南省昆明市官渡区烟草专卖局烟草制品零售点不予发放烟草专卖零售许可证的情形》（附件4）。</w:t>
      </w:r>
    </w:p>
    <w:p>
      <w:pPr>
        <w:pStyle w:val="19"/>
        <w:keepNext w:val="0"/>
        <w:keepLines w:val="0"/>
        <w:pageBreakBefore w:val="0"/>
        <w:widowControl w:val="0"/>
        <w:kinsoku/>
        <w:wordWrap/>
        <w:overflowPunct/>
        <w:topLinePunct w:val="0"/>
        <w:autoSpaceDE w:val="0"/>
        <w:autoSpaceDN w:val="0"/>
        <w:bidi w:val="0"/>
        <w:adjustRightInd w:val="0"/>
        <w:snapToGrid/>
        <w:spacing w:before="157" w:beforeLines="50" w:after="157" w:afterLines="50" w:line="336" w:lineRule="auto"/>
        <w:jc w:val="center"/>
        <w:textAlignment w:val="auto"/>
        <w:rPr>
          <w:rFonts w:hint="eastAsia"/>
          <w:lang w:val="en-US" w:eastAsia="zh-CN"/>
        </w:rPr>
      </w:pPr>
      <w:r>
        <w:rPr>
          <w:rFonts w:hint="eastAsia" w:ascii="黑体" w:hAnsi="黑体" w:eastAsia="黑体"/>
          <w:spacing w:val="10"/>
          <w:sz w:val="32"/>
          <w:szCs w:val="32"/>
        </w:rPr>
        <w:t>第</w:t>
      </w:r>
      <w:r>
        <w:rPr>
          <w:rFonts w:hint="eastAsia" w:ascii="黑体" w:hAnsi="黑体" w:eastAsia="黑体"/>
          <w:spacing w:val="10"/>
          <w:sz w:val="32"/>
          <w:szCs w:val="32"/>
          <w:lang w:val="en-US" w:eastAsia="zh-CN"/>
        </w:rPr>
        <w:t>三</w:t>
      </w:r>
      <w:r>
        <w:rPr>
          <w:rFonts w:hint="eastAsia" w:ascii="黑体" w:hAnsi="黑体" w:eastAsia="黑体"/>
          <w:spacing w:val="10"/>
          <w:sz w:val="32"/>
          <w:szCs w:val="32"/>
        </w:rPr>
        <w:t xml:space="preserve">章 </w:t>
      </w:r>
      <w:r>
        <w:rPr>
          <w:rFonts w:hint="eastAsia" w:ascii="黑体" w:hAnsi="黑体" w:eastAsia="黑体"/>
          <w:spacing w:val="10"/>
          <w:sz w:val="32"/>
          <w:szCs w:val="32"/>
          <w:lang w:val="en-US" w:eastAsia="zh-CN"/>
        </w:rPr>
        <w:t xml:space="preserve"> 雪茄烟专营店零售点布局标准</w:t>
      </w:r>
    </w:p>
    <w:p>
      <w:pPr>
        <w:pStyle w:val="19"/>
        <w:ind w:firstLine="640" w:firstLineChars="200"/>
        <w:rPr>
          <w:rFonts w:hint="default" w:ascii="仿宋_GB2312" w:hAnsi="仿宋_GB2312" w:eastAsia="仿宋_GB2312" w:cs="仿宋_GB2312"/>
          <w:sz w:val="32"/>
          <w:szCs w:val="32"/>
          <w:highlight w:val="none"/>
          <w:lang w:val="en-US" w:eastAsia="zh-CN"/>
        </w:rPr>
      </w:pPr>
      <w:r>
        <w:rPr>
          <w:rFonts w:hint="eastAsia" w:ascii="黑体" w:hAnsi="黑体" w:eastAsia="黑体" w:cs="黑体"/>
          <w:sz w:val="32"/>
          <w:szCs w:val="32"/>
          <w:highlight w:val="none"/>
          <w:lang w:val="en-US" w:eastAsia="zh-CN"/>
        </w:rPr>
        <w:t>第十三条　</w:t>
      </w:r>
      <w:r>
        <w:rPr>
          <w:rFonts w:hint="default" w:ascii="仿宋_GB2312" w:hAnsi="仿宋_GB2312" w:eastAsia="仿宋_GB2312" w:cs="仿宋_GB2312"/>
          <w:sz w:val="32"/>
          <w:szCs w:val="32"/>
          <w:highlight w:val="none"/>
          <w:lang w:val="en-US" w:eastAsia="zh-CN"/>
        </w:rPr>
        <w:t>雪茄烟专营店是指经营范围仅为雪茄烟销售的雪茄烟专营店零售点</w:t>
      </w:r>
      <w:r>
        <w:rPr>
          <w:rFonts w:hint="eastAsia" w:ascii="仿宋_GB2312" w:hAnsi="仿宋_GB2312" w:eastAsia="仿宋_GB2312" w:cs="仿宋_GB2312"/>
          <w:sz w:val="32"/>
          <w:szCs w:val="32"/>
          <w:highlight w:val="none"/>
          <w:lang w:val="en-US" w:eastAsia="zh-CN"/>
        </w:rPr>
        <w:t>。</w:t>
      </w:r>
      <w:r>
        <w:rPr>
          <w:rFonts w:hint="default" w:ascii="仿宋_GB2312" w:hAnsi="仿宋_GB2312" w:eastAsia="仿宋_GB2312" w:cs="仿宋_GB2312"/>
          <w:sz w:val="32"/>
          <w:szCs w:val="32"/>
          <w:highlight w:val="none"/>
          <w:lang w:val="en-US" w:eastAsia="zh-CN"/>
        </w:rPr>
        <w:t>雪茄烟专营店</w:t>
      </w:r>
      <w:r>
        <w:rPr>
          <w:rFonts w:hint="eastAsia" w:ascii="仿宋_GB2312" w:hAnsi="仿宋_GB2312" w:eastAsia="仿宋_GB2312" w:cs="仿宋_GB2312"/>
          <w:sz w:val="32"/>
          <w:szCs w:val="32"/>
          <w:highlight w:val="none"/>
          <w:lang w:val="en-US" w:eastAsia="zh-CN"/>
        </w:rPr>
        <w:t>零售点</w:t>
      </w:r>
      <w:r>
        <w:rPr>
          <w:rFonts w:hint="default" w:ascii="仿宋_GB2312" w:hAnsi="仿宋_GB2312" w:eastAsia="仿宋_GB2312" w:cs="仿宋_GB2312"/>
          <w:sz w:val="32"/>
          <w:szCs w:val="32"/>
          <w:highlight w:val="none"/>
          <w:lang w:val="en-US" w:eastAsia="zh-CN"/>
        </w:rPr>
        <w:t>实行“一址一证”管理，采取区域总量控制的方式进行布局，规划数不超过辖区上年度末烟草制品零售点总数的5%。</w:t>
      </w:r>
    </w:p>
    <w:p>
      <w:pPr>
        <w:pStyle w:val="19"/>
        <w:ind w:firstLine="640" w:firstLineChars="200"/>
        <w:rPr>
          <w:rFonts w:hint="default" w:ascii="仿宋_GB2312" w:hAnsi="仿宋_GB2312" w:eastAsia="仿宋_GB2312" w:cs="仿宋_GB2312"/>
          <w:sz w:val="32"/>
          <w:szCs w:val="32"/>
          <w:highlight w:val="none"/>
          <w:lang w:val="en-US" w:eastAsia="zh-CN"/>
        </w:rPr>
      </w:pPr>
      <w:r>
        <w:rPr>
          <w:rFonts w:hint="eastAsia" w:ascii="黑体" w:hAnsi="黑体" w:eastAsia="黑体" w:cs="黑体"/>
          <w:sz w:val="32"/>
          <w:szCs w:val="32"/>
          <w:highlight w:val="none"/>
          <w:lang w:val="en-US" w:eastAsia="zh-CN"/>
        </w:rPr>
        <w:t>第十四条</w:t>
      </w:r>
      <w:r>
        <w:rPr>
          <w:rFonts w:hint="default" w:ascii="仿宋_GB2312" w:hAnsi="仿宋_GB2312" w:eastAsia="仿宋_GB2312" w:cs="仿宋_GB2312"/>
          <w:sz w:val="32"/>
          <w:szCs w:val="32"/>
          <w:highlight w:val="none"/>
          <w:lang w:val="en-US" w:eastAsia="zh-CN"/>
        </w:rPr>
        <w:t xml:space="preserve"> 新设雪茄烟专营零售点应同时满足以下条件：</w:t>
      </w:r>
    </w:p>
    <w:p>
      <w:pPr>
        <w:pStyle w:val="19"/>
        <w:ind w:firstLine="640" w:firstLineChars="200"/>
        <w:rPr>
          <w:rFonts w:hint="default" w:ascii="仿宋_GB2312" w:hAnsi="仿宋_GB2312" w:eastAsia="仿宋_GB2312" w:cs="仿宋_GB2312"/>
          <w:sz w:val="32"/>
          <w:szCs w:val="32"/>
          <w:highlight w:val="none"/>
          <w:lang w:val="en-US" w:eastAsia="zh-CN"/>
        </w:rPr>
      </w:pPr>
      <w:r>
        <w:rPr>
          <w:rFonts w:hint="default" w:ascii="仿宋_GB2312" w:hAnsi="仿宋_GB2312" w:eastAsia="仿宋_GB2312" w:cs="仿宋_GB2312"/>
          <w:sz w:val="32"/>
          <w:szCs w:val="32"/>
          <w:highlight w:val="none"/>
          <w:lang w:val="en-US" w:eastAsia="zh-CN"/>
        </w:rPr>
        <w:t>（一）符合本规划第十</w:t>
      </w:r>
      <w:r>
        <w:rPr>
          <w:rFonts w:hint="eastAsia" w:ascii="仿宋_GB2312" w:hAnsi="仿宋_GB2312" w:eastAsia="仿宋_GB2312" w:cs="仿宋_GB2312"/>
          <w:sz w:val="32"/>
          <w:szCs w:val="32"/>
          <w:highlight w:val="none"/>
          <w:lang w:val="en-US" w:eastAsia="zh-CN"/>
        </w:rPr>
        <w:t>三</w:t>
      </w:r>
      <w:r>
        <w:rPr>
          <w:rFonts w:hint="default" w:ascii="仿宋_GB2312" w:hAnsi="仿宋_GB2312" w:eastAsia="仿宋_GB2312" w:cs="仿宋_GB2312"/>
          <w:sz w:val="32"/>
          <w:szCs w:val="32"/>
          <w:highlight w:val="none"/>
          <w:lang w:val="en-US" w:eastAsia="zh-CN"/>
        </w:rPr>
        <w:t>条中的雪茄烟专营店零售点规划数限制</w:t>
      </w:r>
      <w:r>
        <w:rPr>
          <w:rFonts w:hint="eastAsia" w:ascii="仿宋_GB2312" w:hAnsi="仿宋_GB2312" w:eastAsia="仿宋_GB2312" w:cs="仿宋_GB2312"/>
          <w:sz w:val="32"/>
          <w:szCs w:val="32"/>
          <w:highlight w:val="none"/>
          <w:lang w:val="en-US" w:eastAsia="zh-CN"/>
        </w:rPr>
        <w:t>及符合本规划《云南省昆明市官渡区烟草专卖局烟草制品零售点不予发放烟草专卖零售许可证的情形》要求。</w:t>
      </w:r>
    </w:p>
    <w:p>
      <w:pPr>
        <w:pStyle w:val="19"/>
        <w:ind w:firstLine="640" w:firstLineChars="200"/>
        <w:rPr>
          <w:rFonts w:hint="default" w:ascii="仿宋_GB2312" w:hAnsi="仿宋_GB2312" w:eastAsia="仿宋_GB2312" w:cs="仿宋_GB2312"/>
          <w:sz w:val="32"/>
          <w:szCs w:val="32"/>
          <w:highlight w:val="none"/>
          <w:lang w:val="en-US" w:eastAsia="zh-CN"/>
        </w:rPr>
      </w:pPr>
      <w:r>
        <w:rPr>
          <w:rFonts w:hint="default" w:ascii="仿宋_GB2312" w:hAnsi="仿宋_GB2312" w:eastAsia="仿宋_GB2312" w:cs="仿宋_GB2312"/>
          <w:sz w:val="32"/>
          <w:szCs w:val="32"/>
          <w:highlight w:val="none"/>
          <w:lang w:val="en-US" w:eastAsia="zh-CN"/>
        </w:rPr>
        <w:t>（二）雪茄烟专营零售点设置不做店间距离限制，也不作为其它烟草制品零售点、电子烟零售点设置过程中店间距离测量的参照基准。</w:t>
      </w:r>
    </w:p>
    <w:p>
      <w:pPr>
        <w:pStyle w:val="19"/>
        <w:ind w:firstLine="640" w:firstLineChars="200"/>
        <w:rPr>
          <w:rFonts w:hint="default" w:ascii="仿宋_GB2312" w:hAnsi="仿宋_GB2312" w:eastAsia="仿宋_GB2312" w:cs="仿宋_GB2312"/>
          <w:sz w:val="32"/>
          <w:szCs w:val="32"/>
          <w:highlight w:val="none"/>
          <w:lang w:val="en-US" w:eastAsia="zh-CN"/>
        </w:rPr>
      </w:pPr>
      <w:r>
        <w:rPr>
          <w:rFonts w:hint="default" w:ascii="仿宋_GB2312" w:hAnsi="仿宋_GB2312" w:eastAsia="仿宋_GB2312" w:cs="仿宋_GB2312"/>
          <w:sz w:val="32"/>
          <w:szCs w:val="32"/>
          <w:highlight w:val="none"/>
          <w:lang w:val="en-US" w:eastAsia="zh-CN"/>
        </w:rPr>
        <w:t>（三）取得雪茄烟专营零售资格的被许可主体，如需变更其烟草专卖零售许可证经营范围的，应符合相应其他许可事项烟草制品零售点合理化布局的规定。</w:t>
      </w:r>
    </w:p>
    <w:p>
      <w:pPr>
        <w:pStyle w:val="19"/>
        <w:ind w:firstLine="640" w:firstLineChars="200"/>
        <w:rPr>
          <w:rFonts w:hint="eastAsia"/>
          <w:lang w:val="en-US" w:eastAsia="zh-CN"/>
        </w:rPr>
      </w:pPr>
      <w:r>
        <w:rPr>
          <w:rFonts w:hint="default" w:ascii="黑体" w:hAnsi="黑体" w:eastAsia="黑体" w:cs="黑体"/>
          <w:sz w:val="32"/>
          <w:szCs w:val="32"/>
          <w:highlight w:val="none"/>
          <w:lang w:val="en-US" w:eastAsia="zh-CN"/>
        </w:rPr>
        <w:t>第十</w:t>
      </w:r>
      <w:r>
        <w:rPr>
          <w:rFonts w:hint="eastAsia" w:ascii="黑体" w:hAnsi="黑体" w:eastAsia="黑体" w:cs="黑体"/>
          <w:sz w:val="32"/>
          <w:szCs w:val="32"/>
          <w:highlight w:val="none"/>
          <w:lang w:val="en-US" w:eastAsia="zh-CN"/>
        </w:rPr>
        <w:t>五</w:t>
      </w:r>
      <w:r>
        <w:rPr>
          <w:rFonts w:hint="default" w:ascii="黑体" w:hAnsi="黑体" w:eastAsia="黑体" w:cs="黑体"/>
          <w:sz w:val="32"/>
          <w:szCs w:val="32"/>
          <w:highlight w:val="none"/>
          <w:lang w:val="en-US" w:eastAsia="zh-CN"/>
        </w:rPr>
        <w:t>条</w:t>
      </w:r>
      <w:r>
        <w:rPr>
          <w:rFonts w:hint="default" w:ascii="仿宋_GB2312" w:hAnsi="仿宋_GB2312" w:eastAsia="仿宋_GB2312" w:cs="仿宋_GB2312"/>
          <w:sz w:val="32"/>
          <w:szCs w:val="32"/>
          <w:highlight w:val="none"/>
          <w:lang w:val="en-US" w:eastAsia="zh-CN"/>
        </w:rPr>
        <w:t xml:space="preserve">  辖区内的雪茄烟专营店零售点规划数及规划区域、零售点距离标准等详见《云南省昆明市官渡区烟草专卖局雪茄烟专营店零售点合理布局公示表》（附件</w:t>
      </w:r>
      <w:r>
        <w:rPr>
          <w:rFonts w:hint="eastAsia" w:ascii="仿宋_GB2312" w:hAnsi="仿宋_GB2312" w:eastAsia="仿宋_GB2312" w:cs="仿宋_GB2312"/>
          <w:sz w:val="32"/>
          <w:szCs w:val="32"/>
          <w:highlight w:val="none"/>
          <w:lang w:val="en-US" w:eastAsia="zh-CN"/>
        </w:rPr>
        <w:t>5</w:t>
      </w:r>
      <w:r>
        <w:rPr>
          <w:rFonts w:hint="default" w:ascii="仿宋_GB2312" w:hAnsi="仿宋_GB2312" w:eastAsia="仿宋_GB2312" w:cs="仿宋_GB2312"/>
          <w:sz w:val="32"/>
          <w:szCs w:val="32"/>
          <w:highlight w:val="none"/>
          <w:lang w:val="en-US" w:eastAsia="zh-CN"/>
        </w:rPr>
        <w:t>）。其中，公示执行标准、公示方式等实行动态调整管理制度，详见本规划第</w:t>
      </w:r>
      <w:r>
        <w:rPr>
          <w:rFonts w:hint="eastAsia" w:ascii="仿宋_GB2312" w:hAnsi="仿宋_GB2312" w:eastAsia="仿宋_GB2312" w:cs="仿宋_GB2312"/>
          <w:sz w:val="32"/>
          <w:szCs w:val="32"/>
          <w:highlight w:val="none"/>
          <w:lang w:val="en-US" w:eastAsia="zh-CN"/>
        </w:rPr>
        <w:t>五</w:t>
      </w:r>
      <w:r>
        <w:rPr>
          <w:rFonts w:hint="default" w:ascii="仿宋_GB2312" w:hAnsi="仿宋_GB2312" w:eastAsia="仿宋_GB2312" w:cs="仿宋_GB2312"/>
          <w:sz w:val="32"/>
          <w:szCs w:val="32"/>
          <w:highlight w:val="none"/>
          <w:lang w:val="en-US" w:eastAsia="zh-CN"/>
        </w:rPr>
        <w:t>章。</w:t>
      </w:r>
    </w:p>
    <w:p>
      <w:pPr>
        <w:pStyle w:val="19"/>
        <w:keepNext w:val="0"/>
        <w:keepLines w:val="0"/>
        <w:pageBreakBefore w:val="0"/>
        <w:widowControl w:val="0"/>
        <w:kinsoku/>
        <w:wordWrap/>
        <w:overflowPunct/>
        <w:topLinePunct w:val="0"/>
        <w:autoSpaceDE w:val="0"/>
        <w:autoSpaceDN w:val="0"/>
        <w:bidi w:val="0"/>
        <w:adjustRightInd w:val="0"/>
        <w:snapToGrid/>
        <w:spacing w:before="157" w:beforeLines="50" w:after="157" w:afterLines="50" w:line="336" w:lineRule="auto"/>
        <w:jc w:val="center"/>
        <w:textAlignment w:val="auto"/>
        <w:rPr>
          <w:rFonts w:hint="eastAsia"/>
          <w:lang w:val="en-US" w:eastAsia="zh-CN"/>
        </w:rPr>
      </w:pPr>
      <w:r>
        <w:rPr>
          <w:rFonts w:hint="eastAsia" w:ascii="黑体" w:hAnsi="黑体" w:eastAsia="黑体"/>
          <w:spacing w:val="10"/>
          <w:sz w:val="32"/>
          <w:szCs w:val="32"/>
        </w:rPr>
        <w:t>第</w:t>
      </w:r>
      <w:r>
        <w:rPr>
          <w:rFonts w:hint="eastAsia" w:ascii="黑体" w:hAnsi="黑体" w:eastAsia="黑体"/>
          <w:spacing w:val="10"/>
          <w:sz w:val="32"/>
          <w:szCs w:val="32"/>
          <w:lang w:val="en-US" w:eastAsia="zh-CN"/>
        </w:rPr>
        <w:t>四</w:t>
      </w:r>
      <w:r>
        <w:rPr>
          <w:rFonts w:hint="eastAsia" w:ascii="黑体" w:hAnsi="黑体" w:eastAsia="黑体"/>
          <w:spacing w:val="10"/>
          <w:sz w:val="32"/>
          <w:szCs w:val="32"/>
        </w:rPr>
        <w:t xml:space="preserve">章 </w:t>
      </w:r>
      <w:r>
        <w:rPr>
          <w:rFonts w:hint="eastAsia" w:ascii="黑体" w:hAnsi="黑体" w:eastAsia="黑体"/>
          <w:spacing w:val="10"/>
          <w:sz w:val="32"/>
          <w:szCs w:val="32"/>
          <w:lang w:val="en-US" w:eastAsia="zh-CN"/>
        </w:rPr>
        <w:t xml:space="preserve"> 新办零售点申请事项管理制度</w:t>
      </w:r>
    </w:p>
    <w:p>
      <w:pPr>
        <w:pStyle w:val="19"/>
        <w:keepNext w:val="0"/>
        <w:keepLines w:val="0"/>
        <w:pageBreakBefore w:val="0"/>
        <w:numPr>
          <w:ilvl w:val="0"/>
          <w:numId w:val="0"/>
        </w:numPr>
        <w:kinsoku/>
        <w:wordWrap/>
        <w:overflowPunct/>
        <w:topLinePunct w:val="0"/>
        <w:bidi w:val="0"/>
        <w:spacing w:line="336" w:lineRule="auto"/>
        <w:ind w:firstLine="640" w:firstLineChars="200"/>
        <w:jc w:val="both"/>
        <w:rPr>
          <w:rFonts w:hint="eastAsia" w:ascii="仿宋_GB2312" w:hAnsi="仿宋_GB2312" w:eastAsia="仿宋_GB2312" w:cs="仿宋_GB2312"/>
          <w:sz w:val="32"/>
          <w:szCs w:val="32"/>
          <w:highlight w:val="none"/>
          <w:lang w:val="en-US" w:eastAsia="zh-CN"/>
        </w:rPr>
      </w:pPr>
      <w:r>
        <w:rPr>
          <w:rFonts w:hint="eastAsia" w:ascii="黑体" w:hAnsi="黑体" w:eastAsia="黑体" w:cstheme="minorBidi"/>
          <w:color w:val="auto"/>
          <w:kern w:val="2"/>
          <w:sz w:val="32"/>
          <w:szCs w:val="32"/>
          <w:highlight w:val="none"/>
          <w:lang w:val="en-US" w:eastAsia="zh-CN" w:bidi="ar-SA"/>
        </w:rPr>
        <w:t xml:space="preserve">第十六条 </w:t>
      </w:r>
      <w:r>
        <w:rPr>
          <w:rFonts w:hint="eastAsia" w:ascii="仿宋_GB2312" w:hAnsi="仿宋_GB2312" w:eastAsia="仿宋_GB2312" w:cs="仿宋_GB2312"/>
          <w:sz w:val="32"/>
          <w:szCs w:val="32"/>
          <w:highlight w:val="none"/>
          <w:lang w:val="en-US" w:eastAsia="zh-CN"/>
        </w:rPr>
        <w:t>本规划结合实际，在公平公正、技术可行、群众认可的基础上，对辖区内实行数量限制的零售点布局采取“集中摇号制度”或者“排队轮候制度”等管理方式，并在对外公示后执行。详见《云南省昆明市官渡区烟草专卖局烟草制品零售点集中摇号制度》（附件6）及《云南省昆明市官渡区烟草专卖局烟草制品零售点排队轮候制度》（附件7）。</w:t>
      </w:r>
    </w:p>
    <w:p>
      <w:pPr>
        <w:pStyle w:val="19"/>
        <w:keepNext w:val="0"/>
        <w:keepLines w:val="0"/>
        <w:pageBreakBefore w:val="0"/>
        <w:numPr>
          <w:ilvl w:val="0"/>
          <w:numId w:val="0"/>
        </w:numPr>
        <w:kinsoku/>
        <w:wordWrap/>
        <w:overflowPunct/>
        <w:topLinePunct w:val="0"/>
        <w:bidi w:val="0"/>
        <w:spacing w:line="336" w:lineRule="auto"/>
        <w:ind w:firstLine="640" w:firstLineChars="200"/>
        <w:jc w:val="both"/>
        <w:rPr>
          <w:rFonts w:hint="default" w:ascii="仿宋_GB2312" w:hAnsi="仿宋_GB2312" w:eastAsia="仿宋_GB2312" w:cs="仿宋_GB2312"/>
          <w:sz w:val="32"/>
          <w:szCs w:val="32"/>
          <w:highlight w:val="none"/>
          <w:lang w:val="en-US" w:eastAsia="zh-CN"/>
        </w:rPr>
      </w:pPr>
      <w:r>
        <w:rPr>
          <w:rFonts w:hint="eastAsia" w:ascii="黑体" w:hAnsi="黑体" w:eastAsia="黑体" w:cstheme="minorBidi"/>
          <w:color w:val="auto"/>
          <w:kern w:val="2"/>
          <w:sz w:val="32"/>
          <w:szCs w:val="32"/>
          <w:highlight w:val="none"/>
          <w:lang w:val="en-US" w:eastAsia="zh-CN" w:bidi="ar-SA"/>
        </w:rPr>
        <w:t xml:space="preserve">第十七条  </w:t>
      </w:r>
      <w:r>
        <w:rPr>
          <w:rFonts w:hint="eastAsia" w:ascii="仿宋_GB2312" w:hAnsi="仿宋_GB2312" w:eastAsia="仿宋_GB2312" w:cs="仿宋_GB2312"/>
          <w:color w:val="auto"/>
          <w:kern w:val="2"/>
          <w:sz w:val="32"/>
          <w:szCs w:val="32"/>
          <w:highlight w:val="none"/>
          <w:lang w:val="en-US" w:eastAsia="zh-CN" w:bidi="ar-SA"/>
        </w:rPr>
        <w:t>符合本规划第十条规定的特殊区域零售点及本规划第十三条规定的雪茄烟专营店零售点，在公示的合理容量内，按照申请人提交新办申请资料的时间顺序依次受理审核。</w:t>
      </w:r>
    </w:p>
    <w:p>
      <w:pPr>
        <w:pStyle w:val="19"/>
        <w:keepNext w:val="0"/>
        <w:keepLines w:val="0"/>
        <w:pageBreakBefore w:val="0"/>
        <w:widowControl w:val="0"/>
        <w:kinsoku/>
        <w:wordWrap/>
        <w:overflowPunct/>
        <w:topLinePunct w:val="0"/>
        <w:autoSpaceDE w:val="0"/>
        <w:autoSpaceDN w:val="0"/>
        <w:bidi w:val="0"/>
        <w:adjustRightInd w:val="0"/>
        <w:snapToGrid/>
        <w:spacing w:before="157" w:beforeLines="50" w:after="157" w:afterLines="50" w:line="336" w:lineRule="auto"/>
        <w:jc w:val="center"/>
        <w:textAlignment w:val="auto"/>
        <w:rPr>
          <w:rFonts w:hint="eastAsia" w:ascii="黑体" w:hAnsi="黑体" w:eastAsia="黑体" w:cs="黑体"/>
          <w:sz w:val="32"/>
          <w:szCs w:val="32"/>
          <w:lang w:val="en-US" w:eastAsia="zh-CN"/>
        </w:rPr>
      </w:pPr>
      <w:r>
        <w:rPr>
          <w:rFonts w:hint="eastAsia" w:ascii="黑体" w:hAnsi="黑体" w:eastAsia="黑体"/>
          <w:spacing w:val="10"/>
          <w:sz w:val="32"/>
          <w:szCs w:val="32"/>
        </w:rPr>
        <w:t>第</w:t>
      </w:r>
      <w:r>
        <w:rPr>
          <w:rFonts w:hint="eastAsia" w:ascii="黑体" w:hAnsi="黑体" w:eastAsia="黑体"/>
          <w:spacing w:val="10"/>
          <w:sz w:val="32"/>
          <w:szCs w:val="32"/>
          <w:lang w:val="en-US" w:eastAsia="zh-CN"/>
        </w:rPr>
        <w:t>五</w:t>
      </w:r>
      <w:r>
        <w:rPr>
          <w:rFonts w:hint="eastAsia" w:ascii="黑体" w:hAnsi="黑体" w:eastAsia="黑体"/>
          <w:spacing w:val="10"/>
          <w:sz w:val="32"/>
          <w:szCs w:val="32"/>
        </w:rPr>
        <w:t xml:space="preserve">章 </w:t>
      </w:r>
      <w:r>
        <w:rPr>
          <w:rFonts w:hint="eastAsia" w:ascii="黑体" w:hAnsi="黑体" w:eastAsia="黑体"/>
          <w:spacing w:val="10"/>
          <w:sz w:val="32"/>
          <w:szCs w:val="32"/>
          <w:lang w:val="en-US" w:eastAsia="zh-CN"/>
        </w:rPr>
        <w:t xml:space="preserve"> 零售点布局动态调整管理制度</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113" w:line="336" w:lineRule="auto"/>
        <w:ind w:firstLine="640" w:firstLineChars="200"/>
        <w:jc w:val="both"/>
        <w:textAlignment w:val="baseline"/>
        <w:rPr>
          <w:rFonts w:hint="eastAsia" w:eastAsia="仿宋_GB2312"/>
          <w:sz w:val="32"/>
          <w:szCs w:val="32"/>
          <w:highlight w:val="none"/>
          <w:lang w:val="en-US" w:eastAsia="zh-CN"/>
        </w:rPr>
      </w:pPr>
      <w:r>
        <w:rPr>
          <w:rFonts w:hint="eastAsia" w:ascii="黑体" w:hAnsi="黑体" w:eastAsia="黑体" w:cs="黑体"/>
          <w:sz w:val="32"/>
          <w:szCs w:val="32"/>
          <w:lang w:val="en-US" w:eastAsia="zh-CN"/>
        </w:rPr>
        <w:t>第十八条</w:t>
      </w:r>
      <w:r>
        <w:rPr>
          <w:rFonts w:hint="eastAsia" w:eastAsia="仿宋_GB2312"/>
          <w:sz w:val="32"/>
          <w:szCs w:val="32"/>
          <w:lang w:val="en-US" w:eastAsia="zh-CN"/>
        </w:rPr>
        <w:t xml:space="preserve">  </w:t>
      </w:r>
      <w:r>
        <w:rPr>
          <w:rFonts w:hint="eastAsia" w:eastAsia="仿宋_GB2312"/>
          <w:sz w:val="32"/>
          <w:szCs w:val="32"/>
          <w:highlight w:val="none"/>
          <w:lang w:val="en-US" w:eastAsia="zh-CN"/>
        </w:rPr>
        <w:t>本规划对零售点布局实行定期评价、动态管理，保持零售点数量与烟草制品消费需求相适应、零售点分布与卷烟市场区位相协调、维持零售点数量的稍紧平衡，进一步规范烟草制品零售市场经营秩序，维护国家利益和消费者的合法权益。</w:t>
      </w:r>
    </w:p>
    <w:p>
      <w:pPr>
        <w:pStyle w:val="19"/>
        <w:keepNext w:val="0"/>
        <w:keepLines w:val="0"/>
        <w:pageBreakBefore w:val="0"/>
        <w:widowControl w:val="0"/>
        <w:kinsoku/>
        <w:wordWrap/>
        <w:overflowPunct/>
        <w:topLinePunct w:val="0"/>
        <w:bidi w:val="0"/>
        <w:adjustRightInd w:val="0"/>
        <w:spacing w:line="336" w:lineRule="auto"/>
        <w:ind w:firstLine="640" w:firstLineChars="200"/>
        <w:jc w:val="both"/>
        <w:rPr>
          <w:rFonts w:hint="eastAsia" w:eastAsia="仿宋_GB2312"/>
          <w:sz w:val="32"/>
          <w:szCs w:val="32"/>
          <w:highlight w:val="none"/>
          <w:lang w:val="en-US" w:eastAsia="zh-CN"/>
        </w:rPr>
      </w:pPr>
      <w:r>
        <w:rPr>
          <w:rFonts w:hint="eastAsia" w:ascii="黑体" w:hAnsi="黑体" w:eastAsia="黑体" w:cs="黑体"/>
          <w:sz w:val="32"/>
          <w:szCs w:val="32"/>
          <w:highlight w:val="none"/>
          <w:lang w:val="en-US" w:eastAsia="zh-CN"/>
        </w:rPr>
        <w:t xml:space="preserve">第十九条 </w:t>
      </w:r>
      <w:r>
        <w:rPr>
          <w:rFonts w:hint="eastAsia" w:ascii="仿宋_GB2312" w:hAnsi="仿宋_GB2312" w:eastAsia="仿宋_GB2312" w:cs="仿宋_GB2312"/>
          <w:sz w:val="32"/>
          <w:szCs w:val="32"/>
          <w:highlight w:val="none"/>
          <w:lang w:val="en-US" w:eastAsia="zh-CN"/>
        </w:rPr>
        <w:t>本规划根据辖区经济发展、城乡建设、市场形势等变化情况，</w:t>
      </w:r>
      <w:r>
        <w:rPr>
          <w:rFonts w:hint="eastAsia" w:eastAsia="仿宋_GB2312"/>
          <w:sz w:val="32"/>
          <w:szCs w:val="32"/>
          <w:highlight w:val="none"/>
          <w:lang w:val="en-US" w:eastAsia="zh-CN"/>
        </w:rPr>
        <w:t>定期测算和调整优化辖区内零售点布局的最小单元网格划分、总量规划数及最小单元网格规划数，并对外公示后实施。详见《云南省昆明市官渡区烟草专卖局烟草制品零售点合理布局规划数动态调整管理制度》（附件8）</w:t>
      </w:r>
    </w:p>
    <w:p>
      <w:pPr>
        <w:pStyle w:val="19"/>
        <w:keepNext w:val="0"/>
        <w:keepLines w:val="0"/>
        <w:pageBreakBefore w:val="0"/>
        <w:widowControl w:val="0"/>
        <w:kinsoku/>
        <w:wordWrap/>
        <w:overflowPunct/>
        <w:topLinePunct w:val="0"/>
        <w:autoSpaceDE w:val="0"/>
        <w:autoSpaceDN w:val="0"/>
        <w:bidi w:val="0"/>
        <w:adjustRightInd w:val="0"/>
        <w:snapToGrid/>
        <w:spacing w:before="157" w:beforeLines="50" w:after="157" w:afterLines="50" w:line="336" w:lineRule="auto"/>
        <w:ind w:firstLine="0" w:firstLineChars="0"/>
        <w:jc w:val="center"/>
        <w:textAlignment w:val="auto"/>
        <w:rPr>
          <w:rFonts w:hint="eastAsia" w:ascii="黑体" w:hAnsi="黑体" w:eastAsia="黑体"/>
          <w:spacing w:val="10"/>
          <w:sz w:val="32"/>
          <w:szCs w:val="32"/>
          <w:lang w:val="en-US" w:eastAsia="zh-CN"/>
        </w:rPr>
      </w:pPr>
      <w:r>
        <w:rPr>
          <w:rFonts w:hint="eastAsia" w:ascii="黑体" w:hAnsi="黑体" w:eastAsia="黑体"/>
          <w:spacing w:val="10"/>
          <w:sz w:val="32"/>
          <w:szCs w:val="32"/>
        </w:rPr>
        <w:t>第</w:t>
      </w:r>
      <w:r>
        <w:rPr>
          <w:rFonts w:hint="eastAsia" w:ascii="黑体" w:hAnsi="黑体" w:eastAsia="黑体"/>
          <w:spacing w:val="10"/>
          <w:sz w:val="32"/>
          <w:szCs w:val="32"/>
          <w:lang w:val="en-US" w:eastAsia="zh-CN"/>
        </w:rPr>
        <w:t>六</w:t>
      </w:r>
      <w:r>
        <w:rPr>
          <w:rFonts w:hint="eastAsia" w:ascii="黑体" w:hAnsi="黑体" w:eastAsia="黑体"/>
          <w:spacing w:val="10"/>
          <w:sz w:val="32"/>
          <w:szCs w:val="32"/>
        </w:rPr>
        <w:t xml:space="preserve">章 </w:t>
      </w:r>
      <w:r>
        <w:rPr>
          <w:rFonts w:hint="eastAsia" w:ascii="黑体" w:hAnsi="黑体" w:eastAsia="黑体"/>
          <w:spacing w:val="10"/>
          <w:sz w:val="32"/>
          <w:szCs w:val="32"/>
          <w:lang w:val="en-US" w:eastAsia="zh-CN"/>
        </w:rPr>
        <w:t>附 则</w:t>
      </w:r>
    </w:p>
    <w:p>
      <w:pPr>
        <w:pStyle w:val="19"/>
        <w:keepNext w:val="0"/>
        <w:keepLines w:val="0"/>
        <w:pageBreakBefore w:val="0"/>
        <w:widowControl w:val="0"/>
        <w:kinsoku/>
        <w:wordWrap/>
        <w:overflowPunct/>
        <w:topLinePunct w:val="0"/>
        <w:bidi w:val="0"/>
        <w:spacing w:line="336" w:lineRule="auto"/>
        <w:ind w:firstLine="640" w:firstLineChars="200"/>
        <w:jc w:val="both"/>
        <w:rPr>
          <w:rFonts w:eastAsia="仿宋_GB2312"/>
          <w:spacing w:val="10"/>
          <w:sz w:val="32"/>
          <w:szCs w:val="32"/>
        </w:rPr>
      </w:pPr>
      <w:r>
        <w:rPr>
          <w:rFonts w:hint="eastAsia" w:ascii="黑体" w:hAnsi="黑体" w:eastAsia="黑体" w:cs="黑体"/>
          <w:sz w:val="32"/>
          <w:szCs w:val="32"/>
          <w:lang w:val="en-US" w:eastAsia="zh-CN"/>
        </w:rPr>
        <w:t xml:space="preserve">第二十条 </w:t>
      </w:r>
      <w:r>
        <w:rPr>
          <w:rFonts w:eastAsia="仿宋_GB2312"/>
          <w:spacing w:val="10"/>
          <w:sz w:val="32"/>
          <w:szCs w:val="32"/>
        </w:rPr>
        <w:t>本规划实施后，如遇相关法律</w:t>
      </w:r>
      <w:r>
        <w:rPr>
          <w:rFonts w:hint="eastAsia" w:eastAsia="仿宋_GB2312"/>
          <w:spacing w:val="10"/>
          <w:sz w:val="32"/>
          <w:szCs w:val="32"/>
        </w:rPr>
        <w:t>、</w:t>
      </w:r>
      <w:r>
        <w:rPr>
          <w:rFonts w:eastAsia="仿宋_GB2312"/>
          <w:spacing w:val="10"/>
          <w:sz w:val="32"/>
          <w:szCs w:val="32"/>
        </w:rPr>
        <w:t>法规、规章及规范性文件调整的，根据最新规定进行调整</w:t>
      </w:r>
      <w:r>
        <w:rPr>
          <w:rFonts w:hint="eastAsia" w:eastAsia="仿宋_GB2312"/>
          <w:spacing w:val="10"/>
          <w:sz w:val="32"/>
          <w:szCs w:val="32"/>
          <w:lang w:val="en-US" w:eastAsia="zh-CN"/>
        </w:rPr>
        <w:t>或者按最新规定补充细则</w:t>
      </w:r>
      <w:r>
        <w:rPr>
          <w:rFonts w:eastAsia="仿宋_GB2312"/>
          <w:spacing w:val="10"/>
          <w:sz w:val="32"/>
          <w:szCs w:val="32"/>
        </w:rPr>
        <w:t>，及时报当地本级人民政府法制部门备案后公布实施。</w:t>
      </w:r>
    </w:p>
    <w:p>
      <w:pPr>
        <w:pStyle w:val="19"/>
        <w:keepNext w:val="0"/>
        <w:keepLines w:val="0"/>
        <w:pageBreakBefore w:val="0"/>
        <w:widowControl w:val="0"/>
        <w:kinsoku/>
        <w:wordWrap/>
        <w:overflowPunct/>
        <w:topLinePunct w:val="0"/>
        <w:bidi w:val="0"/>
        <w:spacing w:line="336" w:lineRule="auto"/>
        <w:ind w:firstLine="680" w:firstLineChars="200"/>
        <w:jc w:val="both"/>
        <w:rPr>
          <w:rFonts w:eastAsia="仿宋_GB2312"/>
          <w:spacing w:val="10"/>
          <w:sz w:val="32"/>
          <w:szCs w:val="32"/>
          <w:highlight w:val="none"/>
        </w:rPr>
      </w:pPr>
      <w:r>
        <w:rPr>
          <w:rFonts w:hint="eastAsia" w:ascii="黑体" w:hAnsi="黑体" w:eastAsia="黑体" w:cs="黑体"/>
          <w:spacing w:val="10"/>
          <w:sz w:val="32"/>
          <w:szCs w:val="32"/>
          <w:lang w:val="en-US" w:eastAsia="zh-CN"/>
        </w:rPr>
        <w:t>第二十一条</w:t>
      </w:r>
      <w:r>
        <w:rPr>
          <w:rFonts w:hint="eastAsia" w:eastAsia="仿宋_GB2312"/>
          <w:spacing w:val="10"/>
          <w:sz w:val="32"/>
          <w:szCs w:val="32"/>
          <w:lang w:val="en-US" w:eastAsia="zh-CN"/>
        </w:rPr>
        <w:t xml:space="preserve"> </w:t>
      </w:r>
      <w:r>
        <w:rPr>
          <w:rFonts w:hint="eastAsia" w:eastAsia="仿宋_GB2312"/>
          <w:spacing w:val="10"/>
          <w:sz w:val="32"/>
          <w:szCs w:val="32"/>
          <w:highlight w:val="none"/>
        </w:rPr>
        <w:t>对本规定实施前已取得烟草专卖零售许可证的，按照不溯及既往的原则，原零售许可证在其核准有效期内继续有效。烟草专卖零售许可证有效期届满前申请延续的，应当符合</w:t>
      </w:r>
      <w:r>
        <w:rPr>
          <w:rFonts w:hint="eastAsia" w:eastAsia="仿宋_GB2312"/>
          <w:spacing w:val="10"/>
          <w:sz w:val="32"/>
          <w:szCs w:val="32"/>
          <w:highlight w:val="none"/>
          <w:lang w:val="en-US" w:eastAsia="zh-CN"/>
        </w:rPr>
        <w:t>相应</w:t>
      </w:r>
      <w:r>
        <w:rPr>
          <w:rFonts w:hint="eastAsia" w:eastAsia="仿宋_GB2312"/>
          <w:spacing w:val="10"/>
          <w:sz w:val="32"/>
          <w:szCs w:val="32"/>
          <w:highlight w:val="none"/>
        </w:rPr>
        <w:t>法律法规要求。在本规定实施后申请新办烟草专卖零售许可的，按照本规定执行。</w:t>
      </w:r>
    </w:p>
    <w:p>
      <w:pPr>
        <w:pStyle w:val="19"/>
        <w:keepNext w:val="0"/>
        <w:keepLines w:val="0"/>
        <w:pageBreakBefore w:val="0"/>
        <w:widowControl w:val="0"/>
        <w:kinsoku/>
        <w:wordWrap/>
        <w:overflowPunct/>
        <w:topLinePunct w:val="0"/>
        <w:bidi w:val="0"/>
        <w:spacing w:line="336" w:lineRule="auto"/>
        <w:ind w:firstLine="640" w:firstLineChars="200"/>
        <w:jc w:val="both"/>
        <w:rPr>
          <w:rFonts w:hint="eastAsia" w:ascii="仿宋_GB2312" w:hAnsi="仿宋_GB2312" w:eastAsia="仿宋_GB2312" w:cs="仿宋_GB2312"/>
          <w:sz w:val="32"/>
          <w:szCs w:val="32"/>
          <w:highlight w:val="none"/>
          <w:lang w:val="en-US" w:eastAsia="zh-CN"/>
        </w:rPr>
      </w:pPr>
      <w:r>
        <w:rPr>
          <w:rFonts w:hint="eastAsia" w:ascii="黑体" w:hAnsi="黑体" w:eastAsia="黑体" w:cs="黑体"/>
          <w:sz w:val="32"/>
          <w:szCs w:val="32"/>
          <w:lang w:val="en-US" w:eastAsia="zh-CN"/>
        </w:rPr>
        <w:t>第二十一条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lang w:val="en-US" w:eastAsia="zh-CN"/>
        </w:rPr>
        <w:t>烈士配偶、父母、子女或残疾人、退役军人、低保人员本人首次申请零售许可证的，属地烟草专卖局应主动上门提供法律、法规及政策咨询等服务。符合烟草制品零售点布局条件并取得许可证的。属地烟草分公司应提供优质营销服务。</w:t>
      </w:r>
    </w:p>
    <w:p>
      <w:pPr>
        <w:pStyle w:val="19"/>
        <w:keepNext w:val="0"/>
        <w:keepLines w:val="0"/>
        <w:pageBreakBefore w:val="0"/>
        <w:widowControl w:val="0"/>
        <w:kinsoku/>
        <w:wordWrap/>
        <w:overflowPunct/>
        <w:topLinePunct w:val="0"/>
        <w:bidi w:val="0"/>
        <w:spacing w:line="336" w:lineRule="auto"/>
        <w:ind w:firstLine="640" w:firstLineChars="200"/>
        <w:jc w:val="both"/>
        <w:rPr>
          <w:rFonts w:hint="eastAsia" w:ascii="仿宋_GB2312" w:hAnsi="仿宋_GB2312" w:eastAsia="仿宋_GB2312" w:cs="仿宋_GB2312"/>
          <w:sz w:val="32"/>
          <w:szCs w:val="32"/>
          <w:highlight w:val="none"/>
          <w:lang w:val="en-US" w:eastAsia="zh-CN"/>
        </w:rPr>
      </w:pPr>
      <w:r>
        <w:rPr>
          <w:rFonts w:hint="eastAsia" w:ascii="黑体" w:hAnsi="黑体" w:eastAsia="黑体" w:cs="黑体"/>
          <w:sz w:val="32"/>
          <w:szCs w:val="32"/>
          <w:highlight w:val="none"/>
          <w:lang w:val="en-US" w:eastAsia="zh-CN"/>
        </w:rPr>
        <w:t xml:space="preserve">第二十二条 </w:t>
      </w:r>
      <w:r>
        <w:rPr>
          <w:rFonts w:hint="eastAsia" w:ascii="仿宋_GB2312" w:hAnsi="仿宋_GB2312" w:eastAsia="仿宋_GB2312" w:cs="仿宋_GB2312"/>
          <w:sz w:val="32"/>
          <w:szCs w:val="32"/>
          <w:highlight w:val="none"/>
          <w:lang w:val="en-US" w:eastAsia="zh-CN"/>
        </w:rPr>
        <w:t>本规划中所称“中小学校”是指普通中小学校、特殊教育学校、中等职业学校、专门学校等。“幼儿园”是指经教育行政主管部门依法批准的公办和民办全日制、寄宿制、半日制幼儿园及小学附设的学前班、幼儿班等。各类培训教育机构、托管班、早教班等除外。</w:t>
      </w:r>
    </w:p>
    <w:p>
      <w:pPr>
        <w:pStyle w:val="19"/>
        <w:keepNext w:val="0"/>
        <w:keepLines w:val="0"/>
        <w:pageBreakBefore w:val="0"/>
        <w:widowControl w:val="0"/>
        <w:kinsoku/>
        <w:wordWrap/>
        <w:overflowPunct/>
        <w:topLinePunct w:val="0"/>
        <w:bidi w:val="0"/>
        <w:spacing w:line="336" w:lineRule="auto"/>
        <w:ind w:firstLine="640" w:firstLineChars="200"/>
        <w:jc w:val="both"/>
        <w:rPr>
          <w:rFonts w:eastAsia="仿宋_GB2312"/>
          <w:spacing w:val="10"/>
          <w:sz w:val="32"/>
          <w:szCs w:val="32"/>
          <w:highlight w:val="none"/>
        </w:rPr>
      </w:pPr>
      <w:r>
        <w:rPr>
          <w:rFonts w:hint="eastAsia" w:ascii="黑体" w:hAnsi="黑体" w:eastAsia="黑体" w:cs="黑体"/>
          <w:sz w:val="32"/>
          <w:szCs w:val="32"/>
          <w:highlight w:val="none"/>
          <w:lang w:val="en-US" w:eastAsia="zh-CN"/>
        </w:rPr>
        <w:t xml:space="preserve">第二十三条 </w:t>
      </w:r>
      <w:r>
        <w:rPr>
          <w:rFonts w:eastAsia="仿宋_GB2312"/>
          <w:spacing w:val="10"/>
          <w:sz w:val="32"/>
          <w:szCs w:val="32"/>
          <w:highlight w:val="none"/>
        </w:rPr>
        <w:t>本规划中</w:t>
      </w:r>
      <w:r>
        <w:rPr>
          <w:rFonts w:hint="eastAsia" w:eastAsia="仿宋_GB2312"/>
          <w:spacing w:val="10"/>
          <w:sz w:val="32"/>
          <w:szCs w:val="32"/>
          <w:highlight w:val="none"/>
        </w:rPr>
        <w:t>“</w:t>
      </w:r>
      <w:r>
        <w:rPr>
          <w:rFonts w:eastAsia="仿宋_GB2312"/>
          <w:spacing w:val="10"/>
          <w:sz w:val="32"/>
          <w:szCs w:val="32"/>
          <w:highlight w:val="none"/>
        </w:rPr>
        <w:t>以上</w:t>
      </w:r>
      <w:r>
        <w:rPr>
          <w:rFonts w:hint="eastAsia" w:eastAsia="仿宋_GB2312"/>
          <w:spacing w:val="10"/>
          <w:sz w:val="32"/>
          <w:szCs w:val="32"/>
          <w:highlight w:val="none"/>
        </w:rPr>
        <w:t>”、“</w:t>
      </w:r>
      <w:r>
        <w:rPr>
          <w:rFonts w:eastAsia="仿宋_GB2312"/>
          <w:spacing w:val="10"/>
          <w:sz w:val="32"/>
          <w:szCs w:val="32"/>
          <w:highlight w:val="none"/>
        </w:rPr>
        <w:t>不低于</w:t>
      </w:r>
      <w:r>
        <w:rPr>
          <w:rFonts w:hint="eastAsia" w:eastAsia="仿宋_GB2312"/>
          <w:spacing w:val="10"/>
          <w:sz w:val="32"/>
          <w:szCs w:val="32"/>
          <w:highlight w:val="none"/>
        </w:rPr>
        <w:t>”、“</w:t>
      </w:r>
      <w:r>
        <w:rPr>
          <w:rFonts w:eastAsia="仿宋_GB2312"/>
          <w:spacing w:val="10"/>
          <w:sz w:val="32"/>
          <w:szCs w:val="32"/>
          <w:highlight w:val="none"/>
        </w:rPr>
        <w:t>不超过</w:t>
      </w:r>
      <w:r>
        <w:rPr>
          <w:rFonts w:hint="eastAsia" w:eastAsia="仿宋_GB2312"/>
          <w:spacing w:val="10"/>
          <w:sz w:val="32"/>
          <w:szCs w:val="32"/>
          <w:highlight w:val="none"/>
        </w:rPr>
        <w:t>”、“</w:t>
      </w:r>
      <w:r>
        <w:rPr>
          <w:rFonts w:eastAsia="仿宋_GB2312"/>
          <w:spacing w:val="10"/>
          <w:sz w:val="32"/>
          <w:szCs w:val="32"/>
          <w:highlight w:val="none"/>
        </w:rPr>
        <w:t>以内</w:t>
      </w:r>
      <w:r>
        <w:rPr>
          <w:rFonts w:hint="eastAsia" w:eastAsia="仿宋_GB2312"/>
          <w:spacing w:val="10"/>
          <w:sz w:val="32"/>
          <w:szCs w:val="32"/>
          <w:highlight w:val="none"/>
        </w:rPr>
        <w:t>”</w:t>
      </w:r>
      <w:r>
        <w:rPr>
          <w:rFonts w:eastAsia="仿宋_GB2312"/>
          <w:spacing w:val="10"/>
          <w:sz w:val="32"/>
          <w:szCs w:val="32"/>
          <w:highlight w:val="none"/>
        </w:rPr>
        <w:t>等，如无特殊说明均包括本数。</w:t>
      </w:r>
    </w:p>
    <w:p>
      <w:pPr>
        <w:pStyle w:val="19"/>
        <w:keepNext w:val="0"/>
        <w:keepLines w:val="0"/>
        <w:pageBreakBefore w:val="0"/>
        <w:widowControl w:val="0"/>
        <w:kinsoku/>
        <w:wordWrap/>
        <w:overflowPunct/>
        <w:topLinePunct w:val="0"/>
        <w:bidi w:val="0"/>
        <w:spacing w:line="336" w:lineRule="auto"/>
        <w:ind w:firstLine="640" w:firstLineChars="200"/>
        <w:jc w:val="both"/>
        <w:rPr>
          <w:rFonts w:eastAsia="仿宋_GB2312"/>
          <w:spacing w:val="10"/>
          <w:sz w:val="32"/>
          <w:szCs w:val="32"/>
          <w:highlight w:val="none"/>
        </w:rPr>
      </w:pPr>
      <w:r>
        <w:rPr>
          <w:rFonts w:hint="eastAsia" w:ascii="黑体" w:hAnsi="黑体" w:eastAsia="黑体" w:cs="黑体"/>
          <w:sz w:val="32"/>
          <w:szCs w:val="32"/>
          <w:highlight w:val="none"/>
          <w:lang w:val="en-US" w:eastAsia="zh-CN"/>
        </w:rPr>
        <w:t xml:space="preserve">第二十四条 </w:t>
      </w:r>
      <w:r>
        <w:rPr>
          <w:rFonts w:eastAsia="仿宋_GB2312"/>
          <w:spacing w:val="10"/>
          <w:sz w:val="32"/>
          <w:szCs w:val="32"/>
          <w:highlight w:val="none"/>
        </w:rPr>
        <w:t>本规划中按照年、月、日计算期间的，开始的当日不计入，自下一日开始计算</w:t>
      </w:r>
      <w:r>
        <w:rPr>
          <w:rFonts w:hint="eastAsia" w:eastAsia="仿宋_GB2312"/>
          <w:spacing w:val="10"/>
          <w:sz w:val="32"/>
          <w:szCs w:val="32"/>
          <w:highlight w:val="none"/>
        </w:rPr>
        <w:t>，</w:t>
      </w:r>
      <w:r>
        <w:rPr>
          <w:rFonts w:eastAsia="仿宋_GB2312"/>
          <w:spacing w:val="10"/>
          <w:sz w:val="32"/>
          <w:szCs w:val="32"/>
          <w:highlight w:val="none"/>
        </w:rPr>
        <w:t>均以工作日计算，不含法定节假日。</w:t>
      </w:r>
    </w:p>
    <w:p>
      <w:pPr>
        <w:pStyle w:val="19"/>
        <w:keepNext w:val="0"/>
        <w:keepLines w:val="0"/>
        <w:pageBreakBefore w:val="0"/>
        <w:widowControl w:val="0"/>
        <w:kinsoku/>
        <w:wordWrap/>
        <w:overflowPunct/>
        <w:topLinePunct w:val="0"/>
        <w:bidi w:val="0"/>
        <w:spacing w:line="336" w:lineRule="auto"/>
        <w:ind w:firstLine="640" w:firstLineChars="200"/>
        <w:jc w:val="both"/>
        <w:rPr>
          <w:rFonts w:hint="eastAsia" w:eastAsia="仿宋_GB2312"/>
          <w:spacing w:val="10"/>
          <w:sz w:val="32"/>
          <w:szCs w:val="32"/>
          <w:highlight w:val="none"/>
          <w:lang w:eastAsia="zh-CN"/>
        </w:rPr>
      </w:pPr>
      <w:r>
        <w:rPr>
          <w:rFonts w:hint="eastAsia" w:ascii="黑体" w:hAnsi="黑体" w:eastAsia="黑体" w:cs="黑体"/>
          <w:sz w:val="32"/>
          <w:szCs w:val="32"/>
          <w:highlight w:val="none"/>
          <w:lang w:val="en-US" w:eastAsia="zh-CN"/>
        </w:rPr>
        <w:t xml:space="preserve">第二十三条 </w:t>
      </w:r>
      <w:r>
        <w:rPr>
          <w:rFonts w:eastAsia="仿宋_GB2312"/>
          <w:spacing w:val="10"/>
          <w:sz w:val="32"/>
          <w:szCs w:val="32"/>
          <w:highlight w:val="none"/>
        </w:rPr>
        <w:t>本规划由云南省</w:t>
      </w:r>
      <w:r>
        <w:rPr>
          <w:rFonts w:hint="eastAsia" w:eastAsia="仿宋_GB2312"/>
          <w:spacing w:val="10"/>
          <w:sz w:val="32"/>
          <w:szCs w:val="32"/>
          <w:highlight w:val="none"/>
          <w:lang w:val="en-US" w:eastAsia="zh-CN"/>
        </w:rPr>
        <w:t>昆明市官渡区</w:t>
      </w:r>
      <w:r>
        <w:rPr>
          <w:rFonts w:eastAsia="仿宋_GB2312"/>
          <w:spacing w:val="10"/>
          <w:sz w:val="32"/>
          <w:szCs w:val="32"/>
          <w:highlight w:val="none"/>
        </w:rPr>
        <w:t>烟草专卖局负责解释</w:t>
      </w:r>
      <w:r>
        <w:rPr>
          <w:rFonts w:hint="eastAsia" w:eastAsia="仿宋_GB2312"/>
          <w:spacing w:val="10"/>
          <w:sz w:val="32"/>
          <w:szCs w:val="32"/>
          <w:highlight w:val="none"/>
          <w:lang w:eastAsia="zh-CN"/>
        </w:rPr>
        <w:t>。</w:t>
      </w:r>
    </w:p>
    <w:p>
      <w:pPr>
        <w:pStyle w:val="19"/>
        <w:keepNext w:val="0"/>
        <w:keepLines w:val="0"/>
        <w:pageBreakBefore w:val="0"/>
        <w:widowControl w:val="0"/>
        <w:kinsoku/>
        <w:wordWrap/>
        <w:overflowPunct/>
        <w:topLinePunct w:val="0"/>
        <w:bidi w:val="0"/>
        <w:spacing w:line="336" w:lineRule="auto"/>
        <w:ind w:firstLine="640" w:firstLineChars="200"/>
        <w:jc w:val="both"/>
        <w:rPr>
          <w:rFonts w:eastAsia="仿宋_GB2312"/>
          <w:spacing w:val="10"/>
          <w:sz w:val="32"/>
          <w:szCs w:val="32"/>
        </w:rPr>
      </w:pPr>
      <w:r>
        <w:rPr>
          <w:rFonts w:hint="eastAsia" w:ascii="黑体" w:hAnsi="黑体" w:eastAsia="黑体" w:cs="黑体"/>
          <w:sz w:val="32"/>
          <w:szCs w:val="32"/>
          <w:highlight w:val="none"/>
          <w:lang w:val="en-US" w:eastAsia="zh-CN"/>
        </w:rPr>
        <w:t xml:space="preserve">第二十四条 </w:t>
      </w:r>
      <w:r>
        <w:rPr>
          <w:rFonts w:eastAsia="仿宋_GB2312"/>
          <w:spacing w:val="10"/>
          <w:sz w:val="32"/>
          <w:szCs w:val="32"/>
          <w:highlight w:val="none"/>
        </w:rPr>
        <w:t>本规划</w:t>
      </w:r>
      <w:r>
        <w:rPr>
          <w:rFonts w:eastAsia="仿宋_GB2312"/>
          <w:spacing w:val="10"/>
          <w:sz w:val="32"/>
          <w:szCs w:val="32"/>
        </w:rPr>
        <w:t>于公布之日</w:t>
      </w:r>
      <w:r>
        <w:rPr>
          <w:rFonts w:eastAsia="仿宋_GB2312"/>
          <w:color w:val="auto"/>
          <w:spacing w:val="10"/>
          <w:sz w:val="32"/>
          <w:szCs w:val="32"/>
        </w:rPr>
        <w:t>起施行</w:t>
      </w:r>
      <w:r>
        <w:rPr>
          <w:rFonts w:eastAsia="仿宋_GB2312"/>
          <w:spacing w:val="10"/>
          <w:sz w:val="32"/>
          <w:szCs w:val="32"/>
        </w:rPr>
        <w:t>。202</w:t>
      </w:r>
      <w:r>
        <w:rPr>
          <w:rFonts w:hint="eastAsia" w:eastAsia="仿宋_GB2312"/>
          <w:spacing w:val="10"/>
          <w:sz w:val="32"/>
          <w:szCs w:val="32"/>
          <w:lang w:val="en-US" w:eastAsia="zh-CN"/>
        </w:rPr>
        <w:t>1</w:t>
      </w:r>
      <w:r>
        <w:rPr>
          <w:rFonts w:eastAsia="仿宋_GB2312"/>
          <w:spacing w:val="10"/>
          <w:sz w:val="32"/>
          <w:szCs w:val="32"/>
        </w:rPr>
        <w:t>年</w:t>
      </w:r>
      <w:r>
        <w:rPr>
          <w:rFonts w:hint="eastAsia" w:eastAsia="仿宋_GB2312"/>
          <w:spacing w:val="10"/>
          <w:sz w:val="32"/>
          <w:szCs w:val="32"/>
          <w:lang w:val="en-US" w:eastAsia="zh-CN"/>
        </w:rPr>
        <w:t>9</w:t>
      </w:r>
      <w:r>
        <w:rPr>
          <w:rFonts w:eastAsia="仿宋_GB2312"/>
          <w:spacing w:val="10"/>
          <w:sz w:val="32"/>
          <w:szCs w:val="32"/>
        </w:rPr>
        <w:t>月</w:t>
      </w:r>
      <w:r>
        <w:rPr>
          <w:rFonts w:hint="eastAsia" w:eastAsia="仿宋_GB2312"/>
          <w:spacing w:val="10"/>
          <w:sz w:val="32"/>
          <w:szCs w:val="32"/>
          <w:lang w:val="en-US" w:eastAsia="zh-CN"/>
        </w:rPr>
        <w:t>18</w:t>
      </w:r>
      <w:r>
        <w:rPr>
          <w:rFonts w:eastAsia="仿宋_GB2312"/>
          <w:spacing w:val="10"/>
          <w:sz w:val="32"/>
          <w:szCs w:val="32"/>
        </w:rPr>
        <w:t>日起实施的《</w:t>
      </w:r>
      <w:r>
        <w:rPr>
          <w:rFonts w:hint="eastAsia" w:eastAsia="仿宋_GB2312"/>
          <w:spacing w:val="10"/>
          <w:sz w:val="32"/>
          <w:szCs w:val="32"/>
          <w:lang w:val="en-US" w:eastAsia="zh-CN"/>
        </w:rPr>
        <w:t>云南省昆明市官渡区烟草专卖局关于印发官渡区烟草专卖局烟草制品零售点合理布局规划的通知</w:t>
      </w:r>
      <w:r>
        <w:rPr>
          <w:rFonts w:eastAsia="仿宋_GB2312"/>
          <w:spacing w:val="10"/>
          <w:sz w:val="32"/>
          <w:szCs w:val="32"/>
        </w:rPr>
        <w:t>》（</w:t>
      </w:r>
      <w:r>
        <w:rPr>
          <w:rFonts w:hint="eastAsia" w:eastAsia="仿宋_GB2312"/>
          <w:spacing w:val="10"/>
          <w:sz w:val="32"/>
          <w:szCs w:val="32"/>
          <w:lang w:val="en-US" w:eastAsia="zh-CN"/>
        </w:rPr>
        <w:t>官</w:t>
      </w:r>
      <w:r>
        <w:rPr>
          <w:rFonts w:eastAsia="仿宋_GB2312"/>
          <w:spacing w:val="10"/>
          <w:sz w:val="32"/>
          <w:szCs w:val="32"/>
        </w:rPr>
        <w:t>烟</w:t>
      </w:r>
      <w:r>
        <w:rPr>
          <w:rFonts w:hint="eastAsia" w:eastAsia="仿宋_GB2312"/>
          <w:spacing w:val="10"/>
          <w:sz w:val="32"/>
          <w:szCs w:val="32"/>
          <w:lang w:val="en-US" w:eastAsia="zh-CN"/>
        </w:rPr>
        <w:t>局</w:t>
      </w:r>
      <w:r>
        <w:rPr>
          <w:rFonts w:eastAsia="仿宋_GB2312"/>
          <w:spacing w:val="10"/>
          <w:sz w:val="32"/>
          <w:szCs w:val="32"/>
        </w:rPr>
        <w:t>〔202</w:t>
      </w:r>
      <w:r>
        <w:rPr>
          <w:rFonts w:hint="eastAsia" w:eastAsia="仿宋_GB2312"/>
          <w:spacing w:val="10"/>
          <w:sz w:val="32"/>
          <w:szCs w:val="32"/>
          <w:lang w:val="en-US" w:eastAsia="zh-CN"/>
        </w:rPr>
        <w:t>1</w:t>
      </w:r>
      <w:r>
        <w:rPr>
          <w:rFonts w:eastAsia="仿宋_GB2312"/>
          <w:spacing w:val="10"/>
          <w:sz w:val="32"/>
          <w:szCs w:val="32"/>
        </w:rPr>
        <w:t>〕</w:t>
      </w:r>
      <w:r>
        <w:rPr>
          <w:rFonts w:hint="eastAsia" w:eastAsia="仿宋_GB2312"/>
          <w:spacing w:val="10"/>
          <w:sz w:val="32"/>
          <w:szCs w:val="32"/>
          <w:lang w:val="en-US" w:eastAsia="zh-CN"/>
        </w:rPr>
        <w:t>5</w:t>
      </w:r>
      <w:r>
        <w:rPr>
          <w:rFonts w:eastAsia="仿宋_GB2312"/>
          <w:spacing w:val="10"/>
          <w:sz w:val="32"/>
          <w:szCs w:val="32"/>
        </w:rPr>
        <w:t>号）同时废止。</w:t>
      </w:r>
    </w:p>
    <w:p>
      <w:pPr>
        <w:pStyle w:val="19"/>
        <w:keepNext w:val="0"/>
        <w:keepLines w:val="0"/>
        <w:pageBreakBefore w:val="0"/>
        <w:widowControl w:val="0"/>
        <w:kinsoku/>
        <w:wordWrap/>
        <w:overflowPunct/>
        <w:topLinePunct w:val="0"/>
        <w:bidi w:val="0"/>
        <w:spacing w:line="336" w:lineRule="auto"/>
        <w:ind w:firstLine="680" w:firstLineChars="200"/>
        <w:jc w:val="both"/>
        <w:rPr>
          <w:rFonts w:eastAsia="仿宋_GB2312"/>
          <w:spacing w:val="10"/>
          <w:sz w:val="32"/>
          <w:szCs w:val="32"/>
        </w:rPr>
      </w:pPr>
    </w:p>
    <w:p>
      <w:pPr>
        <w:keepNext w:val="0"/>
        <w:keepLines w:val="0"/>
        <w:pageBreakBefore w:val="0"/>
        <w:widowControl w:val="0"/>
        <w:kinsoku/>
        <w:wordWrap/>
        <w:overflowPunct/>
        <w:topLinePunct w:val="0"/>
        <w:autoSpaceDE/>
        <w:autoSpaceDN/>
        <w:bidi w:val="0"/>
        <w:adjustRightInd/>
        <w:snapToGrid w:val="0"/>
        <w:spacing w:line="336" w:lineRule="auto"/>
        <w:ind w:firstLine="640" w:firstLineChars="200"/>
        <w:textAlignment w:val="baseline"/>
        <w:rPr>
          <w:rFonts w:eastAsia="仿宋_GB2312"/>
          <w:sz w:val="32"/>
          <w:szCs w:val="32"/>
        </w:rPr>
      </w:pPr>
      <w:r>
        <w:rPr>
          <w:rFonts w:eastAsia="仿宋_GB2312"/>
          <w:sz w:val="32"/>
          <w:szCs w:val="32"/>
        </w:rPr>
        <w:t>附件1：云南省</w:t>
      </w:r>
      <w:r>
        <w:rPr>
          <w:rFonts w:hint="eastAsia" w:eastAsia="仿宋_GB2312"/>
          <w:sz w:val="32"/>
          <w:szCs w:val="32"/>
          <w:lang w:val="en-US" w:eastAsia="zh-CN"/>
        </w:rPr>
        <w:t>昆明市官渡区烟草专卖局</w:t>
      </w:r>
      <w:r>
        <w:rPr>
          <w:rFonts w:eastAsia="仿宋_GB2312"/>
          <w:sz w:val="32"/>
          <w:szCs w:val="32"/>
        </w:rPr>
        <w:t>烟草制品零售点间距测量规则及标准</w:t>
      </w:r>
    </w:p>
    <w:p>
      <w:pPr>
        <w:keepNext w:val="0"/>
        <w:keepLines w:val="0"/>
        <w:pageBreakBefore w:val="0"/>
        <w:widowControl w:val="0"/>
        <w:kinsoku/>
        <w:wordWrap/>
        <w:overflowPunct/>
        <w:topLinePunct w:val="0"/>
        <w:autoSpaceDE/>
        <w:autoSpaceDN/>
        <w:bidi w:val="0"/>
        <w:adjustRightInd/>
        <w:snapToGrid w:val="0"/>
        <w:spacing w:line="336" w:lineRule="auto"/>
        <w:ind w:firstLine="640" w:firstLineChars="200"/>
        <w:textAlignment w:val="baseline"/>
        <w:rPr>
          <w:rFonts w:hint="eastAsia" w:eastAsia="仿宋_GB2312"/>
          <w:sz w:val="32"/>
          <w:szCs w:val="32"/>
        </w:rPr>
      </w:pPr>
      <w:r>
        <w:rPr>
          <w:rFonts w:eastAsia="仿宋_GB2312"/>
          <w:sz w:val="32"/>
          <w:szCs w:val="32"/>
        </w:rPr>
        <w:t>附件2：</w:t>
      </w:r>
      <w:r>
        <w:rPr>
          <w:rFonts w:hint="eastAsia" w:eastAsia="仿宋_GB2312"/>
          <w:sz w:val="32"/>
          <w:szCs w:val="32"/>
        </w:rPr>
        <w:t>云南省昆明市官渡区烟草专卖局烟草制品单元网格零售点合理布局公示表</w:t>
      </w:r>
    </w:p>
    <w:p>
      <w:pPr>
        <w:keepNext w:val="0"/>
        <w:keepLines w:val="0"/>
        <w:pageBreakBefore w:val="0"/>
        <w:widowControl w:val="0"/>
        <w:kinsoku/>
        <w:wordWrap/>
        <w:overflowPunct/>
        <w:topLinePunct w:val="0"/>
        <w:autoSpaceDE/>
        <w:autoSpaceDN/>
        <w:bidi w:val="0"/>
        <w:adjustRightInd/>
        <w:snapToGrid w:val="0"/>
        <w:spacing w:line="336" w:lineRule="auto"/>
        <w:ind w:firstLine="640" w:firstLineChars="200"/>
        <w:textAlignment w:val="baseline"/>
        <w:rPr>
          <w:rFonts w:eastAsia="仿宋_GB2312"/>
          <w:sz w:val="32"/>
          <w:szCs w:val="32"/>
        </w:rPr>
      </w:pPr>
      <w:r>
        <w:rPr>
          <w:rFonts w:eastAsia="仿宋_GB2312"/>
          <w:sz w:val="32"/>
          <w:szCs w:val="32"/>
        </w:rPr>
        <w:t>附件3：</w:t>
      </w:r>
      <w:r>
        <w:rPr>
          <w:rFonts w:hint="eastAsia" w:ascii="仿宋_GB2312" w:hAnsi="仿宋_GB2312" w:eastAsia="仿宋_GB2312" w:cs="仿宋_GB2312"/>
          <w:sz w:val="32"/>
          <w:szCs w:val="32"/>
          <w:lang w:val="en-US" w:eastAsia="zh-CN"/>
        </w:rPr>
        <w:t>云南省昆明市官渡区烟草专卖局烟草专卖局特殊区域零售点合理布局公示表</w:t>
      </w:r>
    </w:p>
    <w:p>
      <w:pPr>
        <w:keepNext w:val="0"/>
        <w:keepLines w:val="0"/>
        <w:pageBreakBefore w:val="0"/>
        <w:widowControl w:val="0"/>
        <w:kinsoku/>
        <w:wordWrap/>
        <w:overflowPunct/>
        <w:topLinePunct w:val="0"/>
        <w:autoSpaceDE/>
        <w:autoSpaceDN/>
        <w:bidi w:val="0"/>
        <w:adjustRightInd/>
        <w:snapToGrid w:val="0"/>
        <w:spacing w:line="336" w:lineRule="auto"/>
        <w:ind w:firstLine="640" w:firstLineChars="200"/>
        <w:textAlignment w:val="baseline"/>
        <w:rPr>
          <w:rFonts w:eastAsia="仿宋_GB2312"/>
          <w:sz w:val="32"/>
          <w:szCs w:val="32"/>
        </w:rPr>
      </w:pPr>
      <w:r>
        <w:rPr>
          <w:rFonts w:eastAsia="仿宋_GB2312"/>
          <w:sz w:val="32"/>
          <w:szCs w:val="32"/>
        </w:rPr>
        <w:t>附件</w:t>
      </w:r>
      <w:r>
        <w:rPr>
          <w:rFonts w:hint="eastAsia" w:eastAsia="仿宋_GB2312"/>
          <w:sz w:val="32"/>
          <w:szCs w:val="32"/>
          <w:lang w:val="en-US" w:eastAsia="zh-CN"/>
        </w:rPr>
        <w:t>4</w:t>
      </w:r>
      <w:r>
        <w:rPr>
          <w:rFonts w:eastAsia="仿宋_GB2312"/>
          <w:sz w:val="32"/>
          <w:szCs w:val="32"/>
        </w:rPr>
        <w:t>：云南省</w:t>
      </w:r>
      <w:r>
        <w:rPr>
          <w:rFonts w:hint="eastAsia" w:ascii="仿宋_GB2312" w:hAnsi="仿宋_GB2312" w:eastAsia="仿宋_GB2312" w:cs="仿宋_GB2312"/>
          <w:sz w:val="32"/>
          <w:szCs w:val="32"/>
          <w:lang w:val="en-US" w:eastAsia="zh-CN"/>
        </w:rPr>
        <w:t>昆明市官渡区烟草专卖局</w:t>
      </w:r>
      <w:r>
        <w:rPr>
          <w:rFonts w:hint="eastAsia" w:eastAsia="仿宋_GB2312"/>
          <w:sz w:val="32"/>
          <w:szCs w:val="32"/>
        </w:rPr>
        <w:t>烟草制品零售点不予发放烟草专卖零售许可证的情形</w:t>
      </w:r>
    </w:p>
    <w:p>
      <w:pPr>
        <w:keepNext w:val="0"/>
        <w:keepLines w:val="0"/>
        <w:pageBreakBefore w:val="0"/>
        <w:widowControl w:val="0"/>
        <w:kinsoku/>
        <w:wordWrap/>
        <w:overflowPunct/>
        <w:topLinePunct w:val="0"/>
        <w:autoSpaceDE/>
        <w:autoSpaceDN/>
        <w:bidi w:val="0"/>
        <w:adjustRightInd/>
        <w:snapToGrid w:val="0"/>
        <w:spacing w:line="336" w:lineRule="auto"/>
        <w:ind w:firstLine="640" w:firstLineChars="200"/>
        <w:textAlignment w:val="baseline"/>
        <w:rPr>
          <w:rFonts w:eastAsia="仿宋_GB2312"/>
          <w:sz w:val="32"/>
          <w:szCs w:val="32"/>
        </w:rPr>
      </w:pPr>
      <w:r>
        <w:rPr>
          <w:rFonts w:eastAsia="仿宋_GB2312"/>
          <w:sz w:val="32"/>
          <w:szCs w:val="32"/>
        </w:rPr>
        <w:t>附件</w:t>
      </w:r>
      <w:r>
        <w:rPr>
          <w:rFonts w:hint="eastAsia" w:eastAsia="仿宋_GB2312"/>
          <w:sz w:val="32"/>
          <w:szCs w:val="32"/>
          <w:lang w:val="en-US" w:eastAsia="zh-CN"/>
        </w:rPr>
        <w:t>5</w:t>
      </w:r>
      <w:r>
        <w:rPr>
          <w:rFonts w:eastAsia="仿宋_GB2312"/>
          <w:sz w:val="32"/>
          <w:szCs w:val="32"/>
        </w:rPr>
        <w:t>：</w:t>
      </w:r>
      <w:r>
        <w:rPr>
          <w:rFonts w:hint="eastAsia" w:ascii="仿宋_GB2312" w:hAnsi="仿宋_GB2312" w:eastAsia="仿宋_GB2312" w:cs="仿宋_GB2312"/>
          <w:sz w:val="32"/>
          <w:szCs w:val="32"/>
          <w:lang w:val="en-US" w:eastAsia="zh-CN"/>
        </w:rPr>
        <w:t>云南省昆明市官渡区烟草专卖局雪茄烟专营店零售点合理布局公示表</w:t>
      </w:r>
    </w:p>
    <w:p>
      <w:pPr>
        <w:keepNext w:val="0"/>
        <w:keepLines w:val="0"/>
        <w:pageBreakBefore w:val="0"/>
        <w:widowControl w:val="0"/>
        <w:kinsoku/>
        <w:wordWrap/>
        <w:overflowPunct/>
        <w:topLinePunct w:val="0"/>
        <w:autoSpaceDE/>
        <w:autoSpaceDN/>
        <w:bidi w:val="0"/>
        <w:adjustRightInd/>
        <w:snapToGrid w:val="0"/>
        <w:spacing w:line="336" w:lineRule="auto"/>
        <w:ind w:firstLine="640" w:firstLineChars="200"/>
        <w:textAlignment w:val="baseline"/>
        <w:rPr>
          <w:rFonts w:hint="eastAsia" w:eastAsia="仿宋_GB2312"/>
          <w:sz w:val="32"/>
          <w:szCs w:val="32"/>
        </w:rPr>
      </w:pPr>
      <w:r>
        <w:rPr>
          <w:rFonts w:eastAsia="仿宋_GB2312"/>
          <w:sz w:val="32"/>
          <w:szCs w:val="32"/>
        </w:rPr>
        <w:t>附件6：</w:t>
      </w:r>
      <w:r>
        <w:rPr>
          <w:rFonts w:hint="eastAsia" w:eastAsia="仿宋_GB2312"/>
          <w:sz w:val="32"/>
          <w:szCs w:val="32"/>
        </w:rPr>
        <w:t>云南省昆明市官渡区烟草专卖局烟草制品零售点集中摇号制度</w:t>
      </w:r>
    </w:p>
    <w:p>
      <w:pPr>
        <w:keepNext w:val="0"/>
        <w:keepLines w:val="0"/>
        <w:pageBreakBefore w:val="0"/>
        <w:widowControl w:val="0"/>
        <w:kinsoku/>
        <w:wordWrap/>
        <w:overflowPunct/>
        <w:topLinePunct w:val="0"/>
        <w:autoSpaceDE/>
        <w:autoSpaceDN/>
        <w:bidi w:val="0"/>
        <w:adjustRightInd/>
        <w:snapToGrid w:val="0"/>
        <w:spacing w:line="336" w:lineRule="auto"/>
        <w:ind w:firstLine="640" w:firstLineChars="200"/>
        <w:textAlignment w:val="baseline"/>
        <w:rPr>
          <w:rFonts w:hint="eastAsia" w:eastAsia="仿宋_GB2312"/>
          <w:sz w:val="32"/>
          <w:szCs w:val="32"/>
        </w:rPr>
      </w:pPr>
      <w:r>
        <w:rPr>
          <w:rFonts w:hint="eastAsia" w:eastAsia="仿宋_GB2312"/>
          <w:sz w:val="32"/>
          <w:szCs w:val="32"/>
        </w:rPr>
        <w:t>附件7：云南省昆明市官渡区烟草专卖局烟草制品零售点排队轮候制度</w:t>
      </w:r>
    </w:p>
    <w:p>
      <w:pPr>
        <w:keepNext w:val="0"/>
        <w:keepLines w:val="0"/>
        <w:pageBreakBefore w:val="0"/>
        <w:widowControl w:val="0"/>
        <w:kinsoku/>
        <w:wordWrap/>
        <w:overflowPunct/>
        <w:topLinePunct w:val="0"/>
        <w:autoSpaceDE/>
        <w:autoSpaceDN/>
        <w:bidi w:val="0"/>
        <w:adjustRightInd/>
        <w:snapToGrid w:val="0"/>
        <w:spacing w:line="336" w:lineRule="auto"/>
        <w:ind w:firstLine="640" w:firstLineChars="200"/>
        <w:textAlignment w:val="baseline"/>
        <w:rPr>
          <w:rFonts w:hint="eastAsia" w:eastAsia="仿宋_GB2312"/>
          <w:sz w:val="32"/>
          <w:szCs w:val="32"/>
          <w:lang w:val="en-US" w:eastAsia="zh-CN"/>
        </w:rPr>
      </w:pPr>
      <w:r>
        <w:rPr>
          <w:rFonts w:hint="eastAsia" w:eastAsia="仿宋_GB2312"/>
          <w:sz w:val="32"/>
          <w:szCs w:val="32"/>
          <w:lang w:val="en-US" w:eastAsia="zh-CN"/>
        </w:rPr>
        <w:t>附件8：云南省昆明市官渡区烟草专卖局烟草制品零售点合理布局规划数动态调整管理制度</w:t>
      </w:r>
    </w:p>
    <w:p>
      <w:pPr>
        <w:pStyle w:val="19"/>
        <w:rPr>
          <w:rFonts w:hint="eastAsia" w:eastAsia="仿宋_GB2312"/>
          <w:sz w:val="32"/>
          <w:szCs w:val="32"/>
          <w:lang w:val="en-US" w:eastAsia="zh-CN"/>
        </w:rPr>
      </w:pPr>
    </w:p>
    <w:p>
      <w:pPr>
        <w:pStyle w:val="19"/>
        <w:rPr>
          <w:rFonts w:hint="eastAsia" w:eastAsia="仿宋_GB2312"/>
          <w:sz w:val="32"/>
          <w:szCs w:val="32"/>
          <w:lang w:val="en-US" w:eastAsia="zh-CN"/>
        </w:rPr>
      </w:pPr>
    </w:p>
    <w:p>
      <w:pPr>
        <w:pStyle w:val="19"/>
        <w:rPr>
          <w:rFonts w:hint="eastAsia" w:eastAsia="仿宋_GB2312"/>
          <w:sz w:val="32"/>
          <w:szCs w:val="32"/>
          <w:lang w:val="en-US" w:eastAsia="zh-CN"/>
        </w:rPr>
      </w:pPr>
    </w:p>
    <w:p>
      <w:pPr>
        <w:pStyle w:val="19"/>
        <w:jc w:val="center"/>
        <w:rPr>
          <w:rFonts w:hint="eastAsia" w:eastAsia="仿宋_GB2312"/>
          <w:sz w:val="32"/>
          <w:szCs w:val="32"/>
          <w:lang w:val="en-US" w:eastAsia="zh-CN"/>
        </w:rPr>
      </w:pPr>
      <w:r>
        <w:rPr>
          <w:rFonts w:hint="eastAsia" w:eastAsia="仿宋_GB2312"/>
          <w:sz w:val="32"/>
          <w:szCs w:val="32"/>
          <w:lang w:val="en-US" w:eastAsia="zh-CN"/>
        </w:rPr>
        <w:t>云南省昆明市官渡区烟草专卖局</w:t>
      </w:r>
    </w:p>
    <w:p>
      <w:pPr>
        <w:pStyle w:val="19"/>
        <w:jc w:val="center"/>
        <w:rPr>
          <w:rFonts w:hint="eastAsia" w:eastAsia="仿宋_GB2312"/>
          <w:sz w:val="32"/>
          <w:szCs w:val="32"/>
          <w:lang w:val="en-US" w:eastAsia="zh-CN"/>
        </w:rPr>
      </w:pPr>
      <w:r>
        <w:rPr>
          <w:rFonts w:hint="eastAsia" w:eastAsia="仿宋_GB2312"/>
          <w:sz w:val="32"/>
          <w:szCs w:val="32"/>
          <w:lang w:val="en-US" w:eastAsia="zh-CN"/>
        </w:rPr>
        <w:t>2024年XX月XX日</w:t>
      </w:r>
    </w:p>
    <w:p>
      <w:pPr>
        <w:pStyle w:val="19"/>
        <w:jc w:val="center"/>
        <w:rPr>
          <w:rFonts w:hint="eastAsia" w:eastAsia="仿宋_GB2312"/>
          <w:sz w:val="32"/>
          <w:szCs w:val="32"/>
          <w:lang w:val="en-US" w:eastAsia="zh-CN"/>
        </w:rPr>
      </w:pPr>
    </w:p>
    <w:p>
      <w:pPr>
        <w:pStyle w:val="19"/>
        <w:jc w:val="both"/>
        <w:rPr>
          <w:rFonts w:hint="eastAsia" w:eastAsia="仿宋_GB2312"/>
          <w:sz w:val="32"/>
          <w:szCs w:val="32"/>
          <w:lang w:val="en-US" w:eastAsia="zh-CN"/>
        </w:rPr>
      </w:pPr>
    </w:p>
    <w:p>
      <w:pPr>
        <w:spacing w:before="104" w:line="224" w:lineRule="auto"/>
        <w:rPr>
          <w:rFonts w:ascii="黑体" w:hAnsi="黑体" w:eastAsia="黑体" w:cs="黑体"/>
          <w:spacing w:val="8"/>
          <w:sz w:val="32"/>
          <w:szCs w:val="32"/>
        </w:rPr>
      </w:pPr>
      <w:r>
        <w:rPr>
          <w:rFonts w:hint="eastAsia" w:ascii="黑体" w:hAnsi="黑体" w:eastAsia="黑体" w:cs="黑体"/>
          <w:spacing w:val="8"/>
          <w:sz w:val="32"/>
          <w:szCs w:val="32"/>
        </w:rPr>
        <w:t>附件1</w:t>
      </w:r>
    </w:p>
    <w:p>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w:t>
      </w:r>
      <w:r>
        <w:rPr>
          <w:rFonts w:hint="eastAsia" w:ascii="方正小标宋简体" w:eastAsia="方正小标宋简体"/>
          <w:sz w:val="44"/>
          <w:szCs w:val="44"/>
          <w:lang w:val="en-US" w:eastAsia="zh-CN"/>
        </w:rPr>
        <w:t>昆明市官渡区烟草专卖局</w:t>
      </w:r>
      <w:r>
        <w:rPr>
          <w:rFonts w:hint="eastAsia" w:ascii="方正小标宋简体" w:eastAsia="方正小标宋简体"/>
          <w:sz w:val="44"/>
          <w:szCs w:val="44"/>
        </w:rPr>
        <w:t>烟草制品零售点间距测量规则及标准</w:t>
      </w:r>
    </w:p>
    <w:p/>
    <w:p>
      <w:pPr>
        <w:widowControl/>
        <w:tabs>
          <w:tab w:val="left" w:pos="2723"/>
        </w:tabs>
        <w:spacing w:before="86" w:line="360" w:lineRule="auto"/>
        <w:ind w:firstLine="680" w:firstLineChars="200"/>
        <w:jc w:val="left"/>
        <w:rPr>
          <w:rFonts w:ascii="仿宋_GB2312" w:hAnsi="仿宋_GB2312" w:eastAsia="仿宋_GB2312" w:cs="仿宋_GB2312"/>
          <w:spacing w:val="10"/>
          <w:sz w:val="32"/>
          <w:szCs w:val="32"/>
          <w:highlight w:val="none"/>
        </w:rPr>
      </w:pPr>
      <w:r>
        <w:rPr>
          <w:rFonts w:hint="eastAsia" w:ascii="仿宋_GB2312" w:hAnsi="仿宋_GB2312" w:eastAsia="仿宋_GB2312" w:cs="仿宋_GB2312"/>
          <w:spacing w:val="10"/>
          <w:sz w:val="32"/>
          <w:szCs w:val="32"/>
          <w:highlight w:val="none"/>
        </w:rPr>
        <w:t>根据</w:t>
      </w:r>
      <w:r>
        <w:rPr>
          <w:rFonts w:hint="eastAsia" w:ascii="仿宋_GB2312" w:hAnsi="仿宋_GB2312" w:eastAsia="仿宋_GB2312" w:cs="仿宋_GB2312"/>
          <w:spacing w:val="10"/>
          <w:sz w:val="32"/>
          <w:szCs w:val="32"/>
          <w:highlight w:val="none"/>
          <w:lang w:val="en-US" w:eastAsia="zh-CN"/>
        </w:rPr>
        <w:t>官渡</w:t>
      </w:r>
      <w:r>
        <w:rPr>
          <w:rFonts w:hint="eastAsia" w:ascii="仿宋_GB2312" w:hAnsi="仿宋_GB2312" w:eastAsia="仿宋_GB2312" w:cs="仿宋_GB2312"/>
          <w:spacing w:val="10"/>
          <w:sz w:val="32"/>
          <w:szCs w:val="32"/>
          <w:highlight w:val="none"/>
        </w:rPr>
        <w:t>辖区实际情况，现明确《云南省</w:t>
      </w:r>
      <w:r>
        <w:rPr>
          <w:rFonts w:hint="eastAsia" w:ascii="仿宋_GB2312" w:hAnsi="仿宋_GB2312" w:eastAsia="仿宋_GB2312" w:cs="仿宋_GB2312"/>
          <w:spacing w:val="10"/>
          <w:sz w:val="32"/>
          <w:szCs w:val="32"/>
          <w:highlight w:val="none"/>
          <w:lang w:val="en-US" w:eastAsia="zh-CN"/>
        </w:rPr>
        <w:t>昆明市官渡区烟草专卖局</w:t>
      </w:r>
      <w:r>
        <w:rPr>
          <w:rFonts w:hint="eastAsia" w:ascii="仿宋_GB2312" w:hAnsi="仿宋_GB2312" w:eastAsia="仿宋_GB2312" w:cs="仿宋_GB2312"/>
          <w:spacing w:val="10"/>
          <w:sz w:val="32"/>
          <w:szCs w:val="32"/>
          <w:highlight w:val="none"/>
        </w:rPr>
        <w:t>烟草制品零售点合理布局规划》第</w:t>
      </w:r>
      <w:r>
        <w:rPr>
          <w:rFonts w:hint="eastAsia" w:ascii="仿宋_GB2312" w:hAnsi="仿宋_GB2312" w:eastAsia="仿宋_GB2312" w:cs="仿宋_GB2312"/>
          <w:spacing w:val="10"/>
          <w:sz w:val="32"/>
          <w:szCs w:val="32"/>
          <w:highlight w:val="none"/>
          <w:lang w:val="en-US" w:eastAsia="zh-CN"/>
        </w:rPr>
        <w:t>八</w:t>
      </w:r>
      <w:r>
        <w:rPr>
          <w:rFonts w:hint="eastAsia" w:ascii="仿宋_GB2312" w:hAnsi="仿宋_GB2312" w:eastAsia="仿宋_GB2312" w:cs="仿宋_GB2312"/>
          <w:spacing w:val="10"/>
          <w:sz w:val="32"/>
          <w:szCs w:val="32"/>
          <w:highlight w:val="none"/>
        </w:rPr>
        <w:t>条中有关的“零售点间距”测量规则及标准如下：</w:t>
      </w:r>
    </w:p>
    <w:p>
      <w:pPr>
        <w:keepNext w:val="0"/>
        <w:keepLines w:val="0"/>
        <w:pageBreakBefore w:val="0"/>
        <w:widowControl/>
        <w:kinsoku/>
        <w:wordWrap/>
        <w:overflowPunct/>
        <w:topLinePunct w:val="0"/>
        <w:autoSpaceDE/>
        <w:autoSpaceDN/>
        <w:bidi w:val="0"/>
        <w:adjustRightInd/>
        <w:snapToGrid/>
        <w:spacing w:before="86" w:line="336" w:lineRule="auto"/>
        <w:ind w:firstLine="640" w:firstLineChars="200"/>
        <w:jc w:val="both"/>
        <w:textAlignment w:val="auto"/>
        <w:rPr>
          <w:rFonts w:ascii="黑体" w:hAnsi="黑体" w:eastAsia="黑体" w:cs="黑体"/>
          <w:sz w:val="32"/>
          <w:szCs w:val="32"/>
          <w:highlight w:val="none"/>
        </w:rPr>
      </w:pPr>
      <w:r>
        <w:rPr>
          <w:rFonts w:hint="eastAsia" w:ascii="黑体" w:hAnsi="黑体" w:eastAsia="黑体" w:cs="黑体"/>
          <w:sz w:val="32"/>
          <w:szCs w:val="32"/>
          <w:highlight w:val="none"/>
        </w:rPr>
        <w:t>一、测量规则</w:t>
      </w:r>
    </w:p>
    <w:p>
      <w:pPr>
        <w:pStyle w:val="33"/>
        <w:keepNext w:val="0"/>
        <w:keepLines w:val="0"/>
        <w:pageBreakBefore w:val="0"/>
        <w:widowControl w:val="0"/>
        <w:numPr>
          <w:ilvl w:val="0"/>
          <w:numId w:val="0"/>
        </w:numPr>
        <w:kinsoku/>
        <w:wordWrap/>
        <w:overflowPunct/>
        <w:topLinePunct w:val="0"/>
        <w:autoSpaceDE/>
        <w:autoSpaceDN/>
        <w:bidi w:val="0"/>
        <w:adjustRightInd/>
        <w:snapToGrid/>
        <w:spacing w:line="336" w:lineRule="auto"/>
        <w:ind w:firstLine="680" w:firstLineChars="200"/>
        <w:jc w:val="both"/>
        <w:textAlignment w:val="auto"/>
        <w:rPr>
          <w:rFonts w:ascii="仿宋_GB2312" w:hAnsi="仿宋_GB2312" w:eastAsia="仿宋_GB2312" w:cs="仿宋_GB2312"/>
          <w:spacing w:val="10"/>
          <w:sz w:val="32"/>
          <w:szCs w:val="32"/>
          <w:highlight w:val="none"/>
        </w:rPr>
      </w:pPr>
      <w:r>
        <w:rPr>
          <w:rFonts w:hint="eastAsia" w:ascii="仿宋_GB2312" w:hAnsi="仿宋_GB2312" w:eastAsia="仿宋_GB2312" w:cs="仿宋_GB2312"/>
          <w:spacing w:val="10"/>
          <w:kern w:val="2"/>
          <w:sz w:val="32"/>
          <w:szCs w:val="32"/>
          <w:highlight w:val="none"/>
          <w:lang w:val="en-US" w:eastAsia="zh-CN" w:bidi="ar-SA"/>
        </w:rPr>
        <w:t>（一）</w:t>
      </w:r>
      <w:r>
        <w:rPr>
          <w:rFonts w:hint="eastAsia" w:ascii="仿宋_GB2312" w:hAnsi="仿宋_GB2312" w:eastAsia="仿宋_GB2312" w:cs="仿宋_GB2312"/>
          <w:spacing w:val="10"/>
          <w:sz w:val="32"/>
          <w:szCs w:val="32"/>
          <w:highlight w:val="none"/>
        </w:rPr>
        <w:t>现场核查零售点间距的测量以“可安全步行最短距离”为总体原则，其他未穷尽列举的情形均参照本原则测量。</w:t>
      </w:r>
    </w:p>
    <w:p>
      <w:pPr>
        <w:keepNext w:val="0"/>
        <w:keepLines w:val="0"/>
        <w:pageBreakBefore w:val="0"/>
        <w:widowControl/>
        <w:numPr>
          <w:ilvl w:val="0"/>
          <w:numId w:val="0"/>
        </w:numPr>
        <w:kinsoku/>
        <w:wordWrap/>
        <w:overflowPunct/>
        <w:topLinePunct w:val="0"/>
        <w:autoSpaceDE/>
        <w:autoSpaceDN/>
        <w:bidi w:val="0"/>
        <w:adjustRightInd/>
        <w:snapToGrid/>
        <w:spacing w:before="86" w:line="336" w:lineRule="auto"/>
        <w:ind w:firstLine="640" w:firstLineChars="200"/>
        <w:jc w:val="both"/>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kern w:val="2"/>
          <w:sz w:val="32"/>
          <w:szCs w:val="32"/>
          <w:highlight w:val="none"/>
          <w:lang w:val="en-US" w:eastAsia="zh-CN" w:bidi="ar-SA"/>
        </w:rPr>
        <w:t>（二）</w:t>
      </w:r>
      <w:r>
        <w:rPr>
          <w:rFonts w:hint="eastAsia" w:ascii="仿宋_GB2312" w:hAnsi="仿宋_GB2312" w:eastAsia="仿宋_GB2312" w:cs="仿宋_GB2312"/>
          <w:sz w:val="32"/>
          <w:szCs w:val="32"/>
          <w:highlight w:val="none"/>
        </w:rPr>
        <w:t>应当使用符合国家距离测量标准的测量工具。</w:t>
      </w:r>
    </w:p>
    <w:p>
      <w:pPr>
        <w:keepNext w:val="0"/>
        <w:keepLines w:val="0"/>
        <w:pageBreakBefore w:val="0"/>
        <w:widowControl/>
        <w:numPr>
          <w:ilvl w:val="0"/>
          <w:numId w:val="0"/>
        </w:numPr>
        <w:kinsoku/>
        <w:wordWrap/>
        <w:overflowPunct/>
        <w:topLinePunct w:val="0"/>
        <w:autoSpaceDE/>
        <w:autoSpaceDN/>
        <w:bidi w:val="0"/>
        <w:adjustRightInd/>
        <w:snapToGrid/>
        <w:spacing w:before="86" w:line="336" w:lineRule="auto"/>
        <w:ind w:firstLine="640" w:firstLineChars="200"/>
        <w:jc w:val="both"/>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kern w:val="2"/>
          <w:sz w:val="32"/>
          <w:szCs w:val="32"/>
          <w:highlight w:val="none"/>
          <w:lang w:val="en-US" w:eastAsia="zh-CN" w:bidi="ar-SA"/>
        </w:rPr>
        <w:t>（三）</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pacing w:val="10"/>
          <w:sz w:val="32"/>
          <w:szCs w:val="32"/>
          <w:highlight w:val="none"/>
        </w:rPr>
        <w:t>零售点间距</w:t>
      </w:r>
      <w:r>
        <w:rPr>
          <w:rFonts w:hint="eastAsia" w:ascii="仿宋_GB2312" w:hAnsi="仿宋_GB2312" w:eastAsia="仿宋_GB2312" w:cs="仿宋_GB2312"/>
          <w:sz w:val="32"/>
          <w:szCs w:val="32"/>
          <w:highlight w:val="none"/>
        </w:rPr>
        <w:t>”是指申请点与参照零售点（周边已设最近的零售点）之间按“门边到门边”原则进行测量。测量数据精确到小数点后一位，如“30.0米”或“100.0米”。</w:t>
      </w:r>
    </w:p>
    <w:p>
      <w:pPr>
        <w:keepNext w:val="0"/>
        <w:keepLines w:val="0"/>
        <w:pageBreakBefore w:val="0"/>
        <w:widowControl/>
        <w:numPr>
          <w:ilvl w:val="0"/>
          <w:numId w:val="0"/>
        </w:numPr>
        <w:kinsoku/>
        <w:wordWrap/>
        <w:overflowPunct/>
        <w:topLinePunct w:val="0"/>
        <w:autoSpaceDE/>
        <w:autoSpaceDN/>
        <w:bidi w:val="0"/>
        <w:adjustRightInd/>
        <w:snapToGrid/>
        <w:spacing w:before="86" w:line="336" w:lineRule="auto"/>
        <w:ind w:firstLine="640" w:firstLineChars="200"/>
        <w:jc w:val="both"/>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kern w:val="2"/>
          <w:sz w:val="32"/>
          <w:szCs w:val="32"/>
          <w:highlight w:val="none"/>
          <w:lang w:val="en-US" w:eastAsia="zh-CN" w:bidi="ar-SA"/>
        </w:rPr>
        <w:t>（四）</w:t>
      </w:r>
      <w:r>
        <w:rPr>
          <w:rFonts w:hint="eastAsia" w:ascii="仿宋_GB2312" w:hAnsi="仿宋_GB2312" w:eastAsia="仿宋_GB2312" w:cs="仿宋_GB2312"/>
          <w:sz w:val="32"/>
          <w:szCs w:val="32"/>
          <w:highlight w:val="none"/>
        </w:rPr>
        <w:t>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pPr>
        <w:keepNext w:val="0"/>
        <w:keepLines w:val="0"/>
        <w:pageBreakBefore w:val="0"/>
        <w:widowControl/>
        <w:numPr>
          <w:ilvl w:val="0"/>
          <w:numId w:val="0"/>
        </w:numPr>
        <w:kinsoku/>
        <w:wordWrap/>
        <w:overflowPunct/>
        <w:topLinePunct w:val="0"/>
        <w:autoSpaceDE/>
        <w:autoSpaceDN/>
        <w:bidi w:val="0"/>
        <w:adjustRightInd/>
        <w:snapToGrid/>
        <w:spacing w:before="86" w:line="336" w:lineRule="auto"/>
        <w:ind w:firstLine="640" w:firstLineChars="200"/>
        <w:jc w:val="both"/>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kern w:val="2"/>
          <w:sz w:val="32"/>
          <w:szCs w:val="32"/>
          <w:highlight w:val="none"/>
          <w:lang w:val="en-US" w:eastAsia="zh-CN" w:bidi="ar-SA"/>
        </w:rPr>
        <w:t>（五）</w:t>
      </w:r>
      <w:r>
        <w:rPr>
          <w:rFonts w:hint="eastAsia" w:ascii="仿宋_GB2312" w:hAnsi="仿宋_GB2312" w:eastAsia="仿宋_GB2312" w:cs="仿宋_GB2312"/>
          <w:sz w:val="32"/>
          <w:szCs w:val="32"/>
          <w:highlight w:val="none"/>
        </w:rPr>
        <w:t>测量</w:t>
      </w:r>
      <w:r>
        <w:rPr>
          <w:rFonts w:hint="eastAsia" w:ascii="仿宋_GB2312" w:hAnsi="仿宋_GB2312" w:eastAsia="仿宋_GB2312" w:cs="仿宋_GB2312"/>
          <w:sz w:val="32"/>
          <w:szCs w:val="32"/>
          <w:highlight w:val="none"/>
          <w:lang w:bidi="ug-CN"/>
        </w:rPr>
        <w:t>间距距离时，应使用具备准确刻度的</w:t>
      </w:r>
      <w:r>
        <w:rPr>
          <w:rFonts w:hint="eastAsia" w:ascii="仿宋_GB2312" w:hAnsi="仿宋_GB2312" w:eastAsia="仿宋_GB2312" w:cs="仿宋_GB2312"/>
          <w:kern w:val="0"/>
          <w:sz w:val="32"/>
          <w:szCs w:val="32"/>
          <w:highlight w:val="none"/>
          <w:lang w:bidi="ug-CN"/>
        </w:rPr>
        <w:t>测量工具。测量结果介于零售点间距距离的标准值正</w:t>
      </w:r>
      <w:r>
        <w:rPr>
          <w:rFonts w:hint="eastAsia" w:ascii="仿宋_GB2312" w:hAnsi="仿宋_GB2312" w:eastAsia="仿宋_GB2312" w:cs="仿宋_GB2312"/>
          <w:sz w:val="32"/>
          <w:szCs w:val="32"/>
          <w:highlight w:val="none"/>
        </w:rPr>
        <w:t>负百分之二范围以内的情况下，如果申请人、代理人或利害关系人对该结果有异议，可以申请重新实地测量一次，以最后一次测量结果为准。测量时，申请人或代理人、利害关系人和烟草核查人员须同时全程在场。</w:t>
      </w:r>
    </w:p>
    <w:p>
      <w:pPr>
        <w:keepNext w:val="0"/>
        <w:keepLines w:val="0"/>
        <w:pageBreakBefore w:val="0"/>
        <w:widowControl/>
        <w:numPr>
          <w:ilvl w:val="0"/>
          <w:numId w:val="0"/>
        </w:numPr>
        <w:kinsoku/>
        <w:wordWrap/>
        <w:overflowPunct/>
        <w:topLinePunct w:val="0"/>
        <w:autoSpaceDE/>
        <w:autoSpaceDN/>
        <w:bidi w:val="0"/>
        <w:adjustRightInd/>
        <w:snapToGrid/>
        <w:spacing w:before="86" w:line="336" w:lineRule="auto"/>
        <w:ind w:firstLine="640" w:firstLineChars="200"/>
        <w:jc w:val="both"/>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kern w:val="2"/>
          <w:sz w:val="32"/>
          <w:szCs w:val="32"/>
          <w:highlight w:val="none"/>
          <w:lang w:val="en-US" w:eastAsia="zh-CN" w:bidi="ar-SA"/>
        </w:rPr>
        <w:t>（六）</w:t>
      </w:r>
      <w:r>
        <w:rPr>
          <w:rFonts w:hint="eastAsia" w:ascii="仿宋_GB2312" w:hAnsi="仿宋_GB2312" w:eastAsia="仿宋_GB2312" w:cs="仿宋_GB2312"/>
          <w:sz w:val="32"/>
          <w:szCs w:val="32"/>
          <w:highlight w:val="none"/>
        </w:rPr>
        <w:t>政府有关部门在街道或道路中设置的行人隔离带（栏）、绿化带等视为障碍物，测量时应当按道路交通规则绕行。</w:t>
      </w:r>
    </w:p>
    <w:p>
      <w:pPr>
        <w:keepNext w:val="0"/>
        <w:keepLines w:val="0"/>
        <w:pageBreakBefore w:val="0"/>
        <w:widowControl/>
        <w:numPr>
          <w:ilvl w:val="0"/>
          <w:numId w:val="0"/>
        </w:numPr>
        <w:kinsoku/>
        <w:wordWrap/>
        <w:overflowPunct/>
        <w:topLinePunct w:val="0"/>
        <w:autoSpaceDE/>
        <w:autoSpaceDN/>
        <w:bidi w:val="0"/>
        <w:adjustRightInd/>
        <w:snapToGrid/>
        <w:spacing w:before="86" w:line="336" w:lineRule="auto"/>
        <w:ind w:firstLine="640" w:firstLineChars="200"/>
        <w:jc w:val="both"/>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kern w:val="2"/>
          <w:sz w:val="32"/>
          <w:szCs w:val="32"/>
          <w:highlight w:val="none"/>
          <w:lang w:val="en-US" w:eastAsia="zh-CN" w:bidi="ar-SA"/>
        </w:rPr>
        <w:t>（七）</w:t>
      </w:r>
      <w:r>
        <w:rPr>
          <w:rFonts w:hint="eastAsia" w:ascii="仿宋_GB2312" w:hAnsi="仿宋_GB2312" w:eastAsia="仿宋_GB2312" w:cs="仿宋_GB2312"/>
          <w:sz w:val="32"/>
          <w:szCs w:val="32"/>
          <w:highlight w:val="none"/>
        </w:rPr>
        <w:t>不视为障碍物的情形：在通行道路上临时设置的安全设施；临时放置的建筑材料、物品、车辆等；擅自设立、建造的建筑物、构筑物或其他物体等；以及因施工影响通行的围挡设施。</w:t>
      </w:r>
    </w:p>
    <w:p>
      <w:pPr>
        <w:keepNext w:val="0"/>
        <w:keepLines w:val="0"/>
        <w:pageBreakBefore w:val="0"/>
        <w:widowControl/>
        <w:kinsoku/>
        <w:wordWrap/>
        <w:overflowPunct/>
        <w:topLinePunct w:val="0"/>
        <w:autoSpaceDE/>
        <w:autoSpaceDN/>
        <w:bidi w:val="0"/>
        <w:adjustRightInd/>
        <w:snapToGrid/>
        <w:spacing w:before="86" w:line="336" w:lineRule="auto"/>
        <w:ind w:firstLine="640" w:firstLineChars="200"/>
        <w:jc w:val="both"/>
        <w:textAlignment w:val="auto"/>
        <w:rPr>
          <w:rFonts w:ascii="黑体" w:hAnsi="黑体" w:eastAsia="黑体" w:cs="黑体"/>
          <w:sz w:val="32"/>
          <w:szCs w:val="32"/>
        </w:rPr>
      </w:pPr>
      <w:r>
        <w:rPr>
          <w:rFonts w:hint="eastAsia" w:ascii="黑体" w:hAnsi="黑体" w:eastAsia="黑体" w:cs="黑体"/>
          <w:sz w:val="32"/>
          <w:szCs w:val="32"/>
        </w:rPr>
        <w:t>二、测量标准</w:t>
      </w:r>
    </w:p>
    <w:p>
      <w:pPr>
        <w:pStyle w:val="12"/>
        <w:keepNext w:val="0"/>
        <w:keepLines w:val="0"/>
        <w:pageBreakBefore w:val="0"/>
        <w:numPr>
          <w:ilvl w:val="0"/>
          <w:numId w:val="0"/>
        </w:numPr>
        <w:kinsoku/>
        <w:wordWrap/>
        <w:overflowPunct/>
        <w:topLinePunct w:val="0"/>
        <w:autoSpaceDE/>
        <w:autoSpaceDN/>
        <w:bidi w:val="0"/>
        <w:adjustRightInd/>
        <w:snapToGrid/>
        <w:spacing w:after="0" w:line="336" w:lineRule="auto"/>
        <w:ind w:right="2" w:rightChars="0" w:firstLine="680" w:firstLineChars="200"/>
        <w:jc w:val="both"/>
        <w:textAlignment w:val="auto"/>
        <w:rPr>
          <w:rFonts w:ascii="仿宋_GB2312" w:hAnsi="仿宋_GB2312" w:eastAsia="仿宋_GB2312" w:cs="仿宋_GB2312"/>
          <w:spacing w:val="10"/>
          <w:sz w:val="32"/>
          <w:szCs w:val="32"/>
        </w:rPr>
      </w:pPr>
      <w:r>
        <w:rPr>
          <w:rFonts w:hint="default" w:ascii="仿宋_GB2312" w:hAnsi="仿宋_GB2312" w:eastAsia="仿宋_GB2312" w:cs="仿宋_GB2312"/>
          <w:spacing w:val="10"/>
          <w:kern w:val="2"/>
          <w:sz w:val="32"/>
          <w:szCs w:val="32"/>
          <w:lang w:val="en-US" w:eastAsia="zh-CN" w:bidi="ar-SA"/>
        </w:rPr>
        <w:t>1．</w:t>
      </w:r>
      <w:r>
        <w:rPr>
          <w:rFonts w:hint="eastAsia" w:ascii="仿宋_GB2312" w:hAnsi="仿宋_GB2312" w:eastAsia="仿宋_GB2312" w:cs="仿宋_GB2312"/>
          <w:spacing w:val="10"/>
          <w:sz w:val="32"/>
          <w:szCs w:val="32"/>
        </w:rPr>
        <w:t>店面同一侧无障碍物距离测量示意图，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间距。（如图1）</w:t>
      </w:r>
    </w:p>
    <w:p>
      <w:pPr>
        <w:pStyle w:val="12"/>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0" distR="0">
            <wp:extent cx="3968750" cy="1746250"/>
            <wp:effectExtent l="0" t="0" r="12700" b="6350"/>
            <wp:docPr id="20" name="图片 20"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312121048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968750" cy="1746250"/>
                    </a:xfrm>
                    <a:prstGeom prst="rect">
                      <a:avLst/>
                    </a:prstGeom>
                    <a:noFill/>
                    <a:ln>
                      <a:noFill/>
                    </a:ln>
                  </pic:spPr>
                </pic:pic>
              </a:graphicData>
            </a:graphic>
          </wp:inline>
        </w:drawing>
      </w:r>
    </w:p>
    <w:p>
      <w:pPr>
        <w:pStyle w:val="12"/>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336" w:lineRule="auto"/>
        <w:ind w:right="0" w:rightChars="0" w:firstLine="680" w:firstLineChars="200"/>
        <w:jc w:val="both"/>
        <w:textAlignment w:val="auto"/>
        <w:rPr>
          <w:rFonts w:ascii="仿宋_GB2312" w:hAnsi="仿宋_GB2312" w:eastAsia="仿宋_GB2312" w:cs="仿宋_GB2312"/>
          <w:spacing w:val="10"/>
          <w:sz w:val="32"/>
          <w:szCs w:val="32"/>
        </w:rPr>
      </w:pPr>
      <w:r>
        <w:rPr>
          <w:rFonts w:hint="default" w:ascii="仿宋_GB2312" w:hAnsi="仿宋_GB2312" w:eastAsia="仿宋_GB2312" w:cs="仿宋_GB2312"/>
          <w:spacing w:val="10"/>
          <w:kern w:val="2"/>
          <w:sz w:val="32"/>
          <w:szCs w:val="32"/>
          <w:lang w:val="en-US" w:eastAsia="zh-CN" w:bidi="ar-SA"/>
        </w:rPr>
        <w:t>2．</w:t>
      </w:r>
      <w:r>
        <w:rPr>
          <w:rFonts w:hint="eastAsia" w:ascii="仿宋_GB2312" w:hAnsi="仿宋_GB2312" w:eastAsia="仿宋_GB2312" w:cs="仿宋_GB2312"/>
          <w:spacing w:val="10"/>
          <w:sz w:val="32"/>
          <w:szCs w:val="32"/>
        </w:rPr>
        <w:t>店面同一侧有障碍物距离测量示意图，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间距=a+b+c+d+e。（如图2）</w:t>
      </w:r>
    </w:p>
    <w:p>
      <w:pPr>
        <w:pStyle w:val="12"/>
        <w:spacing w:after="0" w:line="360" w:lineRule="auto"/>
        <w:ind w:right="2"/>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0" distR="0">
            <wp:extent cx="5778500" cy="2082800"/>
            <wp:effectExtent l="0" t="0" r="12700" b="12700"/>
            <wp:docPr id="19" name="图片 19"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5a3e317d608213e56999ba429828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78500" cy="2082800"/>
                    </a:xfrm>
                    <a:prstGeom prst="rect">
                      <a:avLst/>
                    </a:prstGeom>
                    <a:noFill/>
                    <a:ln>
                      <a:noFill/>
                    </a:ln>
                  </pic:spPr>
                </pic:pic>
              </a:graphicData>
            </a:graphic>
          </wp:inline>
        </w:drawing>
      </w:r>
    </w:p>
    <w:p>
      <w:pPr>
        <w:pStyle w:val="12"/>
        <w:spacing w:after="0" w:line="360" w:lineRule="auto"/>
        <w:ind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336" w:lineRule="auto"/>
        <w:ind w:right="0" w:rightChars="0" w:firstLine="680" w:firstLineChars="200"/>
        <w:jc w:val="both"/>
        <w:textAlignment w:val="auto"/>
        <w:rPr>
          <w:rFonts w:ascii="仿宋_GB2312" w:hAnsi="仿宋_GB2312" w:eastAsia="仿宋_GB2312" w:cs="仿宋_GB2312"/>
          <w:spacing w:val="10"/>
          <w:sz w:val="32"/>
          <w:szCs w:val="32"/>
        </w:rPr>
      </w:pPr>
      <w:r>
        <w:rPr>
          <w:rFonts w:hint="default" w:ascii="仿宋_GB2312" w:hAnsi="仿宋_GB2312" w:eastAsia="仿宋_GB2312" w:cs="仿宋_GB2312"/>
          <w:spacing w:val="10"/>
          <w:kern w:val="2"/>
          <w:sz w:val="32"/>
          <w:szCs w:val="32"/>
          <w:lang w:val="en-US" w:eastAsia="zh-CN" w:bidi="ar-SA"/>
        </w:rPr>
        <w:t>3．</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异侧无障碍物，且道路无隔离带（包括无任何禁止通行交通标志的路段或有可通行的单虚线）和斑马线情形，可安全步行的。</w:t>
      </w:r>
    </w:p>
    <w:p>
      <w:pPr>
        <w:pStyle w:val="12"/>
        <w:keepNext w:val="0"/>
        <w:keepLines w:val="0"/>
        <w:pageBreakBefore w:val="0"/>
        <w:widowControl w:val="0"/>
        <w:kinsoku/>
        <w:wordWrap/>
        <w:overflowPunct/>
        <w:topLinePunct w:val="0"/>
        <w:autoSpaceDE/>
        <w:autoSpaceDN/>
        <w:bidi w:val="0"/>
        <w:adjustRightInd/>
        <w:snapToGrid/>
        <w:spacing w:after="0" w:line="336" w:lineRule="auto"/>
        <w:ind w:right="0" w:firstLine="680" w:firstLineChars="200"/>
        <w:jc w:val="both"/>
        <w:textAlignment w:val="auto"/>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（1）申请点与参照零售点对称的，间距=a（如图3.1）</w:t>
      </w:r>
    </w:p>
    <w:p>
      <w:pPr>
        <w:pStyle w:val="12"/>
        <w:spacing w:after="0" w:line="360" w:lineRule="auto"/>
        <w:ind w:right="3"/>
        <w:rPr>
          <w:rFonts w:ascii="仿宋_GB2312" w:hAnsi="仿宋_GB2312" w:eastAsia="仿宋_GB2312" w:cs="仿宋_GB2312"/>
          <w:sz w:val="32"/>
          <w:szCs w:val="32"/>
        </w:rPr>
      </w:pPr>
    </w:p>
    <w:p>
      <w:pPr>
        <w:pStyle w:val="12"/>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933950" cy="2444750"/>
            <wp:effectExtent l="0" t="0" r="0" b="12700"/>
            <wp:docPr id="18" name="图片 18"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3bdaea5065e1670b868335705003e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933950" cy="2444750"/>
                    </a:xfrm>
                    <a:prstGeom prst="rect">
                      <a:avLst/>
                    </a:prstGeom>
                    <a:noFill/>
                    <a:ln>
                      <a:noFill/>
                    </a:ln>
                  </pic:spPr>
                </pic:pic>
              </a:graphicData>
            </a:graphic>
          </wp:inline>
        </w:drawing>
      </w:r>
    </w:p>
    <w:p>
      <w:pPr>
        <w:pStyle w:val="12"/>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pPr>
        <w:pStyle w:val="12"/>
        <w:keepNext w:val="0"/>
        <w:keepLines w:val="0"/>
        <w:pageBreakBefore w:val="0"/>
        <w:widowControl w:val="0"/>
        <w:kinsoku/>
        <w:wordWrap/>
        <w:overflowPunct/>
        <w:topLinePunct w:val="0"/>
        <w:autoSpaceDE/>
        <w:autoSpaceDN/>
        <w:bidi w:val="0"/>
        <w:adjustRightInd/>
        <w:snapToGrid/>
        <w:spacing w:after="0" w:line="336" w:lineRule="auto"/>
        <w:ind w:right="0" w:firstLine="640" w:firstLineChars="200"/>
        <w:jc w:val="both"/>
        <w:textAlignment w:val="auto"/>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pacing w:val="10"/>
          <w:sz w:val="32"/>
          <w:szCs w:val="32"/>
        </w:rPr>
        <w:t>申请点与参照零售点不对称的，间距=b（如图3.2）</w:t>
      </w:r>
    </w:p>
    <w:p>
      <w:pPr>
        <w:pStyle w:val="12"/>
        <w:spacing w:after="0" w:line="360" w:lineRule="auto"/>
        <w:ind w:right="2"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0" distR="0">
            <wp:extent cx="5016500" cy="2635250"/>
            <wp:effectExtent l="0" t="0" r="12700" b="12700"/>
            <wp:docPr id="17" name="图片 17"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ae0954c900ff944af7dff9ce5117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016500" cy="2635250"/>
                    </a:xfrm>
                    <a:prstGeom prst="rect">
                      <a:avLst/>
                    </a:prstGeom>
                    <a:noFill/>
                    <a:ln>
                      <a:noFill/>
                    </a:ln>
                  </pic:spPr>
                </pic:pic>
              </a:graphicData>
            </a:graphic>
          </wp:inline>
        </w:drawing>
      </w:r>
    </w:p>
    <w:p>
      <w:pPr>
        <w:pStyle w:val="12"/>
        <w:spacing w:after="0" w:line="360" w:lineRule="auto"/>
        <w:ind w:left="420" w:leftChars="200"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336" w:lineRule="auto"/>
        <w:ind w:right="0" w:rightChars="0" w:firstLine="680" w:firstLineChars="200"/>
        <w:jc w:val="both"/>
        <w:textAlignment w:val="auto"/>
        <w:rPr>
          <w:rFonts w:ascii="仿宋_GB2312" w:hAnsi="仿宋_GB2312" w:eastAsia="仿宋_GB2312" w:cs="仿宋_GB2312"/>
          <w:spacing w:val="10"/>
          <w:sz w:val="32"/>
          <w:szCs w:val="32"/>
        </w:rPr>
      </w:pPr>
      <w:r>
        <w:rPr>
          <w:rFonts w:hint="default" w:ascii="仿宋_GB2312" w:hAnsi="仿宋_GB2312" w:eastAsia="仿宋_GB2312" w:cs="仿宋_GB2312"/>
          <w:spacing w:val="10"/>
          <w:kern w:val="2"/>
          <w:sz w:val="32"/>
          <w:szCs w:val="32"/>
          <w:lang w:val="en-US" w:eastAsia="zh-CN" w:bidi="ar-SA"/>
        </w:rPr>
        <w:t>4．</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异侧存在障碍物的，测量按直角分段绕过障碍物测量，分段距离之和即为申请人的经营场所与最近零售点的经营场所间的距离。间距=a+b+c（如图4）</w:t>
      </w:r>
    </w:p>
    <w:p>
      <w:pPr>
        <w:pStyle w:val="12"/>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0" distR="0">
            <wp:extent cx="5194300" cy="2533650"/>
            <wp:effectExtent l="0" t="0" r="6350" b="0"/>
            <wp:docPr id="16" name="图片 16"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3bb69265f29e745628043b5bcf20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194300" cy="2533650"/>
                    </a:xfrm>
                    <a:prstGeom prst="rect">
                      <a:avLst/>
                    </a:prstGeom>
                    <a:noFill/>
                    <a:ln>
                      <a:noFill/>
                    </a:ln>
                  </pic:spPr>
                </pic:pic>
              </a:graphicData>
            </a:graphic>
          </wp:inline>
        </w:drawing>
      </w:r>
    </w:p>
    <w:p>
      <w:pPr>
        <w:pStyle w:val="12"/>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336" w:lineRule="auto"/>
        <w:ind w:right="0" w:rightChars="0" w:firstLine="680" w:firstLineChars="200"/>
        <w:jc w:val="both"/>
        <w:textAlignment w:val="auto"/>
        <w:rPr>
          <w:rFonts w:ascii="仿宋_GB2312" w:hAnsi="仿宋_GB2312" w:eastAsia="仿宋_GB2312" w:cs="仿宋_GB2312"/>
          <w:spacing w:val="10"/>
          <w:sz w:val="32"/>
          <w:szCs w:val="32"/>
        </w:rPr>
      </w:pPr>
      <w:r>
        <w:rPr>
          <w:rFonts w:hint="default" w:ascii="仿宋_GB2312" w:hAnsi="仿宋_GB2312" w:eastAsia="仿宋_GB2312" w:cs="仿宋_GB2312"/>
          <w:spacing w:val="10"/>
          <w:kern w:val="2"/>
          <w:sz w:val="32"/>
          <w:szCs w:val="32"/>
          <w:lang w:val="en-US" w:eastAsia="zh-CN" w:bidi="ar-SA"/>
        </w:rPr>
        <w:t>5．</w:t>
      </w:r>
      <w:r>
        <w:rPr>
          <w:rFonts w:hint="eastAsia" w:ascii="仿宋_GB2312" w:hAnsi="仿宋_GB2312" w:eastAsia="仿宋_GB2312" w:cs="仿宋_GB2312"/>
          <w:spacing w:val="10"/>
          <w:sz w:val="32"/>
          <w:szCs w:val="32"/>
        </w:rPr>
        <w:t>店面背靠背距离测量示意图，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间距=a+b+c。（如图5）</w:t>
      </w:r>
    </w:p>
    <w:p>
      <w:pPr>
        <w:pStyle w:val="12"/>
        <w:spacing w:after="0" w:line="360" w:lineRule="auto"/>
        <w:ind w:right="3" w:firstLine="420" w:firstLineChars="200"/>
        <w:jc w:val="center"/>
        <w:rPr>
          <w:rFonts w:ascii="仿宋_GB2312" w:hAnsi="仿宋_GB2312" w:eastAsia="仿宋_GB2312" w:cs="仿宋_GB2312"/>
          <w:spacing w:val="10"/>
          <w:sz w:val="32"/>
          <w:szCs w:val="32"/>
        </w:rPr>
      </w:pPr>
      <w:r>
        <w:drawing>
          <wp:inline distT="0" distB="0" distL="0" distR="0">
            <wp:extent cx="4876800" cy="2406650"/>
            <wp:effectExtent l="0" t="0" r="0"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3">
                      <a:clrChange>
                        <a:clrFrom>
                          <a:srgbClr val="FEFFFA"/>
                        </a:clrFrom>
                        <a:clrTo>
                          <a:srgbClr val="FEFFFA">
                            <a:alpha val="0"/>
                          </a:srgbClr>
                        </a:clrTo>
                      </a:clrChange>
                      <a:extLst>
                        <a:ext uri="{28A0092B-C50C-407E-A947-70E740481C1C}">
                          <a14:useLocalDpi xmlns:a14="http://schemas.microsoft.com/office/drawing/2010/main" val="0"/>
                        </a:ext>
                      </a:extLst>
                    </a:blip>
                    <a:srcRect/>
                    <a:stretch>
                      <a:fillRect/>
                    </a:stretch>
                  </pic:blipFill>
                  <pic:spPr>
                    <a:xfrm>
                      <a:off x="0" y="0"/>
                      <a:ext cx="4876800" cy="2406650"/>
                    </a:xfrm>
                    <a:prstGeom prst="rect">
                      <a:avLst/>
                    </a:prstGeom>
                    <a:noFill/>
                    <a:ln>
                      <a:noFill/>
                    </a:ln>
                  </pic:spPr>
                </pic:pic>
              </a:graphicData>
            </a:graphic>
          </wp:inline>
        </w:drawing>
      </w:r>
    </w:p>
    <w:p>
      <w:pPr>
        <w:pStyle w:val="12"/>
        <w:spacing w:after="0" w:line="360" w:lineRule="auto"/>
        <w:ind w:right="3"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336" w:lineRule="auto"/>
        <w:ind w:right="0" w:rightChars="0" w:firstLine="680" w:firstLineChars="200"/>
        <w:jc w:val="both"/>
        <w:textAlignment w:val="auto"/>
        <w:rPr>
          <w:rFonts w:ascii="仿宋_GB2312" w:hAnsi="仿宋_GB2312" w:eastAsia="仿宋_GB2312" w:cs="仿宋_GB2312"/>
          <w:spacing w:val="10"/>
          <w:sz w:val="32"/>
          <w:szCs w:val="32"/>
        </w:rPr>
      </w:pPr>
      <w:r>
        <w:rPr>
          <w:rFonts w:hint="default" w:ascii="仿宋_GB2312" w:hAnsi="仿宋_GB2312" w:eastAsia="仿宋_GB2312" w:cs="仿宋_GB2312"/>
          <w:spacing w:val="10"/>
          <w:kern w:val="2"/>
          <w:sz w:val="32"/>
          <w:szCs w:val="32"/>
          <w:lang w:val="en-US" w:eastAsia="zh-CN" w:bidi="ar-SA"/>
        </w:rPr>
        <w:t>6．</w:t>
      </w:r>
      <w:r>
        <w:rPr>
          <w:rFonts w:hint="eastAsia" w:ascii="仿宋_GB2312" w:hAnsi="仿宋_GB2312" w:eastAsia="仿宋_GB2312" w:cs="仿宋_GB2312"/>
          <w:spacing w:val="10"/>
          <w:sz w:val="32"/>
          <w:szCs w:val="32"/>
        </w:rPr>
        <w:t>店面隔着街道转角的，分别计算沿街店面的两边距离再相加，</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间距=a+b。（如图6）</w:t>
      </w:r>
    </w:p>
    <w:p>
      <w:pPr>
        <w:pStyle w:val="12"/>
        <w:spacing w:after="0"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768850" cy="2711450"/>
            <wp:effectExtent l="0" t="0" r="12700" b="12700"/>
            <wp:docPr id="14" name="图片 14"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4103bb42dbf83929f4d95fca555fcf"/>
                    <pic:cNvPicPr>
                      <a:picLocks noChangeAspect="1" noChangeArrowheads="1"/>
                    </pic:cNvPicPr>
                  </pic:nvPicPr>
                  <pic:blipFill>
                    <a:blip r:embed="rId14">
                      <a:extLst>
                        <a:ext uri="{28A0092B-C50C-407E-A947-70E740481C1C}">
                          <a14:useLocalDpi xmlns:a14="http://schemas.microsoft.com/office/drawing/2010/main" val="0"/>
                        </a:ext>
                      </a:extLst>
                    </a:blip>
                    <a:srcRect t="17596"/>
                    <a:stretch>
                      <a:fillRect/>
                    </a:stretch>
                  </pic:blipFill>
                  <pic:spPr>
                    <a:xfrm>
                      <a:off x="0" y="0"/>
                      <a:ext cx="4768850" cy="2711450"/>
                    </a:xfrm>
                    <a:prstGeom prst="rect">
                      <a:avLst/>
                    </a:prstGeom>
                    <a:noFill/>
                    <a:ln>
                      <a:noFill/>
                    </a:ln>
                  </pic:spPr>
                </pic:pic>
              </a:graphicData>
            </a:graphic>
          </wp:inline>
        </w:drawing>
      </w:r>
    </w:p>
    <w:p>
      <w:pPr>
        <w:pStyle w:val="12"/>
        <w:spacing w:after="0" w:line="360" w:lineRule="auto"/>
        <w:ind w:right="6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336" w:lineRule="auto"/>
        <w:ind w:right="2" w:rightChars="0" w:firstLine="680" w:firstLineChars="200"/>
        <w:jc w:val="both"/>
        <w:textAlignment w:val="auto"/>
        <w:rPr>
          <w:rFonts w:ascii="仿宋_GB2312" w:hAnsi="仿宋_GB2312" w:eastAsia="仿宋_GB2312" w:cs="仿宋_GB2312"/>
          <w:spacing w:val="10"/>
          <w:sz w:val="32"/>
          <w:szCs w:val="32"/>
        </w:rPr>
      </w:pPr>
      <w:r>
        <w:rPr>
          <w:rFonts w:hint="default" w:ascii="仿宋_GB2312" w:hAnsi="仿宋_GB2312" w:eastAsia="仿宋_GB2312" w:cs="仿宋_GB2312"/>
          <w:spacing w:val="10"/>
          <w:kern w:val="2"/>
          <w:sz w:val="32"/>
          <w:szCs w:val="32"/>
          <w:lang w:val="en-US" w:eastAsia="zh-CN" w:bidi="ar-SA"/>
        </w:rPr>
        <w:t>7．</w:t>
      </w:r>
      <w:r>
        <w:rPr>
          <w:rFonts w:hint="eastAsia" w:ascii="仿宋_GB2312" w:hAnsi="仿宋_GB2312" w:eastAsia="仿宋_GB2312" w:cs="仿宋_GB2312"/>
          <w:spacing w:val="10"/>
          <w:sz w:val="32"/>
          <w:szCs w:val="32"/>
        </w:rPr>
        <w:t>十字路口</w:t>
      </w:r>
    </w:p>
    <w:p>
      <w:pPr>
        <w:pStyle w:val="12"/>
        <w:keepNext w:val="0"/>
        <w:keepLines w:val="0"/>
        <w:pageBreakBefore w:val="0"/>
        <w:widowControl w:val="0"/>
        <w:kinsoku/>
        <w:wordWrap/>
        <w:overflowPunct/>
        <w:topLinePunct w:val="0"/>
        <w:autoSpaceDE/>
        <w:autoSpaceDN/>
        <w:bidi w:val="0"/>
        <w:adjustRightInd/>
        <w:snapToGrid/>
        <w:spacing w:after="0" w:line="336" w:lineRule="auto"/>
        <w:ind w:right="64"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测量。具体测量办法视有无交通信号灯、人行横道或过街设施的路段以及障碍物情况而定。（如图7.1）</w:t>
      </w:r>
    </w:p>
    <w:p>
      <w:pPr>
        <w:pStyle w:val="12"/>
        <w:spacing w:after="0" w:line="360" w:lineRule="auto"/>
        <w:ind w:left="420" w:leftChars="200"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067050" cy="2743200"/>
            <wp:effectExtent l="0" t="0" r="0" b="0"/>
            <wp:docPr id="13" name="图片 13"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312121049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067050" cy="2743200"/>
                    </a:xfrm>
                    <a:prstGeom prst="rect">
                      <a:avLst/>
                    </a:prstGeom>
                    <a:noFill/>
                    <a:ln>
                      <a:noFill/>
                    </a:ln>
                  </pic:spPr>
                </pic:pic>
              </a:graphicData>
            </a:graphic>
          </wp:inline>
        </w:drawing>
      </w:r>
    </w:p>
    <w:p>
      <w:pPr>
        <w:pStyle w:val="12"/>
        <w:spacing w:after="0" w:line="360" w:lineRule="auto"/>
        <w:ind w:left="420" w:leftChars="200"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图7.1</w:t>
      </w:r>
    </w:p>
    <w:p>
      <w:pPr>
        <w:pStyle w:val="12"/>
        <w:keepNext w:val="0"/>
        <w:keepLines w:val="0"/>
        <w:pageBreakBefore w:val="0"/>
        <w:widowControl w:val="0"/>
        <w:kinsoku/>
        <w:wordWrap/>
        <w:overflowPunct/>
        <w:topLinePunct w:val="0"/>
        <w:autoSpaceDE/>
        <w:autoSpaceDN/>
        <w:bidi w:val="0"/>
        <w:adjustRightInd/>
        <w:snapToGrid/>
        <w:spacing w:after="0" w:line="336" w:lineRule="auto"/>
        <w:ind w:right="62"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（2）十字路口对角（有交通信号灯、人行横道或过街设施）</w:t>
      </w:r>
    </w:p>
    <w:p>
      <w:pPr>
        <w:pStyle w:val="12"/>
        <w:keepNext w:val="0"/>
        <w:keepLines w:val="0"/>
        <w:pageBreakBefore w:val="0"/>
        <w:widowControl w:val="0"/>
        <w:kinsoku/>
        <w:wordWrap/>
        <w:overflowPunct/>
        <w:topLinePunct w:val="0"/>
        <w:autoSpaceDE/>
        <w:autoSpaceDN/>
        <w:bidi w:val="0"/>
        <w:adjustRightInd/>
        <w:snapToGrid/>
        <w:spacing w:after="0" w:line="336" w:lineRule="auto"/>
        <w:ind w:right="62"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测量。（如图7.2中存在a、b两条线路，取其中一条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pStyle w:val="12"/>
        <w:spacing w:after="0" w:line="360" w:lineRule="auto"/>
        <w:ind w:left="420" w:leftChars="200"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562350" cy="3175000"/>
            <wp:effectExtent l="0" t="0" r="0" b="6350"/>
            <wp:docPr id="12" name="图片 12"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3dd04eb18af5a2a848cca0133a5d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562350" cy="3175000"/>
                    </a:xfrm>
                    <a:prstGeom prst="rect">
                      <a:avLst/>
                    </a:prstGeom>
                    <a:noFill/>
                    <a:ln>
                      <a:noFill/>
                    </a:ln>
                  </pic:spPr>
                </pic:pic>
              </a:graphicData>
            </a:graphic>
          </wp:inline>
        </w:drawing>
      </w:r>
    </w:p>
    <w:p>
      <w:pPr>
        <w:pStyle w:val="12"/>
        <w:spacing w:after="0" w:line="360" w:lineRule="auto"/>
        <w:ind w:left="420" w:leftChars="200" w:right="64"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图7.2</w:t>
      </w:r>
    </w:p>
    <w:p>
      <w:pPr>
        <w:pStyle w:val="12"/>
        <w:keepNext w:val="0"/>
        <w:keepLines w:val="0"/>
        <w:pageBreakBefore w:val="0"/>
        <w:widowControl w:val="0"/>
        <w:kinsoku/>
        <w:wordWrap/>
        <w:overflowPunct/>
        <w:topLinePunct w:val="0"/>
        <w:autoSpaceDE/>
        <w:autoSpaceDN/>
        <w:bidi w:val="0"/>
        <w:adjustRightInd/>
        <w:snapToGrid/>
        <w:spacing w:after="0" w:line="336" w:lineRule="auto"/>
        <w:ind w:right="0"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（3）十字路口对角（无交通信号灯、人行横道或过街设施）</w:t>
      </w:r>
    </w:p>
    <w:p>
      <w:pPr>
        <w:pStyle w:val="12"/>
        <w:keepNext w:val="0"/>
        <w:keepLines w:val="0"/>
        <w:pageBreakBefore w:val="0"/>
        <w:widowControl w:val="0"/>
        <w:kinsoku/>
        <w:wordWrap/>
        <w:overflowPunct/>
        <w:topLinePunct w:val="0"/>
        <w:autoSpaceDE/>
        <w:autoSpaceDN/>
        <w:bidi w:val="0"/>
        <w:adjustRightInd/>
        <w:snapToGrid/>
        <w:spacing w:after="0" w:line="336" w:lineRule="auto"/>
        <w:ind w:right="0"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测量。（图7.3）</w:t>
      </w:r>
    </w:p>
    <w:p>
      <w:pPr>
        <w:pStyle w:val="12"/>
        <w:spacing w:after="0" w:line="360" w:lineRule="auto"/>
        <w:ind w:left="420" w:leftChars="200" w:right="64"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0" distR="0">
            <wp:extent cx="2705100" cy="2476500"/>
            <wp:effectExtent l="0" t="0" r="0" b="0"/>
            <wp:docPr id="11" name="图片 1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0184291e613f2b487271c531d8edb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705100" cy="2476500"/>
                    </a:xfrm>
                    <a:prstGeom prst="rect">
                      <a:avLst/>
                    </a:prstGeom>
                    <a:noFill/>
                    <a:ln>
                      <a:noFill/>
                    </a:ln>
                  </pic:spPr>
                </pic:pic>
              </a:graphicData>
            </a:graphic>
          </wp:inline>
        </w:drawing>
      </w:r>
    </w:p>
    <w:p>
      <w:pPr>
        <w:pStyle w:val="12"/>
        <w:spacing w:after="0" w:line="360" w:lineRule="auto"/>
        <w:ind w:left="420" w:leftChars="200" w:right="64" w:firstLine="64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pPr>
        <w:pStyle w:val="12"/>
        <w:keepNext w:val="0"/>
        <w:keepLines w:val="0"/>
        <w:pageBreakBefore w:val="0"/>
        <w:widowControl w:val="0"/>
        <w:kinsoku/>
        <w:wordWrap/>
        <w:overflowPunct/>
        <w:topLinePunct w:val="0"/>
        <w:autoSpaceDE/>
        <w:autoSpaceDN/>
        <w:bidi w:val="0"/>
        <w:adjustRightInd/>
        <w:snapToGrid/>
        <w:spacing w:after="0" w:line="336" w:lineRule="auto"/>
        <w:ind w:right="0" w:firstLine="640" w:firstLineChars="200"/>
        <w:jc w:val="both"/>
        <w:textAlignment w:val="auto"/>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中小学校、幼儿园的测量起始点为上述学校学生正常出入的校门口。有多个进出通道口的，选择距离零售点最短的进出通道口的门边，作为测量起始点。</w:t>
      </w:r>
    </w:p>
    <w:p>
      <w:pPr>
        <w:pStyle w:val="12"/>
        <w:keepNext w:val="0"/>
        <w:keepLines w:val="0"/>
        <w:pageBreakBefore w:val="0"/>
        <w:widowControl w:val="0"/>
        <w:kinsoku/>
        <w:wordWrap/>
        <w:overflowPunct/>
        <w:topLinePunct w:val="0"/>
        <w:autoSpaceDE/>
        <w:autoSpaceDN/>
        <w:bidi w:val="0"/>
        <w:adjustRightInd/>
        <w:snapToGrid/>
        <w:spacing w:after="0" w:line="336" w:lineRule="auto"/>
        <w:ind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申请点与中小学校、幼儿园通道口之间距离测量示意图。（如图8）</w:t>
      </w:r>
    </w:p>
    <w:p>
      <w:pPr>
        <w:spacing w:line="360" w:lineRule="auto"/>
        <w:ind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0" distR="0">
            <wp:extent cx="3473450" cy="2622550"/>
            <wp:effectExtent l="0" t="0" r="12700" b="6350"/>
            <wp:docPr id="10" name="图片 10"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56d27789946a0c2406ddfd75b14e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473450" cy="2622550"/>
                    </a:xfrm>
                    <a:prstGeom prst="rect">
                      <a:avLst/>
                    </a:prstGeom>
                    <a:noFill/>
                    <a:ln>
                      <a:noFill/>
                    </a:ln>
                  </pic:spPr>
                </pic:pic>
              </a:graphicData>
            </a:graphic>
          </wp:inline>
        </w:drawing>
      </w:r>
    </w:p>
    <w:p>
      <w:pPr>
        <w:spacing w:line="360" w:lineRule="auto"/>
        <w:ind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pPr>
        <w:pStyle w:val="12"/>
        <w:keepNext w:val="0"/>
        <w:keepLines w:val="0"/>
        <w:pageBreakBefore w:val="0"/>
        <w:widowControl w:val="0"/>
        <w:kinsoku/>
        <w:wordWrap/>
        <w:overflowPunct/>
        <w:topLinePunct w:val="0"/>
        <w:autoSpaceDE/>
        <w:autoSpaceDN/>
        <w:bidi w:val="0"/>
        <w:adjustRightInd/>
        <w:snapToGrid/>
        <w:spacing w:after="0" w:line="336" w:lineRule="auto"/>
        <w:ind w:right="0"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lang w:val="en-US" w:eastAsia="zh-CN"/>
        </w:rPr>
        <w:t>申请点与参照零售点之间有道路隔离情形的：</w:t>
      </w:r>
    </w:p>
    <w:p>
      <w:pPr>
        <w:pStyle w:val="12"/>
        <w:keepNext w:val="0"/>
        <w:keepLines w:val="0"/>
        <w:pageBreakBefore w:val="0"/>
        <w:widowControl w:val="0"/>
        <w:kinsoku/>
        <w:wordWrap/>
        <w:overflowPunct/>
        <w:topLinePunct w:val="0"/>
        <w:autoSpaceDE/>
        <w:autoSpaceDN/>
        <w:bidi w:val="0"/>
        <w:adjustRightInd/>
        <w:snapToGrid/>
        <w:spacing w:after="0" w:line="336" w:lineRule="auto"/>
        <w:ind w:right="0"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en-US" w:eastAsia="zh-CN"/>
        </w:rPr>
        <w:t>主干道上有禁止行人行走隔离带的（包括禁止通行的双实线、单实线等交通标志），测量从隔离带最近开口处过斑马线、天桥等行人可安全步行通道，以直线距离为测量标准，申请点与参照零售点间距=a+b+c。（如图9.1）</w:t>
      </w:r>
    </w:p>
    <w:p>
      <w:pPr>
        <w:pStyle w:val="12"/>
        <w:spacing w:after="0" w:line="360" w:lineRule="auto"/>
        <w:ind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0" distR="0">
            <wp:extent cx="4908550" cy="3130550"/>
            <wp:effectExtent l="0" t="0" r="0" b="0"/>
            <wp:docPr id="9" name="图片 9"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ba54ecd243e5522fac748aa3cc0758"/>
                    <pic:cNvPicPr>
                      <a:picLocks noChangeAspect="1" noChangeArrowheads="1"/>
                    </pic:cNvPicPr>
                  </pic:nvPicPr>
                  <pic:blipFill>
                    <a:blip r:embed="rId19">
                      <a:clrChange>
                        <a:clrFrom>
                          <a:srgbClr val="FBFCF7"/>
                        </a:clrFrom>
                        <a:clrTo>
                          <a:srgbClr val="FBFCF7">
                            <a:alpha val="0"/>
                          </a:srgbClr>
                        </a:clrTo>
                      </a:clrChange>
                      <a:extLst>
                        <a:ext uri="{28A0092B-C50C-407E-A947-70E740481C1C}">
                          <a14:useLocalDpi xmlns:a14="http://schemas.microsoft.com/office/drawing/2010/main" val="0"/>
                        </a:ext>
                      </a:extLst>
                    </a:blip>
                    <a:srcRect/>
                    <a:stretch>
                      <a:fillRect/>
                    </a:stretch>
                  </pic:blipFill>
                  <pic:spPr>
                    <a:xfrm>
                      <a:off x="0" y="0"/>
                      <a:ext cx="4908550" cy="3130550"/>
                    </a:xfrm>
                    <a:prstGeom prst="rect">
                      <a:avLst/>
                    </a:prstGeom>
                    <a:noFill/>
                    <a:ln>
                      <a:noFill/>
                    </a:ln>
                  </pic:spPr>
                </pic:pic>
              </a:graphicData>
            </a:graphic>
          </wp:inline>
        </w:drawing>
      </w:r>
    </w:p>
    <w:p>
      <w:pPr>
        <w:spacing w:line="360" w:lineRule="auto"/>
        <w:ind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pPr>
        <w:pStyle w:val="12"/>
        <w:keepNext w:val="0"/>
        <w:keepLines w:val="0"/>
        <w:pageBreakBefore w:val="0"/>
        <w:widowControl w:val="0"/>
        <w:kinsoku/>
        <w:wordWrap/>
        <w:overflowPunct/>
        <w:topLinePunct w:val="0"/>
        <w:autoSpaceDE/>
        <w:autoSpaceDN/>
        <w:bidi w:val="0"/>
        <w:adjustRightInd/>
        <w:snapToGrid/>
        <w:spacing w:after="0" w:line="336" w:lineRule="auto"/>
        <w:ind w:right="0"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val="en-US" w:eastAsia="zh-CN"/>
        </w:rPr>
        <w:t>无隔离带（包括无任何禁止通行交通标志的路段或有可通行的单虚线），但两个零售点之间有斑马线的，按照“边对边”过斑马线垂直距离为测量标准。申请点与参照零售点间距=a+b+c。（如图9.2）</w:t>
      </w:r>
    </w:p>
    <w:p>
      <w:pPr>
        <w:pStyle w:val="12"/>
        <w:spacing w:after="0"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0" distR="0">
            <wp:extent cx="4222750" cy="2444750"/>
            <wp:effectExtent l="0" t="0" r="6350" b="12700"/>
            <wp:docPr id="8" name="图片 8"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278b0802036915e85f53d70bcbf8a1"/>
                    <pic:cNvPicPr>
                      <a:picLocks noChangeAspect="1" noChangeArrowheads="1"/>
                    </pic:cNvPicPr>
                  </pic:nvPicPr>
                  <pic:blipFill>
                    <a:blip r:embed="rId20">
                      <a:extLst>
                        <a:ext uri="{28A0092B-C50C-407E-A947-70E740481C1C}">
                          <a14:useLocalDpi xmlns:a14="http://schemas.microsoft.com/office/drawing/2010/main" val="0"/>
                        </a:ext>
                      </a:extLst>
                    </a:blip>
                    <a:srcRect t="11409"/>
                    <a:stretch>
                      <a:fillRect/>
                    </a:stretch>
                  </pic:blipFill>
                  <pic:spPr>
                    <a:xfrm>
                      <a:off x="0" y="0"/>
                      <a:ext cx="4222750" cy="2444750"/>
                    </a:xfrm>
                    <a:prstGeom prst="rect">
                      <a:avLst/>
                    </a:prstGeom>
                    <a:noFill/>
                    <a:ln>
                      <a:noFill/>
                    </a:ln>
                  </pic:spPr>
                </pic:pic>
              </a:graphicData>
            </a:graphic>
          </wp:inline>
        </w:drawing>
      </w:r>
      <w:bookmarkStart w:id="0" w:name="attache_title"/>
      <w:bookmarkEnd w:id="0"/>
      <w:bookmarkStart w:id="1" w:name="Fuzhu"/>
      <w:bookmarkEnd w:id="1"/>
    </w:p>
    <w:p>
      <w:pPr>
        <w:spacing w:line="360" w:lineRule="auto"/>
        <w:ind w:right="-512" w:rightChars="-24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pPr>
        <w:pStyle w:val="12"/>
        <w:keepNext w:val="0"/>
        <w:keepLines w:val="0"/>
        <w:pageBreakBefore w:val="0"/>
        <w:widowControl w:val="0"/>
        <w:kinsoku/>
        <w:wordWrap/>
        <w:overflowPunct/>
        <w:topLinePunct w:val="0"/>
        <w:autoSpaceDE/>
        <w:autoSpaceDN/>
        <w:bidi w:val="0"/>
        <w:adjustRightInd/>
        <w:snapToGrid/>
        <w:spacing w:after="0" w:line="336" w:lineRule="auto"/>
        <w:ind w:right="0"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lang w:val="en-US" w:eastAsia="zh-CN"/>
        </w:rPr>
        <w:t>各类综合性商品批发市场、专业市场、集贸市场内部距离测量示意图，申请点与参照零售点间距=a+b+c。（如图10）</w:t>
      </w:r>
    </w:p>
    <w:p>
      <w:pPr>
        <w:spacing w:line="360" w:lineRule="auto"/>
        <w:ind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0" distR="0">
            <wp:extent cx="3854450" cy="2247900"/>
            <wp:effectExtent l="0" t="0" r="12700" b="0"/>
            <wp:docPr id="7" name="图片 7"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f67498772cdcce961f622af2fa86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854450" cy="2247900"/>
                    </a:xfrm>
                    <a:prstGeom prst="rect">
                      <a:avLst/>
                    </a:prstGeom>
                    <a:noFill/>
                    <a:ln>
                      <a:noFill/>
                    </a:ln>
                  </pic:spPr>
                </pic:pic>
              </a:graphicData>
            </a:graphic>
          </wp:inline>
        </w:drawing>
      </w:r>
    </w:p>
    <w:p>
      <w:pPr>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pPr>
        <w:pStyle w:val="12"/>
        <w:keepNext w:val="0"/>
        <w:keepLines w:val="0"/>
        <w:pageBreakBefore w:val="0"/>
        <w:widowControl w:val="0"/>
        <w:kinsoku/>
        <w:wordWrap/>
        <w:overflowPunct/>
        <w:topLinePunct w:val="0"/>
        <w:autoSpaceDE/>
        <w:autoSpaceDN/>
        <w:bidi w:val="0"/>
        <w:adjustRightInd/>
        <w:snapToGrid/>
        <w:spacing w:after="0" w:line="336" w:lineRule="auto"/>
        <w:ind w:right="0"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lang w:val="en-US" w:eastAsia="zh-CN"/>
        </w:rPr>
        <w:t>申请点与参照零售点的经营场所之间有台阶、楼梯的，以其平面坡长进行测量；有电梯的，以层高进行测量；楼梯与电梯并存的，以最短距离的为准。（如图11）</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162550" cy="2216150"/>
            <wp:effectExtent l="0" t="0" r="0" b="12700"/>
            <wp:docPr id="6" name="图片 6"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08fff5a5926b05bdda889babaaeb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162550" cy="2216150"/>
                    </a:xfrm>
                    <a:prstGeom prst="rect">
                      <a:avLst/>
                    </a:prstGeom>
                    <a:noFill/>
                    <a:ln>
                      <a:noFill/>
                    </a:ln>
                  </pic:spPr>
                </pic:pic>
              </a:graphicData>
            </a:graphic>
          </wp:inline>
        </w:drawing>
      </w:r>
    </w:p>
    <w:p>
      <w:pPr>
        <w:tabs>
          <w:tab w:val="left" w:pos="1331"/>
        </w:tabs>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pPr>
        <w:pStyle w:val="12"/>
        <w:keepNext w:val="0"/>
        <w:keepLines w:val="0"/>
        <w:pageBreakBefore w:val="0"/>
        <w:widowControl w:val="0"/>
        <w:kinsoku/>
        <w:wordWrap/>
        <w:overflowPunct/>
        <w:topLinePunct w:val="0"/>
        <w:autoSpaceDE/>
        <w:autoSpaceDN/>
        <w:bidi w:val="0"/>
        <w:adjustRightInd/>
        <w:snapToGrid/>
        <w:spacing w:after="0" w:line="336" w:lineRule="auto"/>
        <w:ind w:right="0"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lang w:val="en-US" w:eastAsia="zh-CN"/>
        </w:rPr>
        <w:t>申请点或零售点多门情况</w:t>
      </w:r>
    </w:p>
    <w:p>
      <w:pPr>
        <w:pStyle w:val="12"/>
        <w:keepNext w:val="0"/>
        <w:keepLines w:val="0"/>
        <w:pageBreakBefore w:val="0"/>
        <w:widowControl w:val="0"/>
        <w:kinsoku/>
        <w:wordWrap/>
        <w:overflowPunct/>
        <w:topLinePunct w:val="0"/>
        <w:autoSpaceDE/>
        <w:autoSpaceDN/>
        <w:bidi w:val="0"/>
        <w:adjustRightInd/>
        <w:snapToGrid/>
        <w:spacing w:after="0" w:line="336" w:lineRule="auto"/>
        <w:ind w:right="0"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申请人经营场所门面多面（多间）贯通且多面经营的，测量起始点的选取规则是：申请人与参照零售点之间距离最近的门面为起始点测量。</w:t>
      </w:r>
    </w:p>
    <w:p>
      <w:pPr>
        <w:pStyle w:val="12"/>
        <w:keepNext w:val="0"/>
        <w:keepLines w:val="0"/>
        <w:pageBreakBefore w:val="0"/>
        <w:widowControl w:val="0"/>
        <w:kinsoku/>
        <w:wordWrap/>
        <w:overflowPunct/>
        <w:topLinePunct w:val="0"/>
        <w:autoSpaceDE/>
        <w:autoSpaceDN/>
        <w:bidi w:val="0"/>
        <w:adjustRightInd/>
        <w:snapToGrid/>
        <w:spacing w:after="0" w:line="336" w:lineRule="auto"/>
        <w:ind w:right="0"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（1）道路同侧情况</w:t>
      </w:r>
    </w:p>
    <w:p>
      <w:pPr>
        <w:pStyle w:val="12"/>
        <w:keepNext w:val="0"/>
        <w:keepLines w:val="0"/>
        <w:pageBreakBefore w:val="0"/>
        <w:widowControl w:val="0"/>
        <w:kinsoku/>
        <w:wordWrap/>
        <w:overflowPunct/>
        <w:topLinePunct w:val="0"/>
        <w:autoSpaceDE/>
        <w:autoSpaceDN/>
        <w:bidi w:val="0"/>
        <w:adjustRightInd/>
        <w:snapToGrid/>
        <w:spacing w:after="0" w:line="336" w:lineRule="auto"/>
        <w:ind w:right="0"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申请点出入口较多，取与最近零售点经营场所最短的出入口进行测量。（如图12.1）</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337050" cy="2216150"/>
            <wp:effectExtent l="0" t="0" r="6350" b="12700"/>
            <wp:docPr id="5" name="图片 5"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861e0d0513f560d18e101d62e6c6f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rot="10800000" flipH="1" flipV="1">
                      <a:off x="0" y="0"/>
                      <a:ext cx="4337050" cy="2216150"/>
                    </a:xfrm>
                    <a:prstGeom prst="rect">
                      <a:avLst/>
                    </a:prstGeom>
                    <a:noFill/>
                    <a:ln>
                      <a:noFill/>
                    </a:ln>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图12.1</w:t>
      </w:r>
    </w:p>
    <w:p>
      <w:pPr>
        <w:pStyle w:val="12"/>
        <w:keepNext w:val="0"/>
        <w:keepLines w:val="0"/>
        <w:pageBreakBefore w:val="0"/>
        <w:widowControl w:val="0"/>
        <w:kinsoku/>
        <w:wordWrap/>
        <w:overflowPunct/>
        <w:topLinePunct w:val="0"/>
        <w:autoSpaceDE/>
        <w:autoSpaceDN/>
        <w:bidi w:val="0"/>
        <w:adjustRightInd/>
        <w:snapToGrid/>
        <w:spacing w:after="0" w:line="336" w:lineRule="auto"/>
        <w:ind w:right="0"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（2）十字路口情况</w:t>
      </w:r>
    </w:p>
    <w:p>
      <w:pPr>
        <w:pStyle w:val="12"/>
        <w:keepNext w:val="0"/>
        <w:keepLines w:val="0"/>
        <w:pageBreakBefore w:val="0"/>
        <w:widowControl w:val="0"/>
        <w:kinsoku/>
        <w:wordWrap/>
        <w:overflowPunct/>
        <w:topLinePunct w:val="0"/>
        <w:autoSpaceDE/>
        <w:autoSpaceDN/>
        <w:bidi w:val="0"/>
        <w:adjustRightInd/>
        <w:snapToGrid/>
        <w:spacing w:after="0" w:line="336" w:lineRule="auto"/>
        <w:ind w:right="0"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A.申请点与参照零售点在十字路口中轴线同一半侧的道路对侧的，取申请点至零售点最近一侧的门边，测量可安全步行的最短距离。具体测量办法视有无交通信号灯、人行横道或过街设施的路段以及障碍物情况而定。（如图12.2）</w:t>
      </w:r>
    </w:p>
    <w:p>
      <w:pPr>
        <w:spacing w:line="360" w:lineRule="auto"/>
        <w:ind w:firstLine="640" w:firstLineChars="200"/>
        <w:jc w:val="center"/>
        <w:rPr>
          <w:rFonts w:ascii="仿宋_GB2312" w:hAnsi="仿宋_GB2312" w:eastAsia="仿宋_GB2312" w:cs="仿宋_GB2312"/>
          <w:sz w:val="32"/>
          <w:szCs w:val="32"/>
        </w:rPr>
      </w:pPr>
    </w:p>
    <w:p>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660650" cy="2444750"/>
            <wp:effectExtent l="0" t="0" r="635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660650" cy="2444750"/>
                    </a:xfrm>
                    <a:prstGeom prst="rect">
                      <a:avLst/>
                    </a:prstGeom>
                    <a:noFill/>
                    <a:ln>
                      <a:noFill/>
                    </a:ln>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图12.2</w:t>
      </w:r>
    </w:p>
    <w:p>
      <w:pPr>
        <w:pStyle w:val="12"/>
        <w:keepNext w:val="0"/>
        <w:keepLines w:val="0"/>
        <w:pageBreakBefore w:val="0"/>
        <w:widowControl w:val="0"/>
        <w:kinsoku/>
        <w:wordWrap/>
        <w:overflowPunct/>
        <w:topLinePunct w:val="0"/>
        <w:autoSpaceDE/>
        <w:autoSpaceDN/>
        <w:bidi w:val="0"/>
        <w:adjustRightInd/>
        <w:snapToGrid/>
        <w:spacing w:after="0" w:line="336" w:lineRule="auto"/>
        <w:ind w:righ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B.申请点与参照零售点位于十字路口对角位置的，且路口中间设有交通信号灯、人行横道或过街设施的，应按照交通规则，通过人行横道或过街设施，按申请点最近一侧门边至零售点最近一侧门边可安全步行最短距离。（如图12.3存在多条线路取其中可安全步行最短距离线路测量）</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130550" cy="2520950"/>
            <wp:effectExtent l="0" t="0" r="12700" b="12700"/>
            <wp:docPr id="3" name="图片 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91a379882017bdd4fda0c6acf0b3c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0550" cy="2520950"/>
                    </a:xfrm>
                    <a:prstGeom prst="rect">
                      <a:avLst/>
                    </a:prstGeom>
                    <a:noFill/>
                    <a:ln>
                      <a:noFill/>
                    </a:ln>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图12.3</w:t>
      </w:r>
    </w:p>
    <w:p>
      <w:pPr>
        <w:pStyle w:val="12"/>
        <w:keepNext w:val="0"/>
        <w:keepLines w:val="0"/>
        <w:pageBreakBefore w:val="0"/>
        <w:widowControl w:val="0"/>
        <w:kinsoku/>
        <w:wordWrap/>
        <w:overflowPunct/>
        <w:topLinePunct w:val="0"/>
        <w:autoSpaceDE/>
        <w:autoSpaceDN/>
        <w:bidi w:val="0"/>
        <w:adjustRightInd/>
        <w:snapToGrid/>
        <w:spacing w:after="0" w:line="336" w:lineRule="auto"/>
        <w:ind w:righ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C.申请点与参照零售点位于十字路口对角位置，且路口中间未设有交通信号灯、人行横道或过街设施的，按申请点至零售点最近一侧的门边，测量可安全步行最短距离。（如图12.4存在多条线路，取其中一条可安全步行最短距离线路测量）</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333750" cy="2743200"/>
            <wp:effectExtent l="0" t="0" r="0" b="0"/>
            <wp:docPr id="2" name="图片 2"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255d481f7a56990fb4032b60a151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333750" cy="2743200"/>
                    </a:xfrm>
                    <a:prstGeom prst="rect">
                      <a:avLst/>
                    </a:prstGeom>
                    <a:noFill/>
                    <a:ln>
                      <a:noFill/>
                    </a:ln>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图12.4</w:t>
      </w:r>
    </w:p>
    <w:p>
      <w:pPr>
        <w:pStyle w:val="12"/>
        <w:keepNext w:val="0"/>
        <w:keepLines w:val="0"/>
        <w:pageBreakBefore w:val="0"/>
        <w:widowControl w:val="0"/>
        <w:kinsoku/>
        <w:wordWrap/>
        <w:overflowPunct/>
        <w:topLinePunct w:val="0"/>
        <w:autoSpaceDE/>
        <w:autoSpaceDN/>
        <w:bidi w:val="0"/>
        <w:adjustRightInd/>
        <w:snapToGrid/>
        <w:spacing w:after="0" w:line="336" w:lineRule="auto"/>
        <w:ind w:right="0" w:firstLine="640" w:firstLineChars="200"/>
        <w:jc w:val="both"/>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lang w:val="en-US" w:eastAsia="zh-CN"/>
        </w:rPr>
        <w:t>封闭式小区内部、广场等区域零售点的间距测量方法均以原设计道路、人行通道正常安全步行的最短距离进行测量。</w:t>
      </w:r>
    </w:p>
    <w:p>
      <w:pPr>
        <w:pStyle w:val="12"/>
        <w:keepNext w:val="0"/>
        <w:keepLines w:val="0"/>
        <w:pageBreakBefore w:val="0"/>
        <w:widowControl w:val="0"/>
        <w:kinsoku/>
        <w:wordWrap/>
        <w:overflowPunct/>
        <w:topLinePunct w:val="0"/>
        <w:autoSpaceDE/>
        <w:autoSpaceDN/>
        <w:bidi w:val="0"/>
        <w:adjustRightInd/>
        <w:snapToGrid/>
        <w:spacing w:after="0" w:line="336" w:lineRule="auto"/>
        <w:ind w:right="0" w:firstLine="640" w:firstLineChars="200"/>
        <w:jc w:val="both"/>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lang w:val="en-US" w:eastAsia="zh-CN"/>
        </w:rPr>
        <w:t>特殊地形测量：因地形、地貌或设计等原因导致道路、通道成不规则形态，通过前述方法无法测量的，以可安全步行最短距离进行测量。</w:t>
      </w:r>
    </w:p>
    <w:p>
      <w:pPr>
        <w:pStyle w:val="12"/>
        <w:spacing w:after="0" w:line="360" w:lineRule="auto"/>
        <w:ind w:right="2"/>
        <w:jc w:val="left"/>
        <w:rPr>
          <w:rFonts w:ascii="仿宋_GB2312" w:hAnsi="仿宋_GB2312" w:eastAsia="仿宋_GB2312" w:cs="仿宋_GB2312"/>
          <w:spacing w:val="10"/>
          <w:sz w:val="32"/>
          <w:szCs w:val="32"/>
        </w:rPr>
        <w:sectPr>
          <w:footerReference r:id="rId3" w:type="default"/>
          <w:pgSz w:w="11906" w:h="16838"/>
          <w:pgMar w:top="1440" w:right="1800" w:bottom="1440" w:left="1800" w:header="851" w:footer="992" w:gutter="0"/>
          <w:pgNumType w:fmt="numberInDash"/>
          <w:cols w:space="720" w:num="1"/>
          <w:docGrid w:type="lines" w:linePitch="312" w:charSpace="0"/>
        </w:sectPr>
      </w:pPr>
    </w:p>
    <w:p>
      <w:pPr>
        <w:spacing w:before="104" w:line="224" w:lineRule="auto"/>
        <w:rPr>
          <w:rFonts w:ascii="黑体" w:hAnsi="黑体" w:eastAsia="黑体" w:cs="黑体"/>
          <w:spacing w:val="8"/>
          <w:sz w:val="32"/>
          <w:szCs w:val="32"/>
        </w:rPr>
      </w:pPr>
      <w:r>
        <w:rPr>
          <w:rFonts w:hint="eastAsia" w:ascii="黑体" w:hAnsi="黑体" w:eastAsia="黑体" w:cs="黑体"/>
          <w:spacing w:val="8"/>
          <w:sz w:val="32"/>
          <w:szCs w:val="32"/>
        </w:rPr>
        <w:t>附件2</w:t>
      </w:r>
    </w:p>
    <w:p>
      <w:pPr>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w:t>
      </w:r>
      <w:r>
        <w:rPr>
          <w:rFonts w:hint="eastAsia" w:ascii="方正小标宋简体" w:eastAsia="方正小标宋简体"/>
          <w:sz w:val="44"/>
          <w:szCs w:val="44"/>
          <w:lang w:val="en-US" w:eastAsia="zh-CN"/>
        </w:rPr>
        <w:t>昆明市官渡区</w:t>
      </w:r>
      <w:r>
        <w:rPr>
          <w:rFonts w:hint="eastAsia" w:ascii="方正小标宋简体" w:eastAsia="方正小标宋简体"/>
          <w:sz w:val="44"/>
          <w:szCs w:val="44"/>
        </w:rPr>
        <w:t>烟草专卖局烟草制品零售点合理布局公示表</w:t>
      </w:r>
    </w:p>
    <w:p>
      <w:pPr>
        <w:rPr>
          <w:rFonts w:ascii="方正小标宋简体" w:eastAsia="方正小标宋简体"/>
          <w:sz w:val="32"/>
          <w:szCs w:val="32"/>
        </w:rPr>
      </w:pPr>
      <w:r>
        <w:rPr>
          <w:rFonts w:hint="eastAsia"/>
        </w:rPr>
        <w:t>单位：</w:t>
      </w:r>
      <w:r>
        <w:rPr>
          <w:rFonts w:hint="eastAsia"/>
          <w:lang w:val="en-US" w:eastAsia="zh-CN"/>
        </w:rPr>
        <w:t>官渡区</w:t>
      </w:r>
      <w:r>
        <w:rPr>
          <w:rFonts w:hint="eastAsia" w:ascii="宋体" w:hAnsi="宋体" w:cs="宋体"/>
        </w:rPr>
        <w:t>烟草专卖局</w:t>
      </w:r>
      <w:r>
        <w:rPr>
          <w:rFonts w:hint="eastAsia"/>
        </w:rPr>
        <w:t>（盖章）                                                        公示时间：</w:t>
      </w:r>
      <w:r>
        <w:t>XX年XX月XX日</w:t>
      </w:r>
      <w:r>
        <w:rPr>
          <w:rFonts w:hint="eastAsia"/>
        </w:rPr>
        <w:t>-</w:t>
      </w:r>
      <w:r>
        <w:t>XX年XX月XX日</w:t>
      </w:r>
    </w:p>
    <w:tbl>
      <w:tblPr>
        <w:tblStyle w:val="17"/>
        <w:tblpPr w:leftFromText="180" w:rightFromText="180" w:vertAnchor="text" w:horzAnchor="page" w:tblpX="882" w:tblpY="44"/>
        <w:tblOverlap w:val="never"/>
        <w:tblW w:w="15256" w:type="dxa"/>
        <w:tblInd w:w="0" w:type="dxa"/>
        <w:tblLayout w:type="fixed"/>
        <w:tblCellMar>
          <w:top w:w="0" w:type="dxa"/>
          <w:left w:w="108" w:type="dxa"/>
          <w:bottom w:w="0" w:type="dxa"/>
          <w:right w:w="108" w:type="dxa"/>
        </w:tblCellMar>
      </w:tblPr>
      <w:tblGrid>
        <w:gridCol w:w="733"/>
        <w:gridCol w:w="1774"/>
        <w:gridCol w:w="1565"/>
        <w:gridCol w:w="1253"/>
        <w:gridCol w:w="1813"/>
        <w:gridCol w:w="1082"/>
        <w:gridCol w:w="2809"/>
        <w:gridCol w:w="1796"/>
        <w:gridCol w:w="1656"/>
        <w:gridCol w:w="775"/>
      </w:tblGrid>
      <w:tr>
        <w:tblPrEx>
          <w:tblCellMar>
            <w:top w:w="0" w:type="dxa"/>
            <w:left w:w="108" w:type="dxa"/>
            <w:bottom w:w="0" w:type="dxa"/>
            <w:right w:w="108" w:type="dxa"/>
          </w:tblCellMar>
        </w:tblPrEx>
        <w:trPr>
          <w:trHeight w:val="487" w:hRule="atLeast"/>
        </w:trPr>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b/>
                <w:bCs/>
                <w:sz w:val="24"/>
              </w:rPr>
            </w:pPr>
            <w:r>
              <w:rPr>
                <w:rFonts w:hint="eastAsia" w:ascii="宋体" w:hAnsi="宋体" w:cs="宋体"/>
                <w:b/>
                <w:bCs/>
                <w:sz w:val="24"/>
                <w:lang w:bidi="ar"/>
              </w:rPr>
              <w:t>名称</w:t>
            </w:r>
          </w:p>
        </w:tc>
        <w:tc>
          <w:tcPr>
            <w:tcW w:w="3339"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b/>
                <w:bCs/>
                <w:sz w:val="24"/>
              </w:rPr>
            </w:pPr>
            <w:r>
              <w:rPr>
                <w:rFonts w:hint="eastAsia" w:ascii="宋体" w:hAnsi="宋体" w:cs="宋体"/>
                <w:b/>
                <w:bCs/>
                <w:sz w:val="24"/>
                <w:lang w:bidi="ar"/>
              </w:rPr>
              <w:t>单元网格划分情况</w:t>
            </w:r>
          </w:p>
        </w:tc>
        <w:tc>
          <w:tcPr>
            <w:tcW w:w="4148"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b/>
                <w:bCs/>
                <w:sz w:val="24"/>
              </w:rPr>
            </w:pPr>
            <w:r>
              <w:rPr>
                <w:rFonts w:hint="eastAsia" w:ascii="宋体" w:hAnsi="宋体" w:cs="宋体"/>
                <w:b/>
                <w:bCs/>
                <w:sz w:val="24"/>
                <w:lang w:bidi="ar"/>
              </w:rPr>
              <w:t>单元网格数量情况</w:t>
            </w:r>
          </w:p>
        </w:tc>
        <w:tc>
          <w:tcPr>
            <w:tcW w:w="4605"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b/>
                <w:bCs/>
                <w:sz w:val="24"/>
                <w:lang w:bidi="ar"/>
              </w:rPr>
            </w:pPr>
            <w:r>
              <w:rPr>
                <w:rFonts w:hint="eastAsia" w:ascii="宋体" w:hAnsi="宋体" w:cs="宋体"/>
                <w:b/>
                <w:bCs/>
                <w:sz w:val="24"/>
                <w:lang w:bidi="ar"/>
              </w:rPr>
              <w:t>单元网格距离情况</w:t>
            </w:r>
          </w:p>
        </w:tc>
        <w:tc>
          <w:tcPr>
            <w:tcW w:w="1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b/>
                <w:bCs/>
                <w:sz w:val="24"/>
              </w:rPr>
            </w:pPr>
            <w:r>
              <w:rPr>
                <w:rFonts w:hint="eastAsia" w:ascii="宋体" w:hAnsi="宋体" w:cs="宋体"/>
                <w:b/>
                <w:bCs/>
                <w:sz w:val="24"/>
                <w:lang w:bidi="ar"/>
              </w:rPr>
              <w:t>总量情况</w:t>
            </w:r>
          </w:p>
        </w:tc>
        <w:tc>
          <w:tcPr>
            <w:tcW w:w="775" w:type="dxa"/>
            <w:vMerge w:val="restart"/>
            <w:tcBorders>
              <w:top w:val="single" w:color="000000" w:sz="4" w:space="0"/>
              <w:left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b/>
                <w:bCs/>
                <w:sz w:val="24"/>
                <w:lang w:bidi="ar"/>
              </w:rPr>
            </w:pPr>
            <w:r>
              <w:rPr>
                <w:rFonts w:hint="eastAsia" w:ascii="宋体" w:hAnsi="宋体" w:cs="宋体"/>
                <w:b/>
                <w:bCs/>
                <w:sz w:val="24"/>
                <w:lang w:bidi="ar"/>
              </w:rPr>
              <w:t>备注</w:t>
            </w:r>
          </w:p>
        </w:tc>
      </w:tr>
      <w:tr>
        <w:tblPrEx>
          <w:tblCellMar>
            <w:top w:w="0" w:type="dxa"/>
            <w:left w:w="108" w:type="dxa"/>
            <w:bottom w:w="0" w:type="dxa"/>
            <w:right w:w="108" w:type="dxa"/>
          </w:tblCellMar>
        </w:tblPrEx>
        <w:trPr>
          <w:trHeight w:val="670" w:hRule="atLeast"/>
        </w:trPr>
        <w:tc>
          <w:tcPr>
            <w:tcW w:w="73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eastAsiaTheme="minorEastAsia"/>
                <w:sz w:val="22"/>
                <w:szCs w:val="22"/>
                <w:lang w:val="en-US" w:eastAsia="zh-CN"/>
              </w:rPr>
            </w:pPr>
            <w:r>
              <w:rPr>
                <w:rFonts w:hint="eastAsia" w:ascii="宋体" w:hAnsi="宋体" w:cs="宋体"/>
                <w:sz w:val="22"/>
                <w:szCs w:val="22"/>
                <w:lang w:val="en-US" w:eastAsia="zh-CN" w:bidi="ar"/>
              </w:rPr>
              <w:t>官渡区</w:t>
            </w:r>
          </w:p>
        </w:tc>
        <w:tc>
          <w:tcPr>
            <w:tcW w:w="177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rPr>
            </w:pPr>
            <w:r>
              <w:rPr>
                <w:rFonts w:hint="eastAsia" w:ascii="宋体" w:hAnsi="宋体" w:cs="宋体"/>
                <w:sz w:val="22"/>
                <w:szCs w:val="22"/>
                <w:lang w:bidi="ar"/>
              </w:rPr>
              <w:t>名称</w:t>
            </w:r>
          </w:p>
        </w:tc>
        <w:tc>
          <w:tcPr>
            <w:tcW w:w="156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rPr>
            </w:pPr>
            <w:r>
              <w:rPr>
                <w:rFonts w:hint="eastAsia" w:ascii="宋体" w:hAnsi="宋体" w:cs="宋体"/>
                <w:sz w:val="22"/>
                <w:szCs w:val="22"/>
                <w:lang w:bidi="ar"/>
              </w:rPr>
              <w:t>区域描述</w:t>
            </w:r>
          </w:p>
        </w:tc>
        <w:tc>
          <w:tcPr>
            <w:tcW w:w="125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rPr>
            </w:pPr>
            <w:r>
              <w:rPr>
                <w:rFonts w:hint="eastAsia" w:ascii="宋体" w:hAnsi="宋体" w:cs="宋体"/>
                <w:sz w:val="22"/>
                <w:szCs w:val="22"/>
                <w:lang w:bidi="ar"/>
              </w:rPr>
              <w:t>规划数（个）</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rPr>
            </w:pPr>
            <w:r>
              <w:rPr>
                <w:rFonts w:hint="eastAsia" w:ascii="宋体" w:hAnsi="宋体" w:cs="宋体"/>
                <w:sz w:val="22"/>
                <w:szCs w:val="22"/>
                <w:lang w:bidi="ar"/>
              </w:rPr>
              <w:t>当前实际数（个）</w:t>
            </w:r>
          </w:p>
        </w:tc>
        <w:tc>
          <w:tcPr>
            <w:tcW w:w="108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rPr>
            </w:pPr>
            <w:r>
              <w:rPr>
                <w:rFonts w:hint="eastAsia" w:ascii="宋体" w:hAnsi="宋体" w:cs="宋体"/>
                <w:sz w:val="22"/>
                <w:szCs w:val="22"/>
                <w:lang w:bidi="ar"/>
              </w:rPr>
              <w:t>余量（个）</w:t>
            </w:r>
          </w:p>
        </w:tc>
        <w:tc>
          <w:tcPr>
            <w:tcW w:w="280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lang w:bidi="ar"/>
              </w:rPr>
            </w:pPr>
            <w:r>
              <w:rPr>
                <w:rFonts w:hint="eastAsia" w:ascii="宋体" w:hAnsi="宋体" w:cs="宋体"/>
                <w:sz w:val="22"/>
                <w:szCs w:val="22"/>
                <w:lang w:bidi="ar"/>
              </w:rPr>
              <w:t>零售点间距</w:t>
            </w:r>
          </w:p>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rPr>
            </w:pPr>
            <w:r>
              <w:rPr>
                <w:rFonts w:hint="eastAsia" w:ascii="宋体" w:hAnsi="宋体" w:cs="宋体"/>
                <w:sz w:val="22"/>
                <w:szCs w:val="22"/>
                <w:lang w:bidi="ar"/>
              </w:rPr>
              <w:t>（米）</w:t>
            </w:r>
          </w:p>
        </w:tc>
        <w:tc>
          <w:tcPr>
            <w:tcW w:w="179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rPr>
            </w:pPr>
            <w:r>
              <w:rPr>
                <w:rFonts w:hint="eastAsia" w:ascii="宋体" w:hAnsi="宋体" w:cs="宋体"/>
                <w:sz w:val="22"/>
                <w:szCs w:val="22"/>
                <w:lang w:bidi="ar"/>
              </w:rPr>
              <w:t>其他条件描述</w:t>
            </w:r>
          </w:p>
        </w:tc>
        <w:tc>
          <w:tcPr>
            <w:tcW w:w="16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lang w:bidi="ar"/>
              </w:rPr>
            </w:pPr>
            <w:r>
              <w:rPr>
                <w:rFonts w:hint="eastAsia" w:ascii="宋体" w:hAnsi="宋体" w:cs="宋体"/>
                <w:sz w:val="22"/>
                <w:szCs w:val="22"/>
                <w:lang w:val="en-US" w:eastAsia="zh-CN" w:bidi="ar"/>
              </w:rPr>
              <w:t>官渡区</w:t>
            </w:r>
            <w:r>
              <w:rPr>
                <w:rFonts w:hint="eastAsia" w:ascii="宋体" w:hAnsi="宋体" w:cs="宋体"/>
                <w:sz w:val="22"/>
                <w:szCs w:val="22"/>
                <w:lang w:bidi="ar"/>
              </w:rPr>
              <w:t>总量规划数</w:t>
            </w:r>
          </w:p>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rPr>
            </w:pPr>
            <w:r>
              <w:rPr>
                <w:rFonts w:hint="eastAsia" w:ascii="宋体" w:hAnsi="宋体" w:cs="宋体"/>
                <w:sz w:val="22"/>
                <w:szCs w:val="22"/>
                <w:lang w:bidi="ar"/>
              </w:rPr>
              <w:t>（个）</w:t>
            </w:r>
          </w:p>
        </w:tc>
        <w:tc>
          <w:tcPr>
            <w:tcW w:w="775" w:type="dxa"/>
            <w:vMerge w:val="continue"/>
            <w:tcBorders>
              <w:left w:val="single" w:color="000000" w:sz="4" w:space="0"/>
              <w:bottom w:val="single" w:color="auto"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rPr>
            </w:pPr>
          </w:p>
        </w:tc>
      </w:tr>
      <w:tr>
        <w:tblPrEx>
          <w:tblCellMar>
            <w:top w:w="0" w:type="dxa"/>
            <w:left w:w="108" w:type="dxa"/>
            <w:bottom w:w="0" w:type="dxa"/>
            <w:right w:w="108" w:type="dxa"/>
          </w:tblCellMar>
        </w:tblPrEx>
        <w:trPr>
          <w:trHeight w:val="1819" w:hRule="atLeast"/>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77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rPr>
            </w:pPr>
            <w:r>
              <w:rPr>
                <w:rFonts w:hint="eastAsia" w:ascii="宋体" w:hAnsi="宋体" w:cs="宋体"/>
                <w:sz w:val="22"/>
                <w:szCs w:val="22"/>
                <w:lang w:bidi="ar"/>
              </w:rPr>
              <w:t>示例：单元网格1名称</w:t>
            </w:r>
          </w:p>
        </w:tc>
        <w:tc>
          <w:tcPr>
            <w:tcW w:w="156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rPr>
            </w:pPr>
            <w:r>
              <w:rPr>
                <w:rFonts w:hint="eastAsia" w:ascii="宋体" w:hAnsi="宋体" w:cs="宋体"/>
                <w:sz w:val="22"/>
                <w:szCs w:val="22"/>
                <w:lang w:val="en-US" w:eastAsia="zh-CN" w:bidi="ar"/>
              </w:rPr>
              <w:t>关上</w:t>
            </w:r>
            <w:r>
              <w:rPr>
                <w:rFonts w:hint="eastAsia" w:ascii="宋体" w:hAnsi="宋体" w:cs="宋体"/>
                <w:sz w:val="22"/>
                <w:szCs w:val="22"/>
                <w:lang w:bidi="ar"/>
              </w:rPr>
              <w:t>街道</w:t>
            </w:r>
          </w:p>
        </w:tc>
        <w:tc>
          <w:tcPr>
            <w:tcW w:w="125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rPr>
            </w:pPr>
            <w:r>
              <w:rPr>
                <w:rFonts w:hint="eastAsia" w:ascii="宋体" w:hAnsi="宋体" w:cs="宋体"/>
                <w:sz w:val="22"/>
                <w:szCs w:val="22"/>
                <w:lang w:bidi="ar"/>
              </w:rPr>
              <w:t>示例：30</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rPr>
            </w:pPr>
            <w:r>
              <w:rPr>
                <w:rFonts w:hint="eastAsia" w:ascii="宋体" w:hAnsi="宋体" w:cs="宋体"/>
                <w:sz w:val="22"/>
                <w:szCs w:val="22"/>
                <w:lang w:bidi="ar"/>
              </w:rPr>
              <w:t>示例：32</w:t>
            </w:r>
          </w:p>
        </w:tc>
        <w:tc>
          <w:tcPr>
            <w:tcW w:w="108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rPr>
            </w:pPr>
            <w:r>
              <w:rPr>
                <w:rFonts w:hint="eastAsia" w:ascii="宋体" w:hAnsi="宋体" w:cs="宋体"/>
                <w:sz w:val="22"/>
                <w:szCs w:val="22"/>
                <w:lang w:bidi="ar"/>
              </w:rPr>
              <w:t>示例：0（负数也公示为零）</w:t>
            </w:r>
          </w:p>
        </w:tc>
        <w:tc>
          <w:tcPr>
            <w:tcW w:w="280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eastAsiaTheme="minorEastAsia"/>
                <w:sz w:val="22"/>
                <w:szCs w:val="22"/>
                <w:lang w:val="en-US" w:eastAsia="zh-CN"/>
              </w:rPr>
            </w:pPr>
            <w:r>
              <w:rPr>
                <w:rFonts w:hint="eastAsia" w:ascii="宋体" w:hAnsi="宋体" w:cs="宋体"/>
                <w:sz w:val="22"/>
                <w:szCs w:val="22"/>
                <w:lang w:bidi="ar"/>
              </w:rPr>
              <w:t>示例：</w:t>
            </w:r>
            <w:r>
              <w:rPr>
                <w:rFonts w:hint="eastAsia" w:ascii="宋体" w:hAnsi="宋体" w:cs="宋体"/>
                <w:sz w:val="22"/>
                <w:szCs w:val="22"/>
                <w:lang w:val="en-US" w:eastAsia="zh-CN" w:bidi="ar"/>
              </w:rPr>
              <w:t>80</w:t>
            </w:r>
          </w:p>
        </w:tc>
        <w:tc>
          <w:tcPr>
            <w:tcW w:w="1796" w:type="dxa"/>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0" w:beforeAutospacing="0" w:after="0" w:afterAutospacing="0"/>
              <w:ind w:left="0" w:right="0"/>
              <w:textAlignment w:val="top"/>
              <w:rPr>
                <w:rFonts w:hint="default" w:ascii="宋体" w:hAnsi="宋体" w:cs="宋体"/>
                <w:sz w:val="22"/>
                <w:szCs w:val="22"/>
              </w:rPr>
            </w:pPr>
          </w:p>
        </w:tc>
        <w:tc>
          <w:tcPr>
            <w:tcW w:w="1656" w:type="dxa"/>
            <w:vMerge w:val="restart"/>
            <w:tcBorders>
              <w:top w:val="single" w:color="000000" w:sz="4" w:space="0"/>
              <w:left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rPr>
            </w:pPr>
            <w:r>
              <w:rPr>
                <w:rFonts w:hint="eastAsia" w:ascii="宋体" w:hAnsi="宋体" w:cs="宋体"/>
                <w:sz w:val="22"/>
                <w:szCs w:val="22"/>
                <w:lang w:bidi="ar"/>
              </w:rPr>
              <w:t>(所有单元网格规划数之和)</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宋体"/>
                <w:sz w:val="22"/>
                <w:szCs w:val="22"/>
              </w:rPr>
            </w:pPr>
          </w:p>
        </w:tc>
      </w:tr>
      <w:tr>
        <w:tblPrEx>
          <w:tblCellMar>
            <w:top w:w="0" w:type="dxa"/>
            <w:left w:w="108" w:type="dxa"/>
            <w:bottom w:w="0" w:type="dxa"/>
            <w:right w:w="108" w:type="dxa"/>
          </w:tblCellMar>
        </w:tblPrEx>
        <w:trPr>
          <w:trHeight w:val="340" w:hRule="atLeast"/>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77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rPr>
            </w:pPr>
            <w:r>
              <w:rPr>
                <w:rFonts w:hint="eastAsia" w:ascii="宋体" w:hAnsi="宋体" w:cs="宋体"/>
                <w:sz w:val="22"/>
                <w:szCs w:val="22"/>
                <w:lang w:bidi="ar"/>
              </w:rPr>
              <w:t>单元网格2名称</w:t>
            </w:r>
          </w:p>
        </w:tc>
        <w:tc>
          <w:tcPr>
            <w:tcW w:w="156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25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08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280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79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656"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r>
      <w:tr>
        <w:tblPrEx>
          <w:tblCellMar>
            <w:top w:w="0" w:type="dxa"/>
            <w:left w:w="108" w:type="dxa"/>
            <w:bottom w:w="0" w:type="dxa"/>
            <w:right w:w="108" w:type="dxa"/>
          </w:tblCellMar>
        </w:tblPrEx>
        <w:trPr>
          <w:trHeight w:val="340" w:hRule="atLeast"/>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77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rPr>
            </w:pPr>
            <w:r>
              <w:rPr>
                <w:rFonts w:hint="eastAsia" w:ascii="宋体" w:hAnsi="宋体" w:cs="宋体"/>
                <w:sz w:val="22"/>
                <w:szCs w:val="22"/>
                <w:lang w:bidi="ar"/>
              </w:rPr>
              <w:t>单元网格3名称</w:t>
            </w:r>
          </w:p>
        </w:tc>
        <w:tc>
          <w:tcPr>
            <w:tcW w:w="156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25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08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280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7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sz w:val="22"/>
                <w:szCs w:val="22"/>
              </w:rPr>
            </w:pPr>
          </w:p>
        </w:tc>
        <w:tc>
          <w:tcPr>
            <w:tcW w:w="1656"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r>
      <w:tr>
        <w:tblPrEx>
          <w:tblCellMar>
            <w:top w:w="0" w:type="dxa"/>
            <w:left w:w="108" w:type="dxa"/>
            <w:bottom w:w="0" w:type="dxa"/>
            <w:right w:w="108" w:type="dxa"/>
          </w:tblCellMar>
        </w:tblPrEx>
        <w:trPr>
          <w:trHeight w:val="340" w:hRule="atLeast"/>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77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rPr>
            </w:pPr>
            <w:r>
              <w:rPr>
                <w:rFonts w:hint="eastAsia" w:ascii="宋体" w:hAnsi="宋体" w:cs="宋体"/>
                <w:sz w:val="22"/>
                <w:szCs w:val="22"/>
                <w:lang w:bidi="ar"/>
              </w:rPr>
              <w:t>……</w:t>
            </w:r>
          </w:p>
        </w:tc>
        <w:tc>
          <w:tcPr>
            <w:tcW w:w="156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25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08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280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7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sz w:val="22"/>
                <w:szCs w:val="22"/>
              </w:rPr>
            </w:pPr>
          </w:p>
        </w:tc>
        <w:tc>
          <w:tcPr>
            <w:tcW w:w="1656"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r>
      <w:tr>
        <w:tblPrEx>
          <w:tblCellMar>
            <w:top w:w="0" w:type="dxa"/>
            <w:left w:w="108" w:type="dxa"/>
            <w:bottom w:w="0" w:type="dxa"/>
            <w:right w:w="108" w:type="dxa"/>
          </w:tblCellMar>
        </w:tblPrEx>
        <w:trPr>
          <w:trHeight w:val="336" w:hRule="atLeast"/>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77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56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25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08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280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7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sz w:val="22"/>
                <w:szCs w:val="22"/>
              </w:rPr>
            </w:pPr>
          </w:p>
        </w:tc>
        <w:tc>
          <w:tcPr>
            <w:tcW w:w="1656" w:type="dxa"/>
            <w:vMerge w:val="continue"/>
            <w:tcBorders>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宋体"/>
                <w:sz w:val="22"/>
                <w:szCs w:val="22"/>
              </w:rPr>
            </w:pPr>
          </w:p>
        </w:tc>
      </w:tr>
    </w:tbl>
    <w:p>
      <w:pPr>
        <w:spacing w:before="42" w:line="219" w:lineRule="auto"/>
        <w:ind w:right="-101" w:rightChars="-48"/>
        <w:rPr>
          <w:rFonts w:ascii="宋体" w:hAnsi="宋体" w:cs="宋体"/>
          <w:spacing w:val="-1"/>
        </w:rPr>
      </w:pPr>
      <w:r>
        <w:rPr>
          <w:rFonts w:hint="eastAsia" w:ascii="宋体" w:hAnsi="宋体" w:cs="宋体"/>
          <w:spacing w:val="-1"/>
        </w:rPr>
        <w:t>备注：1.本公示表的数据根据本</w:t>
      </w:r>
      <w:r>
        <w:rPr>
          <w:rFonts w:hint="eastAsia" w:ascii="宋体" w:hAnsi="宋体" w:cs="宋体"/>
          <w:spacing w:val="-1"/>
          <w:lang w:val="en-US" w:eastAsia="zh-CN"/>
        </w:rPr>
        <w:t>区</w:t>
      </w:r>
      <w:r>
        <w:rPr>
          <w:rFonts w:hint="eastAsia" w:ascii="宋体" w:hAnsi="宋体" w:cs="宋体"/>
          <w:spacing w:val="-1"/>
        </w:rPr>
        <w:t>零售点布局规划实行定期评价、动态管理。</w:t>
      </w:r>
    </w:p>
    <w:p>
      <w:pPr>
        <w:spacing w:before="42" w:line="219" w:lineRule="auto"/>
        <w:ind w:firstLine="624" w:firstLineChars="300"/>
        <w:rPr>
          <w:rFonts w:ascii="宋体" w:hAnsi="宋体" w:cs="宋体"/>
          <w:spacing w:val="-1"/>
        </w:rPr>
      </w:pPr>
      <w:r>
        <w:rPr>
          <w:rFonts w:hint="eastAsia" w:ascii="宋体" w:hAnsi="宋体" w:cs="宋体"/>
          <w:spacing w:val="-1"/>
        </w:rPr>
        <w:t>2.每</w:t>
      </w:r>
      <w:r>
        <w:rPr>
          <w:rFonts w:hint="eastAsia" w:ascii="宋体" w:hAnsi="宋体" w:cs="宋体"/>
          <w:spacing w:val="-1"/>
          <w:highlight w:val="none"/>
          <w:lang w:val="en-US" w:eastAsia="zh-CN"/>
        </w:rPr>
        <w:t>季度</w:t>
      </w:r>
      <w:r>
        <w:rPr>
          <w:rFonts w:hint="eastAsia" w:ascii="宋体" w:hAnsi="宋体" w:cs="宋体"/>
          <w:spacing w:val="-1"/>
        </w:rPr>
        <w:t>根据经济发展、城乡建设、市场形势等变化情况对本表中的数据进行动态调整，规划数相应进行动态更新，以每XX（选项：每季度、每半年）最后一次公示的数据为准。</w:t>
      </w:r>
    </w:p>
    <w:p>
      <w:pPr>
        <w:spacing w:before="42" w:line="219" w:lineRule="auto"/>
        <w:ind w:firstLine="624" w:firstLineChars="300"/>
        <w:rPr>
          <w:rFonts w:ascii="方正小标宋简体" w:eastAsia="方正小标宋简体"/>
          <w:sz w:val="32"/>
          <w:szCs w:val="32"/>
        </w:rPr>
      </w:pPr>
      <w:r>
        <w:rPr>
          <w:rFonts w:hint="eastAsia" w:ascii="宋体" w:hAnsi="宋体" w:cs="宋体"/>
          <w:spacing w:val="-1"/>
        </w:rPr>
        <w:t>3.本数据由</w:t>
      </w:r>
      <w:r>
        <w:rPr>
          <w:rFonts w:hint="eastAsia" w:ascii="宋体" w:hAnsi="宋体" w:cs="宋体"/>
          <w:spacing w:val="-1"/>
          <w:lang w:val="en-US" w:eastAsia="zh-CN"/>
        </w:rPr>
        <w:t>官渡区</w:t>
      </w:r>
      <w:r>
        <w:rPr>
          <w:rFonts w:hint="eastAsia" w:ascii="宋体" w:hAnsi="宋体" w:cs="宋体"/>
          <w:spacing w:val="-1"/>
        </w:rPr>
        <w:t>烟草专卖局负责解释，咨询电话：XXXX。</w:t>
      </w:r>
    </w:p>
    <w:p>
      <w:pPr>
        <w:pStyle w:val="12"/>
        <w:spacing w:after="0" w:line="360" w:lineRule="auto"/>
        <w:ind w:right="2"/>
        <w:jc w:val="left"/>
        <w:rPr>
          <w:rFonts w:ascii="仿宋_GB2312" w:hAnsi="仿宋_GB2312" w:eastAsia="仿宋_GB2312" w:cs="仿宋_GB2312"/>
          <w:spacing w:val="10"/>
          <w:sz w:val="32"/>
          <w:szCs w:val="32"/>
        </w:rPr>
        <w:sectPr>
          <w:pgSz w:w="16838" w:h="11906" w:orient="landscape"/>
          <w:pgMar w:top="1463" w:right="1440" w:bottom="1800" w:left="1440" w:header="851" w:footer="992" w:gutter="0"/>
          <w:pgNumType w:fmt="numberInDash"/>
          <w:cols w:space="720" w:num="1"/>
          <w:docGrid w:type="lines" w:linePitch="312" w:charSpace="0"/>
        </w:sectPr>
      </w:pPr>
    </w:p>
    <w:p>
      <w:pPr>
        <w:spacing w:before="104" w:line="224" w:lineRule="auto"/>
        <w:rPr>
          <w:rFonts w:hint="eastAsia" w:ascii="黑体" w:hAnsi="黑体" w:eastAsia="黑体" w:cs="黑体"/>
          <w:spacing w:val="8"/>
          <w:sz w:val="32"/>
          <w:szCs w:val="32"/>
          <w:lang w:eastAsia="zh-CN"/>
        </w:rPr>
      </w:pPr>
      <w:r>
        <w:rPr>
          <w:rFonts w:hint="eastAsia" w:ascii="黑体" w:hAnsi="黑体" w:eastAsia="黑体" w:cs="黑体"/>
          <w:spacing w:val="8"/>
          <w:sz w:val="32"/>
          <w:szCs w:val="32"/>
        </w:rPr>
        <w:t>附件</w:t>
      </w:r>
      <w:r>
        <w:rPr>
          <w:rFonts w:hint="eastAsia" w:ascii="黑体" w:hAnsi="黑体" w:eastAsia="黑体" w:cs="黑体"/>
          <w:spacing w:val="8"/>
          <w:sz w:val="32"/>
          <w:szCs w:val="32"/>
          <w:lang w:val="en-US" w:eastAsia="zh-CN"/>
        </w:rPr>
        <w:t>3</w:t>
      </w:r>
    </w:p>
    <w:p>
      <w:pPr>
        <w:spacing w:line="317" w:lineRule="auto"/>
        <w:jc w:val="center"/>
        <w:rPr>
          <w:rFonts w:hint="eastAsia" w:ascii="方正小标宋简体" w:eastAsia="方正小标宋简体"/>
          <w:sz w:val="44"/>
          <w:szCs w:val="44"/>
        </w:rPr>
      </w:pPr>
      <w:r>
        <w:rPr>
          <w:rFonts w:hint="eastAsia" w:ascii="方正小标宋简体" w:eastAsia="方正小标宋简体"/>
          <w:sz w:val="44"/>
          <w:szCs w:val="44"/>
        </w:rPr>
        <w:t>云南省</w:t>
      </w:r>
      <w:r>
        <w:rPr>
          <w:rFonts w:hint="eastAsia" w:ascii="方正小标宋简体" w:eastAsia="方正小标宋简体"/>
          <w:sz w:val="44"/>
          <w:szCs w:val="44"/>
          <w:lang w:val="en-US" w:eastAsia="zh-CN"/>
        </w:rPr>
        <w:t>昆明市官渡区</w:t>
      </w:r>
      <w:r>
        <w:rPr>
          <w:rFonts w:hint="eastAsia" w:ascii="方正小标宋简体" w:eastAsia="方正小标宋简体"/>
          <w:sz w:val="44"/>
          <w:szCs w:val="44"/>
        </w:rPr>
        <w:t>烟草专卖局烟草制品</w:t>
      </w:r>
      <w:r>
        <w:rPr>
          <w:rFonts w:hint="eastAsia" w:ascii="方正小标宋简体" w:eastAsia="方正小标宋简体"/>
          <w:sz w:val="44"/>
          <w:szCs w:val="44"/>
          <w:lang w:val="en-US" w:eastAsia="zh-CN"/>
        </w:rPr>
        <w:t>特殊区域</w:t>
      </w:r>
      <w:r>
        <w:rPr>
          <w:rFonts w:hint="eastAsia" w:ascii="方正小标宋简体" w:eastAsia="方正小标宋简体"/>
          <w:sz w:val="44"/>
          <w:szCs w:val="44"/>
        </w:rPr>
        <w:t>零售点</w:t>
      </w:r>
    </w:p>
    <w:p>
      <w:pPr>
        <w:spacing w:line="317" w:lineRule="auto"/>
        <w:jc w:val="center"/>
        <w:rPr>
          <w:rFonts w:ascii="方正小标宋简体" w:eastAsia="方正小标宋简体"/>
          <w:sz w:val="44"/>
          <w:szCs w:val="44"/>
        </w:rPr>
      </w:pPr>
      <w:r>
        <w:rPr>
          <w:rFonts w:hint="eastAsia" w:ascii="方正小标宋简体" w:eastAsia="方正小标宋简体"/>
          <w:sz w:val="44"/>
          <w:szCs w:val="44"/>
        </w:rPr>
        <w:t>合理布局公示表</w:t>
      </w:r>
    </w:p>
    <w:p>
      <w:pPr>
        <w:rPr>
          <w:rFonts w:ascii="方正小标宋简体" w:eastAsia="方正小标宋简体"/>
          <w:sz w:val="32"/>
          <w:szCs w:val="32"/>
        </w:rPr>
      </w:pPr>
      <w:r>
        <w:rPr>
          <w:rFonts w:hint="eastAsia"/>
        </w:rPr>
        <w:t>单位：</w:t>
      </w:r>
      <w:r>
        <w:rPr>
          <w:rFonts w:hint="eastAsia"/>
          <w:lang w:val="en-US" w:eastAsia="zh-CN"/>
        </w:rPr>
        <w:t>官渡区</w:t>
      </w:r>
      <w:r>
        <w:rPr>
          <w:rFonts w:hint="eastAsia" w:ascii="宋体" w:hAnsi="宋体" w:cs="宋体"/>
        </w:rPr>
        <w:t>烟草专卖局</w:t>
      </w:r>
      <w:r>
        <w:rPr>
          <w:rFonts w:hint="eastAsia"/>
        </w:rPr>
        <w:t>（盖章）                                                        公示时间：</w:t>
      </w:r>
      <w:r>
        <w:t>XX年XX月XX日</w:t>
      </w:r>
      <w:r>
        <w:rPr>
          <w:rFonts w:hint="eastAsia"/>
        </w:rPr>
        <w:t>-</w:t>
      </w:r>
      <w:r>
        <w:t>XX年XX月XX日</w:t>
      </w:r>
    </w:p>
    <w:tbl>
      <w:tblPr>
        <w:tblStyle w:val="17"/>
        <w:tblpPr w:leftFromText="180" w:rightFromText="180" w:vertAnchor="text" w:horzAnchor="page" w:tblpX="882" w:tblpY="44"/>
        <w:tblOverlap w:val="never"/>
        <w:tblW w:w="14426" w:type="dxa"/>
        <w:tblInd w:w="0" w:type="dxa"/>
        <w:tblLayout w:type="fixed"/>
        <w:tblCellMar>
          <w:top w:w="0" w:type="dxa"/>
          <w:left w:w="108" w:type="dxa"/>
          <w:bottom w:w="0" w:type="dxa"/>
          <w:right w:w="108" w:type="dxa"/>
        </w:tblCellMar>
      </w:tblPr>
      <w:tblGrid>
        <w:gridCol w:w="733"/>
        <w:gridCol w:w="1774"/>
        <w:gridCol w:w="1565"/>
        <w:gridCol w:w="1253"/>
        <w:gridCol w:w="1813"/>
        <w:gridCol w:w="1082"/>
        <w:gridCol w:w="2681"/>
        <w:gridCol w:w="2550"/>
        <w:gridCol w:w="975"/>
      </w:tblGrid>
      <w:tr>
        <w:tblPrEx>
          <w:tblCellMar>
            <w:top w:w="0" w:type="dxa"/>
            <w:left w:w="108" w:type="dxa"/>
            <w:bottom w:w="0" w:type="dxa"/>
            <w:right w:w="108" w:type="dxa"/>
          </w:tblCellMar>
        </w:tblPrEx>
        <w:trPr>
          <w:trHeight w:val="487" w:hRule="atLeast"/>
        </w:trPr>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b/>
                <w:bCs/>
                <w:sz w:val="24"/>
              </w:rPr>
            </w:pPr>
            <w:r>
              <w:rPr>
                <w:rFonts w:hint="eastAsia" w:ascii="宋体" w:hAnsi="宋体" w:cs="宋体"/>
                <w:b/>
                <w:bCs/>
                <w:sz w:val="24"/>
                <w:lang w:bidi="ar"/>
              </w:rPr>
              <w:t>名称</w:t>
            </w:r>
          </w:p>
        </w:tc>
        <w:tc>
          <w:tcPr>
            <w:tcW w:w="3339"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b/>
                <w:bCs/>
                <w:sz w:val="24"/>
              </w:rPr>
            </w:pPr>
            <w:r>
              <w:rPr>
                <w:rFonts w:hint="eastAsia" w:ascii="宋体" w:hAnsi="宋体" w:cs="宋体"/>
                <w:b/>
                <w:bCs/>
                <w:sz w:val="24"/>
                <w:lang w:val="en-US" w:eastAsia="zh-CN" w:bidi="ar"/>
              </w:rPr>
              <w:t>特殊区域网格</w:t>
            </w:r>
            <w:r>
              <w:rPr>
                <w:rFonts w:hint="eastAsia" w:ascii="宋体" w:hAnsi="宋体" w:cs="宋体"/>
                <w:b/>
                <w:bCs/>
                <w:sz w:val="24"/>
                <w:lang w:bidi="ar"/>
              </w:rPr>
              <w:t>情况</w:t>
            </w:r>
          </w:p>
        </w:tc>
        <w:tc>
          <w:tcPr>
            <w:tcW w:w="4148"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b/>
                <w:bCs/>
                <w:sz w:val="24"/>
              </w:rPr>
            </w:pPr>
            <w:r>
              <w:rPr>
                <w:rFonts w:hint="eastAsia" w:ascii="宋体" w:hAnsi="宋体" w:cs="宋体"/>
                <w:b/>
                <w:bCs/>
                <w:sz w:val="24"/>
                <w:lang w:val="en-US" w:eastAsia="zh-CN" w:bidi="ar"/>
              </w:rPr>
              <w:t>特殊区域</w:t>
            </w:r>
            <w:r>
              <w:rPr>
                <w:rFonts w:hint="eastAsia" w:ascii="宋体" w:hAnsi="宋体" w:cs="宋体"/>
                <w:b/>
                <w:bCs/>
                <w:sz w:val="24"/>
                <w:lang w:bidi="ar"/>
              </w:rPr>
              <w:t>网格数量情况</w:t>
            </w:r>
          </w:p>
        </w:tc>
        <w:tc>
          <w:tcPr>
            <w:tcW w:w="5231"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b/>
                <w:bCs/>
                <w:sz w:val="24"/>
                <w:lang w:bidi="ar"/>
              </w:rPr>
            </w:pPr>
            <w:r>
              <w:rPr>
                <w:rFonts w:hint="eastAsia" w:ascii="宋体" w:hAnsi="宋体" w:cs="宋体"/>
                <w:b/>
                <w:bCs/>
                <w:sz w:val="24"/>
                <w:lang w:val="en-US" w:eastAsia="zh-CN" w:bidi="ar"/>
              </w:rPr>
              <w:t>特殊区域</w:t>
            </w:r>
            <w:r>
              <w:rPr>
                <w:rFonts w:hint="eastAsia" w:ascii="宋体" w:hAnsi="宋体" w:cs="宋体"/>
                <w:b/>
                <w:bCs/>
                <w:sz w:val="24"/>
                <w:lang w:bidi="ar"/>
              </w:rPr>
              <w:t>网格距离情况</w:t>
            </w:r>
          </w:p>
        </w:tc>
        <w:tc>
          <w:tcPr>
            <w:tcW w:w="975" w:type="dxa"/>
            <w:vMerge w:val="restart"/>
            <w:tcBorders>
              <w:top w:val="single" w:color="000000" w:sz="4" w:space="0"/>
              <w:left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b/>
                <w:bCs/>
                <w:sz w:val="24"/>
                <w:lang w:bidi="ar"/>
              </w:rPr>
            </w:pPr>
            <w:r>
              <w:rPr>
                <w:rFonts w:hint="eastAsia" w:ascii="宋体" w:hAnsi="宋体" w:cs="宋体"/>
                <w:b/>
                <w:bCs/>
                <w:sz w:val="24"/>
                <w:lang w:bidi="ar"/>
              </w:rPr>
              <w:t>备注</w:t>
            </w:r>
          </w:p>
        </w:tc>
      </w:tr>
      <w:tr>
        <w:tblPrEx>
          <w:tblCellMar>
            <w:top w:w="0" w:type="dxa"/>
            <w:left w:w="108" w:type="dxa"/>
            <w:bottom w:w="0" w:type="dxa"/>
            <w:right w:w="108" w:type="dxa"/>
          </w:tblCellMar>
        </w:tblPrEx>
        <w:trPr>
          <w:trHeight w:val="670" w:hRule="atLeast"/>
        </w:trPr>
        <w:tc>
          <w:tcPr>
            <w:tcW w:w="73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eastAsiaTheme="minorEastAsia"/>
                <w:sz w:val="22"/>
                <w:szCs w:val="22"/>
                <w:lang w:val="en-US" w:eastAsia="zh-CN"/>
              </w:rPr>
            </w:pPr>
            <w:r>
              <w:rPr>
                <w:rFonts w:hint="eastAsia" w:ascii="宋体" w:hAnsi="宋体" w:cs="宋体"/>
                <w:sz w:val="22"/>
                <w:szCs w:val="22"/>
                <w:lang w:val="en-US" w:eastAsia="zh-CN" w:bidi="ar"/>
              </w:rPr>
              <w:t>官渡区</w:t>
            </w:r>
          </w:p>
        </w:tc>
        <w:tc>
          <w:tcPr>
            <w:tcW w:w="177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rPr>
            </w:pPr>
            <w:r>
              <w:rPr>
                <w:rFonts w:hint="eastAsia" w:ascii="宋体" w:hAnsi="宋体" w:cs="宋体"/>
                <w:sz w:val="22"/>
                <w:szCs w:val="22"/>
                <w:lang w:bidi="ar"/>
              </w:rPr>
              <w:t>名称</w:t>
            </w:r>
          </w:p>
        </w:tc>
        <w:tc>
          <w:tcPr>
            <w:tcW w:w="156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rPr>
            </w:pPr>
            <w:r>
              <w:rPr>
                <w:rFonts w:hint="eastAsia" w:ascii="宋体" w:hAnsi="宋体" w:cs="宋体"/>
                <w:sz w:val="22"/>
                <w:szCs w:val="22"/>
                <w:lang w:bidi="ar"/>
              </w:rPr>
              <w:t>区域描述</w:t>
            </w:r>
          </w:p>
        </w:tc>
        <w:tc>
          <w:tcPr>
            <w:tcW w:w="125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rPr>
            </w:pPr>
            <w:r>
              <w:rPr>
                <w:rFonts w:hint="eastAsia" w:ascii="宋体" w:hAnsi="宋体" w:cs="宋体"/>
                <w:sz w:val="22"/>
                <w:szCs w:val="22"/>
                <w:lang w:bidi="ar"/>
              </w:rPr>
              <w:t>规划数（个）</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rPr>
            </w:pPr>
            <w:r>
              <w:rPr>
                <w:rFonts w:hint="eastAsia" w:ascii="宋体" w:hAnsi="宋体" w:cs="宋体"/>
                <w:sz w:val="22"/>
                <w:szCs w:val="22"/>
                <w:lang w:bidi="ar"/>
              </w:rPr>
              <w:t>当前实际数（个）</w:t>
            </w:r>
          </w:p>
        </w:tc>
        <w:tc>
          <w:tcPr>
            <w:tcW w:w="108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rPr>
            </w:pPr>
            <w:r>
              <w:rPr>
                <w:rFonts w:hint="eastAsia" w:ascii="宋体" w:hAnsi="宋体" w:cs="宋体"/>
                <w:sz w:val="22"/>
                <w:szCs w:val="22"/>
                <w:lang w:bidi="ar"/>
              </w:rPr>
              <w:t>余量（个）</w:t>
            </w:r>
          </w:p>
        </w:tc>
        <w:tc>
          <w:tcPr>
            <w:tcW w:w="268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lang w:bidi="ar"/>
              </w:rPr>
            </w:pPr>
            <w:r>
              <w:rPr>
                <w:rFonts w:hint="eastAsia" w:ascii="宋体" w:hAnsi="宋体" w:cs="宋体"/>
                <w:sz w:val="22"/>
                <w:szCs w:val="22"/>
                <w:lang w:bidi="ar"/>
              </w:rPr>
              <w:t>零售点间距</w:t>
            </w:r>
          </w:p>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rPr>
            </w:pPr>
            <w:r>
              <w:rPr>
                <w:rFonts w:hint="eastAsia" w:ascii="宋体" w:hAnsi="宋体" w:cs="宋体"/>
                <w:sz w:val="22"/>
                <w:szCs w:val="22"/>
                <w:lang w:bidi="ar"/>
              </w:rPr>
              <w:t>（米）</w:t>
            </w:r>
          </w:p>
        </w:tc>
        <w:tc>
          <w:tcPr>
            <w:tcW w:w="2550"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rPr>
            </w:pPr>
            <w:r>
              <w:rPr>
                <w:rFonts w:hint="eastAsia" w:ascii="宋体" w:hAnsi="宋体" w:cs="宋体"/>
                <w:sz w:val="22"/>
                <w:szCs w:val="22"/>
                <w:lang w:bidi="ar"/>
              </w:rPr>
              <w:t>其他条件描述</w:t>
            </w:r>
          </w:p>
        </w:tc>
        <w:tc>
          <w:tcPr>
            <w:tcW w:w="975" w:type="dxa"/>
            <w:vMerge w:val="continue"/>
            <w:tcBorders>
              <w:left w:val="single" w:color="000000" w:sz="4" w:space="0"/>
              <w:bottom w:val="single" w:color="auto"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rPr>
            </w:pPr>
          </w:p>
        </w:tc>
      </w:tr>
      <w:tr>
        <w:tblPrEx>
          <w:tblCellMar>
            <w:top w:w="0" w:type="dxa"/>
            <w:left w:w="108" w:type="dxa"/>
            <w:bottom w:w="0" w:type="dxa"/>
            <w:right w:w="108" w:type="dxa"/>
          </w:tblCellMar>
        </w:tblPrEx>
        <w:trPr>
          <w:trHeight w:val="1819" w:hRule="atLeast"/>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77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eastAsiaTheme="minorEastAsia"/>
                <w:sz w:val="22"/>
                <w:szCs w:val="22"/>
                <w:lang w:val="en-US" w:eastAsia="zh-CN"/>
              </w:rPr>
            </w:pPr>
            <w:r>
              <w:rPr>
                <w:rFonts w:hint="eastAsia" w:ascii="宋体" w:hAnsi="宋体" w:cs="宋体"/>
                <w:sz w:val="22"/>
                <w:szCs w:val="22"/>
                <w:lang w:bidi="ar"/>
              </w:rPr>
              <w:t>示例：</w:t>
            </w:r>
            <w:r>
              <w:rPr>
                <w:rFonts w:hint="eastAsia" w:ascii="宋体" w:hAnsi="宋体" w:cs="宋体"/>
                <w:sz w:val="22"/>
                <w:szCs w:val="22"/>
                <w:lang w:val="en-US" w:eastAsia="zh-CN" w:bidi="ar"/>
              </w:rPr>
              <w:t>特殊区域1</w:t>
            </w:r>
          </w:p>
        </w:tc>
        <w:tc>
          <w:tcPr>
            <w:tcW w:w="156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eastAsiaTheme="minorEastAsia"/>
                <w:sz w:val="22"/>
                <w:szCs w:val="22"/>
                <w:lang w:val="en-US" w:eastAsia="zh-CN"/>
              </w:rPr>
            </w:pPr>
            <w:r>
              <w:rPr>
                <w:rFonts w:hint="eastAsia" w:ascii="宋体" w:hAnsi="宋体" w:cs="宋体"/>
                <w:sz w:val="22"/>
                <w:szCs w:val="22"/>
                <w:lang w:val="en-US" w:eastAsia="zh-CN" w:bidi="ar"/>
              </w:rPr>
              <w:t>长水机场航站楼内</w:t>
            </w:r>
          </w:p>
        </w:tc>
        <w:tc>
          <w:tcPr>
            <w:tcW w:w="125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eastAsiaTheme="minorEastAsia"/>
                <w:sz w:val="22"/>
                <w:szCs w:val="22"/>
                <w:lang w:val="en-US" w:eastAsia="zh-CN"/>
              </w:rPr>
            </w:pPr>
            <w:r>
              <w:rPr>
                <w:rFonts w:hint="eastAsia" w:ascii="宋体" w:hAnsi="宋体" w:cs="宋体"/>
                <w:sz w:val="22"/>
                <w:szCs w:val="22"/>
                <w:lang w:bidi="ar"/>
              </w:rPr>
              <w:t>示例：</w:t>
            </w:r>
            <w:r>
              <w:rPr>
                <w:rFonts w:hint="eastAsia" w:ascii="宋体" w:hAnsi="宋体" w:cs="宋体"/>
                <w:sz w:val="22"/>
                <w:szCs w:val="22"/>
                <w:lang w:val="en-US" w:eastAsia="zh-CN" w:bidi="ar"/>
              </w:rPr>
              <w:t>10</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cs="宋体" w:eastAsiaTheme="minorEastAsia"/>
                <w:sz w:val="22"/>
                <w:szCs w:val="22"/>
                <w:lang w:eastAsia="zh-CN"/>
              </w:rPr>
            </w:pPr>
            <w:r>
              <w:rPr>
                <w:rFonts w:hint="eastAsia" w:ascii="宋体" w:hAnsi="宋体" w:cs="宋体"/>
                <w:sz w:val="22"/>
                <w:szCs w:val="22"/>
                <w:lang w:bidi="ar"/>
              </w:rPr>
              <w:t>示例：</w:t>
            </w:r>
            <w:r>
              <w:rPr>
                <w:rFonts w:hint="eastAsia" w:ascii="宋体" w:hAnsi="宋体" w:cs="宋体"/>
                <w:sz w:val="22"/>
                <w:szCs w:val="22"/>
                <w:lang w:val="en-US" w:eastAsia="zh-CN" w:bidi="ar"/>
              </w:rPr>
              <w:t>8</w:t>
            </w:r>
          </w:p>
        </w:tc>
        <w:tc>
          <w:tcPr>
            <w:tcW w:w="108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rPr>
            </w:pPr>
            <w:r>
              <w:rPr>
                <w:rFonts w:hint="eastAsia" w:ascii="宋体" w:hAnsi="宋体" w:cs="宋体"/>
                <w:sz w:val="22"/>
                <w:szCs w:val="22"/>
                <w:lang w:bidi="ar"/>
              </w:rPr>
              <w:t>示例：</w:t>
            </w:r>
            <w:r>
              <w:rPr>
                <w:rFonts w:hint="eastAsia" w:ascii="宋体" w:hAnsi="宋体" w:cs="宋体"/>
                <w:sz w:val="22"/>
                <w:szCs w:val="22"/>
                <w:lang w:val="en-US" w:eastAsia="zh-CN" w:bidi="ar"/>
              </w:rPr>
              <w:t>2</w:t>
            </w:r>
            <w:r>
              <w:rPr>
                <w:rFonts w:hint="eastAsia" w:ascii="宋体" w:hAnsi="宋体" w:cs="宋体"/>
                <w:sz w:val="22"/>
                <w:szCs w:val="22"/>
                <w:lang w:bidi="ar"/>
              </w:rPr>
              <w:t>（负数也公示为零）</w:t>
            </w:r>
          </w:p>
        </w:tc>
        <w:tc>
          <w:tcPr>
            <w:tcW w:w="268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eastAsiaTheme="minorEastAsia"/>
                <w:sz w:val="22"/>
                <w:szCs w:val="22"/>
                <w:lang w:val="en-US" w:eastAsia="zh-CN"/>
              </w:rPr>
            </w:pPr>
            <w:r>
              <w:rPr>
                <w:rFonts w:hint="eastAsia" w:ascii="宋体" w:hAnsi="宋体" w:cs="宋体"/>
                <w:sz w:val="22"/>
                <w:szCs w:val="22"/>
                <w:lang w:bidi="ar"/>
              </w:rPr>
              <w:t>示例：</w:t>
            </w:r>
            <w:r>
              <w:rPr>
                <w:rFonts w:hint="eastAsia" w:ascii="宋体" w:hAnsi="宋体" w:cs="宋体"/>
                <w:sz w:val="22"/>
                <w:szCs w:val="22"/>
                <w:lang w:val="en-US" w:eastAsia="zh-CN" w:bidi="ar"/>
              </w:rPr>
              <w:t>80</w:t>
            </w:r>
          </w:p>
        </w:tc>
        <w:tc>
          <w:tcPr>
            <w:tcW w:w="2550" w:type="dxa"/>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0" w:beforeAutospacing="0" w:after="0" w:afterAutospacing="0"/>
              <w:ind w:left="0" w:right="0"/>
              <w:textAlignment w:val="top"/>
              <w:rPr>
                <w:rFonts w:hint="default" w:ascii="宋体" w:hAnsi="宋体" w:cs="宋体"/>
                <w:sz w:val="22"/>
                <w:szCs w:val="22"/>
              </w:rPr>
            </w:pPr>
          </w:p>
        </w:tc>
        <w:tc>
          <w:tcPr>
            <w:tcW w:w="9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宋体"/>
                <w:sz w:val="22"/>
                <w:szCs w:val="22"/>
              </w:rPr>
            </w:pPr>
          </w:p>
        </w:tc>
      </w:tr>
      <w:tr>
        <w:tblPrEx>
          <w:tblCellMar>
            <w:top w:w="0" w:type="dxa"/>
            <w:left w:w="108" w:type="dxa"/>
            <w:bottom w:w="0" w:type="dxa"/>
            <w:right w:w="108" w:type="dxa"/>
          </w:tblCellMar>
        </w:tblPrEx>
        <w:trPr>
          <w:trHeight w:val="340" w:hRule="atLeast"/>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77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rPr>
            </w:pPr>
            <w:r>
              <w:rPr>
                <w:rFonts w:hint="eastAsia" w:ascii="宋体" w:hAnsi="宋体" w:cs="宋体"/>
                <w:sz w:val="22"/>
                <w:szCs w:val="22"/>
                <w:lang w:val="en-US" w:eastAsia="zh-CN" w:bidi="ar"/>
              </w:rPr>
              <w:t>特殊区域</w:t>
            </w:r>
            <w:r>
              <w:rPr>
                <w:rFonts w:hint="eastAsia" w:ascii="宋体" w:hAnsi="宋体" w:cs="宋体"/>
                <w:sz w:val="22"/>
                <w:szCs w:val="22"/>
                <w:lang w:bidi="ar"/>
              </w:rPr>
              <w:t>2名称</w:t>
            </w:r>
          </w:p>
        </w:tc>
        <w:tc>
          <w:tcPr>
            <w:tcW w:w="156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25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08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268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2550"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9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r>
      <w:tr>
        <w:tblPrEx>
          <w:tblCellMar>
            <w:top w:w="0" w:type="dxa"/>
            <w:left w:w="108" w:type="dxa"/>
            <w:bottom w:w="0" w:type="dxa"/>
            <w:right w:w="108" w:type="dxa"/>
          </w:tblCellMar>
        </w:tblPrEx>
        <w:trPr>
          <w:trHeight w:val="340" w:hRule="atLeast"/>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77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sz w:val="22"/>
                <w:szCs w:val="22"/>
              </w:rPr>
            </w:pPr>
            <w:r>
              <w:rPr>
                <w:rFonts w:hint="eastAsia" w:ascii="宋体" w:hAnsi="宋体" w:cs="宋体"/>
                <w:sz w:val="22"/>
                <w:szCs w:val="22"/>
                <w:lang w:val="en-US" w:eastAsia="zh-CN" w:bidi="ar"/>
              </w:rPr>
              <w:t>特殊区域</w:t>
            </w:r>
            <w:r>
              <w:rPr>
                <w:rFonts w:hint="eastAsia" w:ascii="宋体" w:hAnsi="宋体" w:cs="宋体"/>
                <w:sz w:val="22"/>
                <w:szCs w:val="22"/>
                <w:lang w:bidi="ar"/>
              </w:rPr>
              <w:t>3名称</w:t>
            </w:r>
          </w:p>
        </w:tc>
        <w:tc>
          <w:tcPr>
            <w:tcW w:w="156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25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08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268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2550" w:type="dxa"/>
            <w:tcBorders>
              <w:top w:val="single" w:color="000000" w:sz="4" w:space="0"/>
              <w:left w:val="single" w:color="000000" w:sz="4" w:space="0"/>
              <w:bottom w:val="single" w:color="auto"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sz w:val="22"/>
                <w:szCs w:val="22"/>
              </w:rPr>
            </w:pPr>
          </w:p>
        </w:tc>
        <w:tc>
          <w:tcPr>
            <w:tcW w:w="9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r>
    </w:tbl>
    <w:p>
      <w:pPr>
        <w:spacing w:before="42" w:line="219" w:lineRule="auto"/>
        <w:ind w:right="-101" w:rightChars="-48"/>
        <w:rPr>
          <w:rFonts w:ascii="宋体" w:hAnsi="宋体" w:cs="宋体"/>
          <w:spacing w:val="-1"/>
        </w:rPr>
      </w:pPr>
      <w:r>
        <w:rPr>
          <w:rFonts w:hint="eastAsia" w:ascii="宋体" w:hAnsi="宋体" w:cs="宋体"/>
          <w:spacing w:val="-1"/>
        </w:rPr>
        <w:t>备注：1.本公示表的数据根据本</w:t>
      </w:r>
      <w:r>
        <w:rPr>
          <w:rFonts w:hint="eastAsia" w:ascii="宋体" w:hAnsi="宋体" w:cs="宋体"/>
          <w:spacing w:val="-1"/>
          <w:lang w:val="en-US" w:eastAsia="zh-CN"/>
        </w:rPr>
        <w:t>区</w:t>
      </w:r>
      <w:r>
        <w:rPr>
          <w:rFonts w:hint="eastAsia" w:ascii="宋体" w:hAnsi="宋体" w:cs="宋体"/>
          <w:spacing w:val="-1"/>
        </w:rPr>
        <w:t>零售点布局规划实行定期评价、动态管理。</w:t>
      </w:r>
    </w:p>
    <w:p>
      <w:pPr>
        <w:spacing w:before="42" w:line="219" w:lineRule="auto"/>
        <w:ind w:firstLine="624" w:firstLineChars="300"/>
        <w:rPr>
          <w:rFonts w:ascii="宋体" w:hAnsi="宋体" w:cs="宋体"/>
          <w:spacing w:val="-1"/>
        </w:rPr>
      </w:pPr>
      <w:r>
        <w:rPr>
          <w:rFonts w:hint="eastAsia" w:ascii="宋体" w:hAnsi="宋体" w:cs="宋体"/>
          <w:spacing w:val="-1"/>
        </w:rPr>
        <w:t>2.每</w:t>
      </w:r>
      <w:r>
        <w:rPr>
          <w:rFonts w:hint="eastAsia" w:ascii="宋体" w:hAnsi="宋体" w:cs="宋体"/>
          <w:spacing w:val="-1"/>
          <w:highlight w:val="none"/>
          <w:lang w:val="en-US" w:eastAsia="zh-CN"/>
        </w:rPr>
        <w:t>季度</w:t>
      </w:r>
      <w:r>
        <w:rPr>
          <w:rFonts w:hint="eastAsia" w:ascii="宋体" w:hAnsi="宋体" w:cs="宋体"/>
          <w:spacing w:val="-1"/>
        </w:rPr>
        <w:t>根据经济发展、城乡建设、市场形势等变化情况对本表中的数据进行动态调整，规划数相应进行动态更新，以每XX（选项：每季度、每半年）最后一次公示的数据为准。</w:t>
      </w:r>
    </w:p>
    <w:p>
      <w:pPr>
        <w:spacing w:before="42" w:line="219" w:lineRule="auto"/>
        <w:ind w:firstLine="624" w:firstLineChars="300"/>
        <w:rPr>
          <w:rFonts w:ascii="方正小标宋简体" w:eastAsia="方正小标宋简体"/>
          <w:sz w:val="32"/>
          <w:szCs w:val="32"/>
        </w:rPr>
      </w:pPr>
      <w:r>
        <w:rPr>
          <w:rFonts w:hint="eastAsia" w:ascii="宋体" w:hAnsi="宋体" w:cs="宋体"/>
          <w:spacing w:val="-1"/>
        </w:rPr>
        <w:t>3.本数据由</w:t>
      </w:r>
      <w:r>
        <w:rPr>
          <w:rFonts w:hint="eastAsia" w:ascii="宋体" w:hAnsi="宋体" w:cs="宋体"/>
          <w:spacing w:val="-1"/>
          <w:lang w:val="en-US" w:eastAsia="zh-CN"/>
        </w:rPr>
        <w:t>官渡区</w:t>
      </w:r>
      <w:r>
        <w:rPr>
          <w:rFonts w:hint="eastAsia" w:ascii="宋体" w:hAnsi="宋体" w:cs="宋体"/>
          <w:spacing w:val="-1"/>
        </w:rPr>
        <w:t>烟草专卖局负责解释，咨询电话：XXXX。</w:t>
      </w:r>
    </w:p>
    <w:p>
      <w:pPr>
        <w:pStyle w:val="12"/>
        <w:spacing w:after="0" w:line="360" w:lineRule="auto"/>
        <w:ind w:right="2"/>
        <w:jc w:val="left"/>
        <w:rPr>
          <w:rFonts w:ascii="仿宋_GB2312" w:hAnsi="仿宋_GB2312" w:eastAsia="仿宋_GB2312" w:cs="仿宋_GB2312"/>
          <w:spacing w:val="10"/>
          <w:sz w:val="32"/>
          <w:szCs w:val="32"/>
        </w:rPr>
        <w:sectPr>
          <w:pgSz w:w="16838" w:h="11906" w:orient="landscape"/>
          <w:pgMar w:top="1463" w:right="1440" w:bottom="1800" w:left="1440" w:header="851" w:footer="992" w:gutter="0"/>
          <w:pgNumType w:fmt="numberInDash"/>
          <w:cols w:space="720" w:num="1"/>
          <w:docGrid w:type="lines" w:linePitch="312" w:charSpace="0"/>
        </w:sectPr>
      </w:pPr>
    </w:p>
    <w:p>
      <w:pPr>
        <w:spacing w:before="104" w:line="224" w:lineRule="auto"/>
        <w:rPr>
          <w:rFonts w:hint="eastAsia" w:ascii="黑体" w:hAnsi="黑体" w:eastAsia="黑体" w:cs="黑体"/>
          <w:spacing w:val="8"/>
          <w:sz w:val="32"/>
          <w:szCs w:val="32"/>
          <w:lang w:eastAsia="zh-CN"/>
        </w:rPr>
      </w:pPr>
      <w:r>
        <w:rPr>
          <w:rFonts w:hint="eastAsia" w:ascii="黑体" w:hAnsi="黑体" w:eastAsia="黑体" w:cs="黑体"/>
          <w:spacing w:val="8"/>
          <w:sz w:val="32"/>
          <w:szCs w:val="32"/>
        </w:rPr>
        <w:t>附件</w:t>
      </w:r>
      <w:r>
        <w:rPr>
          <w:rFonts w:hint="eastAsia" w:ascii="黑体" w:hAnsi="黑体" w:eastAsia="黑体" w:cs="黑体"/>
          <w:spacing w:val="8"/>
          <w:sz w:val="32"/>
          <w:szCs w:val="32"/>
          <w:lang w:val="en-US" w:eastAsia="zh-CN"/>
        </w:rPr>
        <w:t>4</w:t>
      </w:r>
    </w:p>
    <w:p>
      <w:pPr>
        <w:spacing w:before="104" w:line="224" w:lineRule="auto"/>
        <w:rPr>
          <w:rFonts w:ascii="黑体" w:hAnsi="黑体" w:eastAsia="黑体" w:cs="黑体"/>
          <w:spacing w:val="8"/>
          <w:sz w:val="32"/>
          <w:szCs w:val="32"/>
        </w:rPr>
      </w:pPr>
    </w:p>
    <w:p>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w:t>
      </w:r>
      <w:r>
        <w:rPr>
          <w:rFonts w:hint="eastAsia" w:ascii="方正小标宋简体" w:eastAsia="方正小标宋简体"/>
          <w:sz w:val="44"/>
          <w:szCs w:val="44"/>
          <w:lang w:val="en-US" w:eastAsia="zh-CN"/>
        </w:rPr>
        <w:t>昆明市官渡区</w:t>
      </w:r>
      <w:r>
        <w:rPr>
          <w:rFonts w:hint="eastAsia" w:ascii="方正小标宋简体" w:eastAsia="方正小标宋简体"/>
          <w:sz w:val="44"/>
          <w:szCs w:val="44"/>
        </w:rPr>
        <w:t>烟草制品零售点不予发放烟草专卖零售许可证的情形</w:t>
      </w:r>
    </w:p>
    <w:p>
      <w:pPr>
        <w:pStyle w:val="33"/>
        <w:widowControl/>
        <w:numPr>
          <w:ilvl w:val="0"/>
          <w:numId w:val="0"/>
        </w:numPr>
        <w:spacing w:before="86" w:line="360" w:lineRule="auto"/>
        <w:ind w:left="0" w:leftChars="0" w:firstLine="624" w:firstLineChars="0"/>
        <w:jc w:val="left"/>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（一）</w:t>
      </w:r>
      <w:r>
        <w:rPr>
          <w:rFonts w:hint="eastAsia" w:ascii="仿宋_GB2312" w:hAnsi="仿宋_GB2312" w:eastAsia="仿宋_GB2312" w:cs="仿宋_GB2312"/>
          <w:spacing w:val="10"/>
          <w:sz w:val="32"/>
          <w:szCs w:val="32"/>
        </w:rPr>
        <w:t>申请人为无民事行为能力人或者限制行为能力人的；</w:t>
      </w:r>
    </w:p>
    <w:p>
      <w:pPr>
        <w:widowControl/>
        <w:numPr>
          <w:ilvl w:val="0"/>
          <w:numId w:val="0"/>
        </w:numPr>
        <w:spacing w:before="86" w:line="360" w:lineRule="auto"/>
        <w:ind w:left="0" w:leftChars="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（二）</w:t>
      </w:r>
      <w:r>
        <w:rPr>
          <w:rFonts w:ascii="仿宋_GB2312" w:hAnsi="仿宋_GB2312" w:eastAsia="仿宋_GB2312" w:cs="仿宋_GB2312"/>
          <w:sz w:val="32"/>
          <w:szCs w:val="32"/>
        </w:rPr>
        <w:t>取消从事烟草专卖业务资格不满三年的</w:t>
      </w:r>
      <w:r>
        <w:rPr>
          <w:rFonts w:hint="eastAsia" w:ascii="仿宋_GB2312" w:hAnsi="仿宋_GB2312" w:eastAsia="仿宋_GB2312" w:cs="仿宋_GB2312"/>
          <w:sz w:val="32"/>
          <w:szCs w:val="32"/>
        </w:rPr>
        <w:t>；</w:t>
      </w:r>
    </w:p>
    <w:p>
      <w:pPr>
        <w:widowControl/>
        <w:numPr>
          <w:ilvl w:val="0"/>
          <w:numId w:val="0"/>
        </w:numPr>
        <w:spacing w:before="86" w:line="360" w:lineRule="auto"/>
        <w:ind w:left="0" w:leftChars="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（三）</w:t>
      </w:r>
      <w:r>
        <w:rPr>
          <w:rFonts w:ascii="仿宋_GB2312" w:hAnsi="仿宋_GB2312" w:eastAsia="仿宋_GB2312" w:cs="仿宋_GB2312"/>
          <w:sz w:val="32"/>
          <w:szCs w:val="32"/>
        </w:rPr>
        <w:t>因申请人隐瞒有关情况或者提供虚假材料，烟草专卖局作出不予受理或者不予发证决定后，申请人一年内再次提出申请的</w:t>
      </w:r>
      <w:r>
        <w:rPr>
          <w:rFonts w:hint="eastAsia" w:ascii="仿宋_GB2312" w:hAnsi="仿宋_GB2312" w:eastAsia="仿宋_GB2312" w:cs="仿宋_GB2312"/>
          <w:sz w:val="32"/>
          <w:szCs w:val="32"/>
        </w:rPr>
        <w:t>；</w:t>
      </w:r>
    </w:p>
    <w:p>
      <w:pPr>
        <w:widowControl/>
        <w:numPr>
          <w:ilvl w:val="0"/>
          <w:numId w:val="0"/>
        </w:numPr>
        <w:spacing w:before="86" w:line="360" w:lineRule="auto"/>
        <w:ind w:left="0" w:leftChars="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（四）</w:t>
      </w:r>
      <w:r>
        <w:rPr>
          <w:rFonts w:ascii="仿宋_GB2312" w:hAnsi="仿宋_GB2312" w:eastAsia="仿宋_GB2312" w:cs="仿宋_GB2312"/>
          <w:sz w:val="32"/>
          <w:szCs w:val="32"/>
        </w:rPr>
        <w:t>申请人以欺骗、贿赂等不正当手段取得的烟草专卖许可证被撤销后，申请人三年内再次提出申请的</w:t>
      </w:r>
      <w:r>
        <w:rPr>
          <w:rFonts w:hint="eastAsia" w:ascii="仿宋_GB2312" w:hAnsi="仿宋_GB2312" w:eastAsia="仿宋_GB2312" w:cs="仿宋_GB2312"/>
          <w:sz w:val="32"/>
          <w:szCs w:val="32"/>
        </w:rPr>
        <w:t>；</w:t>
      </w:r>
    </w:p>
    <w:p>
      <w:pPr>
        <w:widowControl/>
        <w:numPr>
          <w:ilvl w:val="0"/>
          <w:numId w:val="0"/>
        </w:numPr>
        <w:spacing w:before="86" w:line="360" w:lineRule="auto"/>
        <w:ind w:left="0" w:leftChars="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（五）</w:t>
      </w:r>
      <w:r>
        <w:rPr>
          <w:rFonts w:ascii="仿宋_GB2312" w:hAnsi="仿宋_GB2312" w:eastAsia="仿宋_GB2312" w:cs="仿宋_GB2312"/>
          <w:sz w:val="32"/>
          <w:szCs w:val="32"/>
        </w:rPr>
        <w:t>未领取烟草专卖零售许可证经营烟草专卖品业务，并且一年内被执法机关处罚两次以上，在三年内申请领取烟草专卖零售许可证的</w:t>
      </w:r>
      <w:r>
        <w:rPr>
          <w:rFonts w:hint="eastAsia" w:ascii="仿宋_GB2312" w:hAnsi="仿宋_GB2312" w:eastAsia="仿宋_GB2312" w:cs="仿宋_GB2312"/>
          <w:sz w:val="32"/>
          <w:szCs w:val="32"/>
        </w:rPr>
        <w:t>；</w:t>
      </w:r>
    </w:p>
    <w:p>
      <w:pPr>
        <w:widowControl/>
        <w:numPr>
          <w:ilvl w:val="0"/>
          <w:numId w:val="0"/>
        </w:numPr>
        <w:spacing w:before="86" w:line="360" w:lineRule="auto"/>
        <w:ind w:left="0" w:leftChars="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（六）</w:t>
      </w:r>
      <w:r>
        <w:rPr>
          <w:rFonts w:ascii="仿宋_GB2312" w:hAnsi="仿宋_GB2312" w:eastAsia="仿宋_GB2312" w:cs="仿宋_GB2312"/>
          <w:sz w:val="32"/>
          <w:szCs w:val="32"/>
        </w:rPr>
        <w:t>外商投资的商业企业或者个体工商户，或者外商投资的商业企业或者个体工商户以特许、吸纳加盟店及其他再投资等形式变相从事烟草专卖品经营业务的</w:t>
      </w:r>
      <w:r>
        <w:rPr>
          <w:rFonts w:hint="eastAsia" w:ascii="仿宋_GB2312" w:hAnsi="仿宋_GB2312" w:eastAsia="仿宋_GB2312" w:cs="仿宋_GB2312"/>
          <w:sz w:val="32"/>
          <w:szCs w:val="32"/>
        </w:rPr>
        <w:t>；</w:t>
      </w:r>
    </w:p>
    <w:p>
      <w:pPr>
        <w:widowControl/>
        <w:numPr>
          <w:ilvl w:val="0"/>
          <w:numId w:val="0"/>
        </w:numPr>
        <w:spacing w:before="86" w:line="360" w:lineRule="auto"/>
        <w:ind w:left="0" w:leftChars="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（七）</w:t>
      </w:r>
      <w:r>
        <w:rPr>
          <w:rFonts w:ascii="仿宋_GB2312" w:hAnsi="仿宋_GB2312" w:eastAsia="仿宋_GB2312" w:cs="仿宋_GB2312"/>
          <w:sz w:val="32"/>
          <w:szCs w:val="32"/>
        </w:rPr>
        <w:t>未领取烟草专卖零售许可证经营烟草专卖品业务被追究刑事责任，在三年内申请领取烟草专卖零售许可证的</w:t>
      </w:r>
      <w:r>
        <w:rPr>
          <w:rFonts w:hint="eastAsia" w:ascii="仿宋_GB2312" w:hAnsi="仿宋_GB2312" w:eastAsia="仿宋_GB2312" w:cs="仿宋_GB2312"/>
          <w:sz w:val="32"/>
          <w:szCs w:val="32"/>
        </w:rPr>
        <w:t>；</w:t>
      </w:r>
    </w:p>
    <w:p>
      <w:pPr>
        <w:widowControl/>
        <w:numPr>
          <w:ilvl w:val="0"/>
          <w:numId w:val="0"/>
        </w:numPr>
        <w:spacing w:before="86" w:line="360" w:lineRule="auto"/>
        <w:ind w:left="0" w:leftChars="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（八）</w:t>
      </w:r>
      <w:r>
        <w:rPr>
          <w:rFonts w:hint="eastAsia" w:ascii="仿宋_GB2312" w:hAnsi="仿宋_GB2312" w:eastAsia="仿宋_GB2312" w:cs="仿宋_GB2312"/>
          <w:sz w:val="32"/>
          <w:szCs w:val="32"/>
        </w:rPr>
        <w:t>申请人</w:t>
      </w:r>
      <w:r>
        <w:rPr>
          <w:rFonts w:ascii="仿宋_GB2312" w:hAnsi="仿宋_GB2312" w:eastAsia="仿宋_GB2312" w:cs="仿宋_GB2312"/>
          <w:sz w:val="32"/>
          <w:szCs w:val="32"/>
        </w:rPr>
        <w:t>隐瞒有关情况或提供虚假材料的</w:t>
      </w:r>
      <w:r>
        <w:rPr>
          <w:rFonts w:hint="eastAsia" w:ascii="仿宋_GB2312" w:hAnsi="仿宋_GB2312" w:eastAsia="仿宋_GB2312" w:cs="仿宋_GB2312"/>
          <w:sz w:val="32"/>
          <w:szCs w:val="32"/>
        </w:rPr>
        <w:t>；</w:t>
      </w:r>
    </w:p>
    <w:p>
      <w:pPr>
        <w:widowControl/>
        <w:numPr>
          <w:ilvl w:val="0"/>
          <w:numId w:val="0"/>
        </w:numPr>
        <w:spacing w:before="86" w:line="360" w:lineRule="auto"/>
        <w:ind w:left="0" w:leftChars="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（九）</w:t>
      </w:r>
      <w:r>
        <w:rPr>
          <w:rFonts w:ascii="仿宋_GB2312" w:hAnsi="仿宋_GB2312" w:eastAsia="仿宋_GB2312" w:cs="仿宋_GB2312"/>
          <w:sz w:val="32"/>
          <w:szCs w:val="32"/>
        </w:rPr>
        <w:t>经营场所基于安全因素不适宜经营卷烟的</w:t>
      </w:r>
      <w:r>
        <w:rPr>
          <w:rFonts w:hint="eastAsia" w:ascii="仿宋_GB2312" w:hAnsi="仿宋_GB2312" w:eastAsia="仿宋_GB2312" w:cs="仿宋_GB2312"/>
          <w:sz w:val="32"/>
          <w:szCs w:val="32"/>
        </w:rPr>
        <w:t>；</w:t>
      </w:r>
    </w:p>
    <w:p>
      <w:pPr>
        <w:widowControl/>
        <w:numPr>
          <w:ilvl w:val="0"/>
          <w:numId w:val="0"/>
        </w:numPr>
        <w:spacing w:before="86" w:line="360" w:lineRule="auto"/>
        <w:ind w:left="0" w:leftChars="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（十）</w:t>
      </w:r>
      <w:r>
        <w:rPr>
          <w:rFonts w:ascii="仿宋_GB2312" w:hAnsi="仿宋_GB2312" w:eastAsia="仿宋_GB2312" w:cs="仿宋_GB2312"/>
          <w:sz w:val="32"/>
          <w:szCs w:val="32"/>
        </w:rPr>
        <w:t>经营场所位于中小学校、幼儿园周围</w:t>
      </w:r>
      <w:r>
        <w:rPr>
          <w:rFonts w:hint="eastAsia" w:ascii="仿宋_GB2312" w:hAnsi="仿宋_GB2312" w:eastAsia="仿宋_GB2312" w:cs="仿宋_GB2312"/>
          <w:sz w:val="32"/>
          <w:szCs w:val="32"/>
        </w:rPr>
        <w:t>；</w:t>
      </w:r>
    </w:p>
    <w:p>
      <w:pPr>
        <w:widowControl/>
        <w:numPr>
          <w:ilvl w:val="0"/>
          <w:numId w:val="0"/>
        </w:numPr>
        <w:spacing w:before="86" w:line="360" w:lineRule="auto"/>
        <w:ind w:left="0" w:leftChars="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（十一）</w:t>
      </w:r>
      <w:r>
        <w:rPr>
          <w:rFonts w:hint="eastAsia" w:ascii="仿宋_GB2312" w:hAnsi="仿宋_GB2312" w:eastAsia="仿宋_GB2312" w:cs="仿宋_GB2312"/>
          <w:sz w:val="32"/>
          <w:szCs w:val="32"/>
        </w:rPr>
        <w:t>申请人</w:t>
      </w:r>
      <w:r>
        <w:rPr>
          <w:rFonts w:ascii="仿宋_GB2312" w:hAnsi="仿宋_GB2312" w:eastAsia="仿宋_GB2312" w:cs="仿宋_GB2312"/>
          <w:sz w:val="32"/>
          <w:szCs w:val="32"/>
        </w:rPr>
        <w:t>利用自动售货机或者其他自动售货形式，销售或者变相销售烟草制品的</w:t>
      </w:r>
      <w:r>
        <w:rPr>
          <w:rFonts w:hint="eastAsia" w:ascii="仿宋_GB2312" w:hAnsi="仿宋_GB2312" w:eastAsia="仿宋_GB2312" w:cs="仿宋_GB2312"/>
          <w:sz w:val="32"/>
          <w:szCs w:val="32"/>
        </w:rPr>
        <w:t>；</w:t>
      </w:r>
    </w:p>
    <w:p>
      <w:pPr>
        <w:widowControl/>
        <w:numPr>
          <w:ilvl w:val="0"/>
          <w:numId w:val="0"/>
        </w:numPr>
        <w:spacing w:before="86" w:line="360" w:lineRule="auto"/>
        <w:ind w:left="0" w:leftChars="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（十二）</w:t>
      </w:r>
      <w:r>
        <w:rPr>
          <w:rFonts w:hint="eastAsia" w:ascii="仿宋_GB2312" w:hAnsi="仿宋_GB2312" w:eastAsia="仿宋_GB2312" w:cs="仿宋_GB2312"/>
          <w:sz w:val="32"/>
          <w:szCs w:val="32"/>
        </w:rPr>
        <w:t>申请人</w:t>
      </w:r>
      <w:r>
        <w:rPr>
          <w:rFonts w:ascii="仿宋_GB2312" w:hAnsi="仿宋_GB2312" w:eastAsia="仿宋_GB2312" w:cs="仿宋_GB2312"/>
          <w:sz w:val="32"/>
          <w:szCs w:val="32"/>
        </w:rPr>
        <w:t>通过信息网络销售烟草专卖品的</w:t>
      </w:r>
      <w:r>
        <w:rPr>
          <w:rFonts w:hint="eastAsia" w:ascii="仿宋_GB2312" w:hAnsi="仿宋_GB2312" w:eastAsia="仿宋_GB2312" w:cs="仿宋_GB2312"/>
          <w:sz w:val="32"/>
          <w:szCs w:val="32"/>
        </w:rPr>
        <w:t>；</w:t>
      </w:r>
    </w:p>
    <w:p>
      <w:pPr>
        <w:widowControl/>
        <w:numPr>
          <w:ilvl w:val="0"/>
          <w:numId w:val="0"/>
        </w:numPr>
        <w:spacing w:before="86" w:line="360" w:lineRule="auto"/>
        <w:ind w:left="0" w:leftChars="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（十三）</w:t>
      </w:r>
      <w:r>
        <w:rPr>
          <w:rFonts w:ascii="仿宋_GB2312" w:hAnsi="仿宋_GB2312" w:eastAsia="仿宋_GB2312" w:cs="仿宋_GB2312"/>
          <w:sz w:val="32"/>
          <w:szCs w:val="32"/>
        </w:rPr>
        <w:t>经营场所位于党政机关内部的</w:t>
      </w:r>
      <w:r>
        <w:rPr>
          <w:rFonts w:hint="eastAsia" w:ascii="仿宋_GB2312" w:hAnsi="仿宋_GB2312" w:eastAsia="仿宋_GB2312" w:cs="仿宋_GB2312"/>
          <w:sz w:val="32"/>
          <w:szCs w:val="32"/>
        </w:rPr>
        <w:t>；</w:t>
      </w:r>
    </w:p>
    <w:p>
      <w:pPr>
        <w:widowControl/>
        <w:numPr>
          <w:ilvl w:val="0"/>
          <w:numId w:val="0"/>
        </w:numPr>
        <w:spacing w:before="86" w:line="360" w:lineRule="auto"/>
        <w:ind w:left="0" w:leftChars="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（十四）</w:t>
      </w:r>
      <w:r>
        <w:rPr>
          <w:rFonts w:ascii="仿宋_GB2312" w:hAnsi="仿宋_GB2312" w:eastAsia="仿宋_GB2312" w:cs="仿宋_GB2312"/>
          <w:sz w:val="32"/>
          <w:szCs w:val="32"/>
        </w:rPr>
        <w:t>经营场所已经办理了仍在有效期内的烟草专卖零售许可证的</w:t>
      </w:r>
      <w:r>
        <w:rPr>
          <w:rFonts w:hint="eastAsia" w:ascii="仿宋_GB2312" w:hAnsi="仿宋_GB2312" w:eastAsia="仿宋_GB2312" w:cs="仿宋_GB2312"/>
          <w:sz w:val="32"/>
          <w:szCs w:val="32"/>
        </w:rPr>
        <w:t>；</w:t>
      </w:r>
    </w:p>
    <w:p>
      <w:pPr>
        <w:widowControl/>
        <w:numPr>
          <w:ilvl w:val="0"/>
          <w:numId w:val="0"/>
        </w:numPr>
        <w:spacing w:before="86" w:line="360" w:lineRule="auto"/>
        <w:ind w:left="0" w:leftChars="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（十五）</w:t>
      </w:r>
      <w:r>
        <w:rPr>
          <w:rFonts w:hint="eastAsia" w:ascii="仿宋_GB2312" w:hAnsi="仿宋_GB2312" w:eastAsia="仿宋_GB2312" w:cs="仿宋_GB2312"/>
          <w:sz w:val="32"/>
          <w:szCs w:val="32"/>
        </w:rPr>
        <w:t>国家烟草专卖局规定的其他不予发证的情形；</w:t>
      </w:r>
    </w:p>
    <w:p>
      <w:pPr>
        <w:widowControl/>
        <w:numPr>
          <w:ilvl w:val="0"/>
          <w:numId w:val="0"/>
        </w:numPr>
        <w:spacing w:before="86" w:line="360" w:lineRule="auto"/>
        <w:ind w:left="0" w:leftChars="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（十六）</w:t>
      </w:r>
      <w:r>
        <w:rPr>
          <w:rFonts w:hint="eastAsia" w:ascii="仿宋_GB2312" w:hAnsi="仿宋_GB2312" w:eastAsia="仿宋_GB2312" w:cs="仿宋_GB2312"/>
          <w:sz w:val="32"/>
          <w:szCs w:val="32"/>
        </w:rPr>
        <w:t>法律、法规、规章、规范性文件等规定的其他不予许可的情形。</w:t>
      </w:r>
    </w:p>
    <w:p>
      <w:pPr>
        <w:pStyle w:val="19"/>
        <w:jc w:val="both"/>
        <w:rPr>
          <w:rFonts w:hint="default" w:eastAsia="仿宋_GB2312"/>
          <w:sz w:val="32"/>
          <w:szCs w:val="32"/>
          <w:lang w:val="en-US" w:eastAsia="zh-CN"/>
        </w:rPr>
        <w:sectPr>
          <w:footerReference r:id="rId4" w:type="default"/>
          <w:pgSz w:w="11906" w:h="16838"/>
          <w:pgMar w:top="1440" w:right="1800" w:bottom="1440" w:left="1800" w:header="851" w:footer="992" w:gutter="0"/>
          <w:pgNumType w:fmt="numberInDash"/>
          <w:cols w:space="720" w:num="1"/>
          <w:docGrid w:type="lines" w:linePitch="312" w:charSpace="0"/>
        </w:sectPr>
      </w:pPr>
    </w:p>
    <w:p>
      <w:pPr>
        <w:spacing w:before="104" w:line="224" w:lineRule="auto"/>
        <w:rPr>
          <w:rFonts w:hint="eastAsia" w:ascii="黑体" w:hAnsi="黑体" w:eastAsia="黑体" w:cs="黑体"/>
          <w:spacing w:val="8"/>
          <w:sz w:val="32"/>
          <w:szCs w:val="32"/>
        </w:rPr>
      </w:pPr>
    </w:p>
    <w:p>
      <w:pPr>
        <w:spacing w:before="104" w:line="224" w:lineRule="auto"/>
        <w:rPr>
          <w:rFonts w:hint="eastAsia" w:ascii="黑体" w:hAnsi="黑体" w:eastAsia="黑体" w:cs="黑体"/>
          <w:spacing w:val="8"/>
          <w:sz w:val="32"/>
          <w:szCs w:val="32"/>
        </w:rPr>
      </w:pPr>
    </w:p>
    <w:p>
      <w:pPr>
        <w:spacing w:before="104" w:line="224" w:lineRule="auto"/>
        <w:rPr>
          <w:rFonts w:hint="eastAsia" w:ascii="黑体" w:hAnsi="黑体" w:eastAsia="黑体" w:cs="黑体"/>
          <w:spacing w:val="8"/>
          <w:sz w:val="32"/>
          <w:szCs w:val="32"/>
        </w:rPr>
      </w:pPr>
    </w:p>
    <w:p>
      <w:pPr>
        <w:spacing w:before="104" w:line="224" w:lineRule="auto"/>
        <w:rPr>
          <w:rFonts w:hint="eastAsia" w:ascii="方正小标宋简体" w:eastAsia="黑体"/>
          <w:sz w:val="44"/>
          <w:szCs w:val="44"/>
          <w:lang w:val="en-US" w:eastAsia="zh-CN"/>
        </w:rPr>
      </w:pPr>
      <w:r>
        <w:rPr>
          <w:rFonts w:hint="eastAsia" w:ascii="黑体" w:hAnsi="黑体" w:eastAsia="黑体" w:cs="黑体"/>
          <w:spacing w:val="8"/>
          <w:sz w:val="32"/>
          <w:szCs w:val="32"/>
        </w:rPr>
        <w:t>附件</w:t>
      </w:r>
      <w:r>
        <w:rPr>
          <w:rFonts w:hint="eastAsia" w:ascii="黑体" w:hAnsi="黑体" w:eastAsia="黑体" w:cs="黑体"/>
          <w:spacing w:val="8"/>
          <w:sz w:val="32"/>
          <w:szCs w:val="32"/>
          <w:lang w:val="en-US" w:eastAsia="zh-CN"/>
        </w:rPr>
        <w:t>5</w:t>
      </w:r>
    </w:p>
    <w:p>
      <w:pPr>
        <w:spacing w:before="42" w:line="317" w:lineRule="auto"/>
        <w:jc w:val="center"/>
        <w:rPr>
          <w:rFonts w:ascii="方正小标宋简体" w:eastAsia="方正小标宋简体"/>
          <w:sz w:val="44"/>
          <w:szCs w:val="44"/>
        </w:rPr>
      </w:pPr>
      <w:r>
        <w:rPr>
          <w:rFonts w:hint="eastAsia" w:ascii="方正小标宋简体" w:eastAsia="方正小标宋简体"/>
          <w:sz w:val="44"/>
          <w:szCs w:val="44"/>
        </w:rPr>
        <w:t>云南省</w:t>
      </w:r>
      <w:r>
        <w:rPr>
          <w:rFonts w:hint="eastAsia" w:ascii="方正小标宋简体" w:eastAsia="方正小标宋简体"/>
          <w:sz w:val="44"/>
          <w:szCs w:val="44"/>
          <w:lang w:val="en-US" w:eastAsia="zh-CN"/>
        </w:rPr>
        <w:t>昆明市官渡区</w:t>
      </w:r>
      <w:r>
        <w:rPr>
          <w:rFonts w:hint="eastAsia" w:ascii="方正小标宋简体" w:eastAsia="方正小标宋简体"/>
          <w:sz w:val="44"/>
          <w:szCs w:val="44"/>
        </w:rPr>
        <w:t>烟草专卖局雪茄烟专营店零售点合理布局公示表</w:t>
      </w:r>
    </w:p>
    <w:p>
      <w:pPr>
        <w:ind w:firstLine="420" w:firstLineChars="200"/>
      </w:pPr>
      <w:r>
        <w:rPr>
          <w:rFonts w:hint="eastAsia"/>
        </w:rPr>
        <w:t>单位：</w:t>
      </w:r>
      <w:r>
        <w:rPr>
          <w:rFonts w:hint="eastAsia"/>
          <w:lang w:val="en-US" w:eastAsia="zh-CN"/>
        </w:rPr>
        <w:t>官渡区</w:t>
      </w:r>
      <w:r>
        <w:rPr>
          <w:rFonts w:hint="eastAsia" w:ascii="宋体" w:hAnsi="宋体" w:cs="宋体"/>
        </w:rPr>
        <w:t>烟草专卖局</w:t>
      </w:r>
      <w:r>
        <w:rPr>
          <w:rFonts w:hint="eastAsia"/>
        </w:rPr>
        <w:t>（盖章）                                                     公示时间：</w:t>
      </w:r>
      <w:r>
        <w:t>XX年XX月XX日</w:t>
      </w:r>
      <w:r>
        <w:rPr>
          <w:rFonts w:hint="eastAsia"/>
        </w:rPr>
        <w:t>-</w:t>
      </w:r>
      <w:r>
        <w:t>XX年XX月XX日</w:t>
      </w:r>
    </w:p>
    <w:tbl>
      <w:tblPr>
        <w:tblStyle w:val="17"/>
        <w:tblpPr w:leftFromText="180" w:rightFromText="180" w:vertAnchor="text" w:horzAnchor="page" w:tblpX="1789" w:tblpY="151"/>
        <w:tblOverlap w:val="never"/>
        <w:tblW w:w="471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22"/>
        <w:gridCol w:w="2571"/>
        <w:gridCol w:w="1765"/>
        <w:gridCol w:w="1309"/>
        <w:gridCol w:w="1773"/>
        <w:gridCol w:w="2071"/>
        <w:gridCol w:w="26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388" w:type="pct"/>
            <w:vMerge w:val="restart"/>
            <w:tcBorders>
              <w:top w:val="single" w:color="auto" w:sz="4" w:space="0"/>
              <w:left w:val="single" w:color="auto" w:sz="4" w:space="0"/>
              <w:bottom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eastAsiaTheme="minorEastAsia"/>
                <w:sz w:val="22"/>
                <w:szCs w:val="22"/>
                <w:lang w:val="en-US" w:eastAsia="zh-CN"/>
              </w:rPr>
            </w:pPr>
            <w:r>
              <w:rPr>
                <w:rFonts w:hint="eastAsia" w:ascii="宋体" w:hAnsi="宋体" w:cs="宋体"/>
                <w:sz w:val="22"/>
                <w:szCs w:val="22"/>
                <w:lang w:val="en-US" w:eastAsia="zh-CN"/>
              </w:rPr>
              <w:t>官渡区</w:t>
            </w:r>
          </w:p>
        </w:tc>
        <w:tc>
          <w:tcPr>
            <w:tcW w:w="2142" w:type="pct"/>
            <w:gridSpan w:val="3"/>
            <w:tcBorders>
              <w:top w:val="single" w:color="auto" w:sz="4" w:space="0"/>
            </w:tcBorders>
            <w:shd w:val="clear" w:color="auto" w:fill="auto"/>
            <w:vAlign w:val="center"/>
          </w:tcPr>
          <w:p>
            <w:pPr>
              <w:keepNext w:val="0"/>
              <w:keepLines w:val="0"/>
              <w:suppressLineNumbers w:val="0"/>
              <w:spacing w:before="0" w:beforeAutospacing="0" w:after="0" w:afterAutospacing="0"/>
              <w:ind w:left="241" w:right="0" w:hanging="240" w:hangingChars="100"/>
              <w:jc w:val="center"/>
              <w:rPr>
                <w:rFonts w:hint="default" w:ascii="宋体" w:hAnsi="宋体" w:cs="宋体"/>
                <w:b/>
                <w:bCs/>
                <w:sz w:val="24"/>
              </w:rPr>
            </w:pPr>
            <w:r>
              <w:rPr>
                <w:rFonts w:hint="eastAsia" w:ascii="宋体" w:hAnsi="宋体" w:cs="宋体"/>
                <w:b/>
                <w:bCs/>
                <w:sz w:val="24"/>
              </w:rPr>
              <w:t>数量情况</w:t>
            </w:r>
          </w:p>
        </w:tc>
        <w:tc>
          <w:tcPr>
            <w:tcW w:w="1459" w:type="pct"/>
            <w:gridSpan w:val="2"/>
            <w:tcBorders>
              <w:top w:val="single" w:color="auto" w:sz="4" w:space="0"/>
            </w:tcBorders>
            <w:shd w:val="clear" w:color="auto" w:fill="auto"/>
            <w:vAlign w:val="center"/>
          </w:tcPr>
          <w:p>
            <w:pPr>
              <w:keepNext w:val="0"/>
              <w:keepLines w:val="0"/>
              <w:suppressLineNumbers w:val="0"/>
              <w:spacing w:before="0" w:beforeAutospacing="0" w:after="0" w:afterAutospacing="0"/>
              <w:ind w:left="241" w:right="0" w:hanging="240" w:hangingChars="100"/>
              <w:jc w:val="center"/>
              <w:rPr>
                <w:rFonts w:hint="default" w:ascii="宋体" w:hAnsi="宋体" w:cs="宋体"/>
                <w:b/>
                <w:bCs/>
                <w:sz w:val="24"/>
              </w:rPr>
            </w:pPr>
            <w:r>
              <w:rPr>
                <w:rFonts w:hint="eastAsia" w:ascii="宋体" w:hAnsi="宋体" w:cs="宋体"/>
                <w:b/>
                <w:bCs/>
                <w:sz w:val="24"/>
              </w:rPr>
              <w:t>其他情况</w:t>
            </w:r>
          </w:p>
        </w:tc>
        <w:tc>
          <w:tcPr>
            <w:tcW w:w="1011" w:type="pct"/>
            <w:vMerge w:val="restart"/>
            <w:tcBorders>
              <w:top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19" w:right="80" w:rightChars="38" w:hanging="19" w:hangingChars="8"/>
              <w:jc w:val="center"/>
              <w:rPr>
                <w:rFonts w:hint="default" w:ascii="宋体" w:hAnsi="宋体" w:cs="宋体"/>
                <w:b/>
                <w:bCs/>
                <w:spacing w:val="-1"/>
                <w:sz w:val="24"/>
              </w:rPr>
            </w:pPr>
            <w:r>
              <w:rPr>
                <w:rFonts w:hint="eastAsia" w:ascii="宋体" w:hAnsi="宋体" w:cs="宋体"/>
                <w:b/>
                <w:bCs/>
                <w:spacing w:val="-1"/>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388" w:type="pct"/>
            <w:vMerge w:val="continue"/>
            <w:tcBorders>
              <w:top w:val="nil"/>
              <w:left w:val="single" w:color="auto" w:sz="4" w:space="0"/>
              <w:bottom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976" w:type="pct"/>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r>
              <w:rPr>
                <w:rFonts w:hint="eastAsia" w:ascii="宋体" w:hAnsi="宋体" w:cs="宋体"/>
                <w:sz w:val="22"/>
                <w:szCs w:val="22"/>
              </w:rPr>
              <w:t>总量规划数</w:t>
            </w:r>
          </w:p>
          <w:p>
            <w:pPr>
              <w:keepNext w:val="0"/>
              <w:keepLines w:val="0"/>
              <w:suppressLineNumbers w:val="0"/>
              <w:spacing w:before="0" w:beforeAutospacing="0" w:after="0" w:afterAutospacing="0"/>
              <w:ind w:left="0" w:right="0"/>
              <w:jc w:val="center"/>
              <w:rPr>
                <w:rFonts w:hint="default" w:ascii="宋体" w:hAnsi="宋体" w:cs="宋体"/>
                <w:sz w:val="22"/>
                <w:szCs w:val="22"/>
              </w:rPr>
            </w:pPr>
            <w:r>
              <w:rPr>
                <w:rFonts w:hint="eastAsia" w:ascii="宋体" w:hAnsi="宋体" w:cs="宋体"/>
                <w:spacing w:val="-1"/>
                <w:sz w:val="22"/>
                <w:szCs w:val="22"/>
              </w:rPr>
              <w:t>（个）</w:t>
            </w:r>
          </w:p>
        </w:tc>
        <w:tc>
          <w:tcPr>
            <w:tcW w:w="670" w:type="pct"/>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r>
              <w:rPr>
                <w:rFonts w:hint="eastAsia" w:ascii="宋体" w:hAnsi="宋体" w:cs="宋体"/>
                <w:sz w:val="22"/>
                <w:szCs w:val="22"/>
              </w:rPr>
              <w:t>当前实际数</w:t>
            </w:r>
          </w:p>
          <w:p>
            <w:pPr>
              <w:keepNext w:val="0"/>
              <w:keepLines w:val="0"/>
              <w:suppressLineNumbers w:val="0"/>
              <w:spacing w:before="0" w:beforeAutospacing="0" w:after="0" w:afterAutospacing="0"/>
              <w:ind w:left="0" w:right="0"/>
              <w:jc w:val="center"/>
              <w:rPr>
                <w:rFonts w:hint="default" w:ascii="宋体" w:hAnsi="宋体" w:cs="宋体"/>
                <w:sz w:val="22"/>
                <w:szCs w:val="22"/>
              </w:rPr>
            </w:pPr>
            <w:r>
              <w:rPr>
                <w:rFonts w:hint="eastAsia" w:ascii="宋体" w:hAnsi="宋体" w:cs="宋体"/>
                <w:sz w:val="22"/>
                <w:szCs w:val="22"/>
              </w:rPr>
              <w:t>（个）</w:t>
            </w:r>
          </w:p>
        </w:tc>
        <w:tc>
          <w:tcPr>
            <w:tcW w:w="497" w:type="pct"/>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r>
              <w:rPr>
                <w:rFonts w:hint="eastAsia" w:ascii="宋体" w:hAnsi="宋体" w:cs="宋体"/>
                <w:sz w:val="22"/>
                <w:szCs w:val="22"/>
              </w:rPr>
              <w:t>当前余量</w:t>
            </w:r>
          </w:p>
          <w:p>
            <w:pPr>
              <w:keepNext w:val="0"/>
              <w:keepLines w:val="0"/>
              <w:suppressLineNumbers w:val="0"/>
              <w:spacing w:before="0" w:beforeAutospacing="0" w:after="0" w:afterAutospacing="0"/>
              <w:ind w:left="0" w:right="0"/>
              <w:jc w:val="center"/>
              <w:rPr>
                <w:rFonts w:hint="default" w:ascii="宋体" w:hAnsi="宋体" w:cs="宋体"/>
                <w:sz w:val="22"/>
                <w:szCs w:val="22"/>
              </w:rPr>
            </w:pPr>
            <w:r>
              <w:rPr>
                <w:rFonts w:hint="eastAsia" w:ascii="宋体" w:hAnsi="宋体" w:cs="宋体"/>
                <w:sz w:val="22"/>
                <w:szCs w:val="22"/>
              </w:rPr>
              <w:t>（个）</w:t>
            </w:r>
          </w:p>
        </w:tc>
        <w:tc>
          <w:tcPr>
            <w:tcW w:w="673" w:type="pct"/>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r>
              <w:rPr>
                <w:rFonts w:hint="eastAsia" w:ascii="宋体" w:hAnsi="宋体" w:cs="宋体"/>
                <w:sz w:val="22"/>
                <w:szCs w:val="22"/>
              </w:rPr>
              <w:t>零售点间距（米）</w:t>
            </w:r>
          </w:p>
        </w:tc>
        <w:tc>
          <w:tcPr>
            <w:tcW w:w="786" w:type="pct"/>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r>
              <w:rPr>
                <w:rFonts w:hint="eastAsia" w:ascii="宋体" w:hAnsi="宋体" w:cs="宋体"/>
                <w:sz w:val="22"/>
                <w:szCs w:val="22"/>
              </w:rPr>
              <w:t>其他条件描述</w:t>
            </w:r>
          </w:p>
        </w:tc>
        <w:tc>
          <w:tcPr>
            <w:tcW w:w="1011" w:type="pct"/>
            <w:vMerge w:val="continue"/>
            <w:tcBorders>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388" w:type="pct"/>
            <w:vMerge w:val="continue"/>
            <w:tcBorders>
              <w:top w:val="nil"/>
              <w:left w:val="single" w:color="auto" w:sz="4" w:space="0"/>
              <w:bottom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976" w:type="pct"/>
            <w:tcBorders>
              <w:bottom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r>
              <w:rPr>
                <w:rFonts w:hint="eastAsia" w:ascii="宋体" w:hAnsi="宋体" w:cs="宋体"/>
                <w:sz w:val="22"/>
                <w:szCs w:val="22"/>
              </w:rPr>
              <w:t>（上年度末烟草制品零售点总数的千分之</w:t>
            </w:r>
            <w:r>
              <w:rPr>
                <w:rFonts w:hint="eastAsia" w:ascii="宋体" w:hAnsi="宋体" w:cs="宋体"/>
                <w:sz w:val="22"/>
                <w:szCs w:val="22"/>
                <w:lang w:val="en-US" w:eastAsia="zh-CN"/>
              </w:rPr>
              <w:t>5</w:t>
            </w:r>
            <w:r>
              <w:rPr>
                <w:rFonts w:hint="eastAsia" w:ascii="宋体" w:hAnsi="宋体" w:cs="宋体"/>
                <w:sz w:val="22"/>
                <w:szCs w:val="22"/>
              </w:rPr>
              <w:t>）</w:t>
            </w:r>
          </w:p>
        </w:tc>
        <w:tc>
          <w:tcPr>
            <w:tcW w:w="670" w:type="pct"/>
            <w:tcBorders>
              <w:bottom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r>
              <w:rPr>
                <w:rFonts w:hint="eastAsia" w:ascii="宋体" w:hAnsi="宋体" w:cs="宋体"/>
                <w:sz w:val="22"/>
                <w:szCs w:val="22"/>
                <w:lang w:val="en-US" w:eastAsia="zh-CN"/>
              </w:rPr>
              <w:t>示例：</w:t>
            </w:r>
            <w:r>
              <w:rPr>
                <w:rFonts w:hint="eastAsia" w:ascii="宋体" w:hAnsi="宋体" w:cs="宋体"/>
                <w:sz w:val="22"/>
                <w:szCs w:val="22"/>
              </w:rPr>
              <w:t>420</w:t>
            </w:r>
          </w:p>
        </w:tc>
        <w:tc>
          <w:tcPr>
            <w:tcW w:w="497" w:type="pct"/>
            <w:tcBorders>
              <w:bottom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r>
              <w:rPr>
                <w:rFonts w:hint="eastAsia" w:ascii="宋体" w:hAnsi="宋体" w:cs="宋体"/>
                <w:sz w:val="22"/>
                <w:szCs w:val="22"/>
              </w:rPr>
              <w:t>0（负数也公示为0）</w:t>
            </w:r>
          </w:p>
        </w:tc>
        <w:tc>
          <w:tcPr>
            <w:tcW w:w="673" w:type="pct"/>
            <w:tcBorders>
              <w:bottom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eastAsiaTheme="minorEastAsia"/>
                <w:sz w:val="22"/>
                <w:szCs w:val="22"/>
                <w:lang w:val="en-US" w:eastAsia="zh-CN"/>
              </w:rPr>
            </w:pPr>
            <w:r>
              <w:rPr>
                <w:rFonts w:hint="eastAsia" w:ascii="宋体" w:hAnsi="宋体" w:cs="宋体"/>
                <w:sz w:val="22"/>
                <w:szCs w:val="22"/>
                <w:lang w:val="en-US" w:eastAsia="zh-CN"/>
              </w:rPr>
              <w:t>0</w:t>
            </w:r>
          </w:p>
        </w:tc>
        <w:tc>
          <w:tcPr>
            <w:tcW w:w="786" w:type="pct"/>
            <w:tcBorders>
              <w:bottom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c>
          <w:tcPr>
            <w:tcW w:w="1011" w:type="pct"/>
            <w:tcBorders>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 w:val="22"/>
                <w:szCs w:val="22"/>
              </w:rPr>
            </w:pPr>
          </w:p>
        </w:tc>
      </w:tr>
    </w:tbl>
    <w:p>
      <w:pPr>
        <w:spacing w:before="42" w:line="219" w:lineRule="auto"/>
        <w:ind w:firstLine="416" w:firstLineChars="200"/>
        <w:rPr>
          <w:rFonts w:ascii="宋体" w:hAnsi="宋体" w:cs="宋体"/>
          <w:spacing w:val="-1"/>
        </w:rPr>
      </w:pPr>
      <w:r>
        <w:rPr>
          <w:rFonts w:ascii="宋体" w:hAnsi="宋体" w:cs="宋体"/>
          <w:spacing w:val="-1"/>
        </w:rPr>
        <w:t>备注：</w:t>
      </w:r>
    </w:p>
    <w:p>
      <w:pPr>
        <w:spacing w:before="42" w:line="219" w:lineRule="auto"/>
        <w:ind w:firstLine="416" w:firstLineChars="200"/>
        <w:rPr>
          <w:rFonts w:ascii="宋体" w:hAnsi="宋体" w:cs="宋体"/>
          <w:spacing w:val="-1"/>
        </w:rPr>
      </w:pPr>
      <w:r>
        <w:rPr>
          <w:rFonts w:hint="eastAsia" w:ascii="宋体" w:hAnsi="宋体" w:cs="宋体"/>
          <w:spacing w:val="-1"/>
        </w:rPr>
        <w:t>1.本公示表的数据根据本区零售点布局规划实行定期评价、动态管理。</w:t>
      </w:r>
    </w:p>
    <w:p>
      <w:pPr>
        <w:spacing w:before="42" w:line="219" w:lineRule="auto"/>
        <w:ind w:left="420" w:leftChars="200"/>
        <w:rPr>
          <w:rFonts w:ascii="宋体" w:hAnsi="宋体" w:cs="宋体"/>
          <w:spacing w:val="-1"/>
        </w:rPr>
      </w:pPr>
      <w:r>
        <w:rPr>
          <w:rFonts w:hint="eastAsia" w:ascii="宋体" w:hAnsi="宋体" w:cs="宋体"/>
          <w:spacing w:val="-1"/>
        </w:rPr>
        <w:t>2.每XX（选项：每季度、每半年、每年）根据经济发展、城市和乡村建设、市场形势等变化情况对本表中的数据进行动态调整，规划数相应进行</w:t>
      </w:r>
    </w:p>
    <w:p>
      <w:pPr>
        <w:spacing w:before="42" w:line="219" w:lineRule="auto"/>
        <w:ind w:left="420" w:leftChars="200"/>
        <w:rPr>
          <w:rFonts w:ascii="宋体" w:hAnsi="宋体" w:cs="宋体"/>
          <w:spacing w:val="-1"/>
        </w:rPr>
      </w:pPr>
      <w:r>
        <w:rPr>
          <w:rFonts w:hint="eastAsia" w:ascii="宋体" w:hAnsi="宋体" w:cs="宋体"/>
          <w:spacing w:val="-1"/>
        </w:rPr>
        <w:t>动态更新，以</w:t>
      </w:r>
      <w:r>
        <w:rPr>
          <w:rFonts w:hint="eastAsia" w:ascii="宋体" w:hAnsi="宋体" w:cs="宋体"/>
          <w:spacing w:val="-1"/>
          <w:lang w:val="en-US" w:eastAsia="zh-CN"/>
        </w:rPr>
        <w:t>每季度</w:t>
      </w:r>
      <w:r>
        <w:rPr>
          <w:rFonts w:hint="eastAsia" w:ascii="宋体" w:hAnsi="宋体" w:cs="宋体"/>
          <w:spacing w:val="-1"/>
        </w:rPr>
        <w:t>最后一次公示的数据为准。</w:t>
      </w:r>
    </w:p>
    <w:p>
      <w:pPr>
        <w:spacing w:before="42" w:line="219" w:lineRule="auto"/>
        <w:ind w:firstLine="416" w:firstLineChars="200"/>
        <w:rPr>
          <w:rFonts w:ascii="方正小标宋简体" w:eastAsia="方正小标宋简体"/>
          <w:sz w:val="32"/>
          <w:szCs w:val="32"/>
        </w:rPr>
      </w:pPr>
      <w:r>
        <w:rPr>
          <w:rFonts w:hint="eastAsia" w:ascii="宋体" w:hAnsi="宋体" w:cs="宋体"/>
          <w:spacing w:val="-1"/>
        </w:rPr>
        <w:t>3.本数据由</w:t>
      </w:r>
      <w:r>
        <w:rPr>
          <w:rFonts w:hint="eastAsia" w:ascii="宋体" w:hAnsi="宋体" w:cs="宋体"/>
          <w:spacing w:val="-1"/>
          <w:lang w:val="en-US" w:eastAsia="zh-CN"/>
        </w:rPr>
        <w:t>官渡区</w:t>
      </w:r>
      <w:r>
        <w:rPr>
          <w:rFonts w:hint="eastAsia" w:ascii="宋体" w:hAnsi="宋体" w:cs="宋体"/>
          <w:spacing w:val="-1"/>
        </w:rPr>
        <w:t>烟草专卖局负责解释，咨询电话：XXXX。</w:t>
      </w:r>
    </w:p>
    <w:p>
      <w:pPr>
        <w:pStyle w:val="12"/>
        <w:spacing w:after="0" w:line="360" w:lineRule="auto"/>
        <w:ind w:right="2"/>
        <w:jc w:val="left"/>
        <w:rPr>
          <w:rFonts w:ascii="仿宋_GB2312" w:hAnsi="仿宋_GB2312" w:eastAsia="仿宋_GB2312" w:cs="仿宋_GB2312"/>
          <w:spacing w:val="10"/>
          <w:sz w:val="32"/>
          <w:szCs w:val="32"/>
        </w:rPr>
        <w:sectPr>
          <w:pgSz w:w="16838" w:h="11906" w:orient="landscape"/>
          <w:pgMar w:top="1463" w:right="1440" w:bottom="1800" w:left="1440" w:header="851" w:footer="992" w:gutter="0"/>
          <w:pgNumType w:fmt="numberInDash"/>
          <w:cols w:space="720" w:num="1"/>
          <w:docGrid w:type="lines" w:linePitch="312" w:charSpace="0"/>
        </w:sectPr>
      </w:pPr>
    </w:p>
    <w:p>
      <w:pPr>
        <w:spacing w:before="104" w:line="224" w:lineRule="auto"/>
        <w:rPr>
          <w:rFonts w:ascii="黑体" w:hAnsi="黑体" w:eastAsia="黑体" w:cs="黑体"/>
          <w:spacing w:val="8"/>
          <w:sz w:val="32"/>
          <w:szCs w:val="32"/>
        </w:rPr>
      </w:pPr>
      <w:r>
        <w:rPr>
          <w:rFonts w:hint="eastAsia" w:ascii="黑体" w:hAnsi="黑体" w:eastAsia="黑体" w:cs="黑体"/>
          <w:spacing w:val="8"/>
          <w:sz w:val="32"/>
          <w:szCs w:val="32"/>
        </w:rPr>
        <w:t>附件6</w:t>
      </w:r>
    </w:p>
    <w:p>
      <w:pPr>
        <w:snapToGrid w:val="0"/>
        <w:spacing w:line="317" w:lineRule="auto"/>
        <w:jc w:val="center"/>
        <w:rPr>
          <w:rFonts w:hint="eastAsia" w:ascii="方正小标宋简体" w:hAnsi="Calibri" w:eastAsia="方正小标宋简体"/>
          <w:sz w:val="44"/>
          <w:szCs w:val="44"/>
        </w:rPr>
      </w:pPr>
      <w:r>
        <w:rPr>
          <w:rFonts w:hint="eastAsia" w:ascii="方正小标宋简体" w:hAnsi="Calibri" w:eastAsia="方正小标宋简体"/>
          <w:sz w:val="44"/>
          <w:szCs w:val="44"/>
        </w:rPr>
        <w:t>云南省</w:t>
      </w:r>
      <w:r>
        <w:rPr>
          <w:rFonts w:hint="eastAsia" w:ascii="方正小标宋简体" w:hAnsi="Calibri" w:eastAsia="方正小标宋简体"/>
          <w:sz w:val="44"/>
          <w:szCs w:val="44"/>
          <w:lang w:val="en-US" w:eastAsia="zh-CN"/>
        </w:rPr>
        <w:t>昆明市官渡区</w:t>
      </w:r>
      <w:r>
        <w:rPr>
          <w:rFonts w:hint="eastAsia" w:ascii="方正小标宋简体" w:hAnsi="Calibri" w:eastAsia="方正小标宋简体"/>
          <w:sz w:val="44"/>
          <w:szCs w:val="44"/>
        </w:rPr>
        <w:t>烟草专卖局烟草制品</w:t>
      </w:r>
    </w:p>
    <w:p>
      <w:pPr>
        <w:snapToGrid w:val="0"/>
        <w:spacing w:line="317" w:lineRule="auto"/>
        <w:jc w:val="center"/>
        <w:rPr>
          <w:rFonts w:ascii="仿宋_GB2312" w:hAnsi="仿宋_GB2312" w:eastAsia="仿宋_GB2312" w:cs="仿宋_GB2312"/>
          <w:sz w:val="32"/>
          <w:szCs w:val="32"/>
        </w:rPr>
      </w:pPr>
      <w:r>
        <w:rPr>
          <w:rFonts w:hint="eastAsia" w:ascii="方正小标宋简体" w:hAnsi="Calibri" w:eastAsia="方正小标宋简体"/>
          <w:sz w:val="44"/>
          <w:szCs w:val="44"/>
        </w:rPr>
        <w:t>零售点</w:t>
      </w:r>
      <w:r>
        <w:rPr>
          <w:rFonts w:hint="eastAsia" w:ascii="方正小标宋简体" w:hAnsi="Calibri" w:eastAsia="方正小标宋简体"/>
          <w:sz w:val="44"/>
          <w:szCs w:val="44"/>
          <w:lang w:val="en-US" w:eastAsia="zh-CN"/>
        </w:rPr>
        <w:t>集中摇号管理</w:t>
      </w:r>
      <w:r>
        <w:rPr>
          <w:rFonts w:hint="eastAsia" w:ascii="方正小标宋简体" w:hAnsi="Calibri" w:eastAsia="方正小标宋简体"/>
          <w:sz w:val="44"/>
          <w:szCs w:val="44"/>
        </w:rPr>
        <w:t>制度</w:t>
      </w:r>
    </w:p>
    <w:p>
      <w:pPr>
        <w:numPr>
          <w:ilvl w:val="0"/>
          <w:numId w:val="0"/>
        </w:numPr>
        <w:spacing w:before="312" w:beforeLines="100" w:after="312" w:afterLines="100" w:line="360" w:lineRule="auto"/>
        <w:ind w:left="0" w:leftChars="0" w:firstLine="403" w:firstLineChars="0"/>
        <w:jc w:val="center"/>
        <w:rPr>
          <w:rFonts w:ascii="黑体" w:hAnsi="黑体" w:eastAsia="黑体" w:cs="黑体"/>
          <w:sz w:val="32"/>
          <w:szCs w:val="32"/>
        </w:rPr>
      </w:pPr>
      <w:r>
        <w:rPr>
          <w:rFonts w:hint="eastAsia" w:ascii="黑体" w:hAnsi="黑体" w:eastAsia="黑体" w:cs="黑体"/>
          <w:kern w:val="2"/>
          <w:sz w:val="32"/>
          <w:szCs w:val="32"/>
          <w:lang w:val="en-US" w:eastAsia="zh-CN" w:bidi="ar-SA"/>
        </w:rPr>
        <w:t xml:space="preserve">第一章 </w:t>
      </w:r>
      <w:r>
        <w:rPr>
          <w:rFonts w:hint="eastAsia" w:ascii="黑体" w:hAnsi="黑体" w:eastAsia="黑体" w:cs="黑体"/>
          <w:sz w:val="32"/>
          <w:szCs w:val="32"/>
        </w:rPr>
        <w:t>总则</w:t>
      </w:r>
    </w:p>
    <w:p>
      <w:pPr>
        <w:numPr>
          <w:ilvl w:val="2"/>
          <w:numId w:val="0"/>
        </w:numPr>
        <w:spacing w:line="360" w:lineRule="auto"/>
        <w:ind w:left="0" w:leftChars="0" w:firstLine="680" w:firstLineChars="0"/>
        <w:rPr>
          <w:rFonts w:ascii="仿宋_GB2312" w:hAnsi="仿宋_GB2312" w:eastAsia="仿宋_GB2312" w:cs="仿宋_GB2312"/>
          <w:sz w:val="32"/>
          <w:szCs w:val="32"/>
        </w:rPr>
      </w:pPr>
      <w:r>
        <w:rPr>
          <w:rFonts w:hint="eastAsia" w:ascii="仿宋_GB2312" w:hAnsi="仿宋_GB2312" w:eastAsia="黑体" w:cs="仿宋_GB2312"/>
          <w:color w:val="auto"/>
          <w:kern w:val="2"/>
          <w:sz w:val="32"/>
          <w:szCs w:val="32"/>
          <w:lang w:val="en-US" w:eastAsia="zh-CN" w:bidi="ar-SA"/>
        </w:rPr>
        <w:t>第一条　</w:t>
      </w:r>
      <w:r>
        <w:rPr>
          <w:rFonts w:hint="eastAsia" w:ascii="仿宋_GB2312" w:hAnsi="仿宋_GB2312" w:eastAsia="仿宋_GB2312" w:cs="仿宋_GB2312"/>
          <w:sz w:val="32"/>
          <w:szCs w:val="32"/>
        </w:rPr>
        <w:t>为坚持公平、公正、公开原则，规范实施《云南省</w:t>
      </w:r>
      <w:r>
        <w:rPr>
          <w:rFonts w:hint="eastAsia" w:ascii="仿宋_GB2312" w:hAnsi="仿宋_GB2312" w:eastAsia="仿宋_GB2312" w:cs="仿宋_GB2312"/>
          <w:sz w:val="32"/>
          <w:szCs w:val="32"/>
          <w:lang w:val="en-US" w:eastAsia="zh-CN"/>
        </w:rPr>
        <w:t>昆明市官渡区</w:t>
      </w:r>
      <w:r>
        <w:rPr>
          <w:rFonts w:hint="eastAsia" w:ascii="仿宋_GB2312" w:hAnsi="仿宋_GB2312" w:eastAsia="仿宋_GB2312" w:cs="仿宋_GB2312"/>
          <w:sz w:val="32"/>
          <w:szCs w:val="32"/>
        </w:rPr>
        <w:t>烟草制品零售点合理布局规划》，根据《中华人民共和国行政许可法》《烟草专卖许可证管理办法》《烟草专卖许可证管理办法实施细则》等法律法规和规章的规定，结合</w:t>
      </w:r>
      <w:r>
        <w:rPr>
          <w:rFonts w:hint="eastAsia" w:ascii="仿宋_GB2312" w:hAnsi="仿宋_GB2312" w:eastAsia="仿宋_GB2312" w:cs="仿宋_GB2312"/>
          <w:sz w:val="32"/>
          <w:szCs w:val="32"/>
          <w:lang w:val="en-US" w:eastAsia="zh-CN"/>
        </w:rPr>
        <w:t>官渡区</w:t>
      </w:r>
      <w:r>
        <w:rPr>
          <w:rFonts w:hint="eastAsia" w:ascii="仿宋_GB2312" w:hAnsi="仿宋_GB2312" w:eastAsia="仿宋_GB2312" w:cs="仿宋_GB2312"/>
          <w:sz w:val="32"/>
          <w:szCs w:val="32"/>
        </w:rPr>
        <w:t>实际，制定本制度。</w:t>
      </w:r>
    </w:p>
    <w:p>
      <w:pPr>
        <w:numPr>
          <w:ilvl w:val="2"/>
          <w:numId w:val="0"/>
        </w:numPr>
        <w:spacing w:line="360" w:lineRule="auto"/>
        <w:ind w:left="0" w:leftChars="0" w:firstLine="680" w:firstLineChars="0"/>
        <w:rPr>
          <w:rFonts w:ascii="仿宋_GB2312" w:hAnsi="仿宋_GB2312" w:eastAsia="仿宋_GB2312" w:cs="仿宋_GB2312"/>
          <w:sz w:val="32"/>
          <w:szCs w:val="32"/>
        </w:rPr>
      </w:pPr>
      <w:r>
        <w:rPr>
          <w:rFonts w:hint="eastAsia" w:ascii="仿宋_GB2312" w:hAnsi="仿宋_GB2312" w:eastAsia="黑体" w:cs="仿宋_GB2312"/>
          <w:color w:val="auto"/>
          <w:kern w:val="2"/>
          <w:sz w:val="32"/>
          <w:szCs w:val="32"/>
          <w:lang w:val="en-US" w:eastAsia="zh-CN" w:bidi="ar-SA"/>
        </w:rPr>
        <w:t>第二条　</w:t>
      </w:r>
      <w:r>
        <w:rPr>
          <w:rFonts w:hint="eastAsia" w:ascii="仿宋_GB2312" w:hAnsi="仿宋_GB2312" w:eastAsia="仿宋_GB2312" w:cs="仿宋_GB2312"/>
          <w:sz w:val="32"/>
          <w:szCs w:val="32"/>
        </w:rPr>
        <w:t>本制度适用于云南省</w:t>
      </w:r>
      <w:r>
        <w:rPr>
          <w:rFonts w:hint="eastAsia" w:ascii="仿宋_GB2312" w:hAnsi="仿宋_GB2312" w:eastAsia="仿宋_GB2312" w:cs="仿宋_GB2312"/>
          <w:sz w:val="32"/>
          <w:szCs w:val="32"/>
          <w:lang w:val="en-US" w:eastAsia="zh-CN"/>
        </w:rPr>
        <w:t>昆明市官渡区烟草专卖局</w:t>
      </w:r>
      <w:r>
        <w:rPr>
          <w:rFonts w:hint="eastAsia" w:ascii="仿宋_GB2312" w:hAnsi="仿宋_GB2312" w:eastAsia="仿宋_GB2312" w:cs="仿宋_GB2312"/>
          <w:sz w:val="32"/>
          <w:szCs w:val="32"/>
        </w:rPr>
        <w:t>行政辖区烟草制品零售点新办申请</w:t>
      </w:r>
      <w:r>
        <w:rPr>
          <w:rFonts w:hint="eastAsia" w:ascii="仿宋_GB2312" w:hAnsi="仿宋_GB2312" w:eastAsia="仿宋_GB2312" w:cs="仿宋_GB2312"/>
          <w:sz w:val="32"/>
          <w:szCs w:val="32"/>
          <w:lang w:val="en-US" w:eastAsia="zh-CN"/>
        </w:rPr>
        <w:t>事项的集中摇号管理</w:t>
      </w:r>
      <w:r>
        <w:rPr>
          <w:rFonts w:hint="eastAsia" w:ascii="仿宋_GB2312" w:hAnsi="仿宋_GB2312" w:eastAsia="仿宋_GB2312" w:cs="仿宋_GB2312"/>
          <w:sz w:val="32"/>
          <w:szCs w:val="32"/>
        </w:rPr>
        <w:t>。</w:t>
      </w:r>
    </w:p>
    <w:p>
      <w:pPr>
        <w:numPr>
          <w:ilvl w:val="2"/>
          <w:numId w:val="0"/>
        </w:numPr>
        <w:spacing w:line="360" w:lineRule="auto"/>
        <w:ind w:left="0" w:leftChars="0" w:firstLine="680" w:firstLineChars="0"/>
        <w:rPr>
          <w:rFonts w:ascii="仿宋_GB2312" w:hAnsi="仿宋_GB2312" w:eastAsia="仿宋_GB2312" w:cs="仿宋_GB2312"/>
          <w:sz w:val="32"/>
          <w:szCs w:val="32"/>
          <w:highlight w:val="none"/>
        </w:rPr>
      </w:pPr>
      <w:r>
        <w:rPr>
          <w:rFonts w:hint="eastAsia" w:ascii="仿宋_GB2312" w:hAnsi="仿宋_GB2312" w:eastAsia="黑体" w:cs="仿宋_GB2312"/>
          <w:color w:val="auto"/>
          <w:kern w:val="2"/>
          <w:sz w:val="32"/>
          <w:szCs w:val="32"/>
          <w:lang w:val="en-US" w:eastAsia="zh-CN" w:bidi="ar-SA"/>
        </w:rPr>
        <w:t>第三条　</w:t>
      </w:r>
      <w:r>
        <w:rPr>
          <w:rFonts w:hint="eastAsia" w:ascii="仿宋_GB2312" w:hAnsi="仿宋_GB2312" w:eastAsia="仿宋_GB2312" w:cs="仿宋_GB2312"/>
          <w:kern w:val="28"/>
          <w:sz w:val="32"/>
          <w:szCs w:val="32"/>
          <w:highlight w:val="none"/>
        </w:rPr>
        <w:t>本</w:t>
      </w:r>
      <w:r>
        <w:rPr>
          <w:rFonts w:hint="eastAsia" w:ascii="仿宋_GB2312" w:hAnsi="仿宋_GB2312" w:eastAsia="仿宋_GB2312" w:cs="仿宋_GB2312"/>
          <w:sz w:val="32"/>
          <w:szCs w:val="32"/>
          <w:highlight w:val="none"/>
        </w:rPr>
        <w:t>辖区</w:t>
      </w:r>
      <w:r>
        <w:rPr>
          <w:rFonts w:hint="eastAsia" w:ascii="仿宋_GB2312" w:hAnsi="仿宋_GB2312" w:eastAsia="仿宋_GB2312" w:cs="仿宋_GB2312"/>
          <w:kern w:val="28"/>
          <w:sz w:val="32"/>
          <w:szCs w:val="32"/>
          <w:highlight w:val="none"/>
        </w:rPr>
        <w:t>最小单元网格内的零售点实际数量大于或等于</w:t>
      </w:r>
      <w:r>
        <w:rPr>
          <w:rFonts w:hint="eastAsia" w:ascii="仿宋_GB2312" w:hAnsi="仿宋_GB2312" w:eastAsia="仿宋_GB2312" w:cs="仿宋_GB2312"/>
          <w:sz w:val="32"/>
          <w:szCs w:val="32"/>
          <w:highlight w:val="none"/>
        </w:rPr>
        <w:t>合理容量</w:t>
      </w:r>
      <w:r>
        <w:rPr>
          <w:rFonts w:hint="eastAsia" w:ascii="仿宋_GB2312" w:hAnsi="仿宋_GB2312" w:eastAsia="仿宋_GB2312" w:cs="仿宋_GB2312"/>
          <w:kern w:val="28"/>
          <w:sz w:val="32"/>
          <w:szCs w:val="32"/>
          <w:highlight w:val="none"/>
        </w:rPr>
        <w:t>时不再设新的零售点。</w:t>
      </w:r>
      <w:r>
        <w:rPr>
          <w:rFonts w:hint="eastAsia" w:ascii="仿宋_GB2312" w:hAnsi="仿宋_GB2312" w:eastAsia="仿宋_GB2312" w:cs="仿宋_GB2312"/>
          <w:kern w:val="28"/>
          <w:sz w:val="32"/>
          <w:szCs w:val="32"/>
          <w:highlight w:val="none"/>
          <w:lang w:val="en-US" w:eastAsia="zh-CN"/>
        </w:rPr>
        <w:t>当公示出的</w:t>
      </w:r>
      <w:r>
        <w:rPr>
          <w:rFonts w:hint="eastAsia" w:ascii="仿宋_GB2312" w:hAnsi="仿宋_GB2312" w:eastAsia="仿宋_GB2312" w:cs="仿宋_GB2312"/>
          <w:kern w:val="28"/>
          <w:sz w:val="32"/>
          <w:szCs w:val="32"/>
          <w:highlight w:val="none"/>
        </w:rPr>
        <w:t>最小单元网格内的零售点实际数量小于</w:t>
      </w:r>
      <w:r>
        <w:rPr>
          <w:rFonts w:hint="eastAsia" w:ascii="仿宋_GB2312" w:hAnsi="仿宋_GB2312" w:eastAsia="仿宋_GB2312" w:cs="仿宋_GB2312"/>
          <w:sz w:val="32"/>
          <w:szCs w:val="32"/>
          <w:highlight w:val="none"/>
        </w:rPr>
        <w:t>合理容量时，</w:t>
      </w:r>
      <w:r>
        <w:rPr>
          <w:rFonts w:hint="eastAsia" w:ascii="仿宋_GB2312" w:hAnsi="仿宋_GB2312" w:eastAsia="仿宋_GB2312" w:cs="仿宋_GB2312"/>
          <w:kern w:val="28"/>
          <w:sz w:val="32"/>
          <w:szCs w:val="32"/>
          <w:highlight w:val="none"/>
        </w:rPr>
        <w:t>新办申请人应按本制度</w:t>
      </w:r>
      <w:r>
        <w:rPr>
          <w:rFonts w:hint="eastAsia" w:ascii="仿宋_GB2312" w:hAnsi="仿宋_GB2312" w:eastAsia="仿宋_GB2312" w:cs="仿宋_GB2312"/>
          <w:kern w:val="28"/>
          <w:sz w:val="32"/>
          <w:szCs w:val="32"/>
          <w:highlight w:val="none"/>
          <w:lang w:val="en-US" w:eastAsia="zh-CN"/>
        </w:rPr>
        <w:t>规定的程序和要求</w:t>
      </w:r>
      <w:r>
        <w:rPr>
          <w:rFonts w:hint="eastAsia" w:ascii="仿宋_GB2312" w:hAnsi="仿宋_GB2312" w:eastAsia="仿宋_GB2312" w:cs="仿宋_GB2312"/>
          <w:kern w:val="28"/>
          <w:sz w:val="32"/>
          <w:szCs w:val="32"/>
          <w:highlight w:val="none"/>
          <w:lang w:eastAsia="zh-CN"/>
        </w:rPr>
        <w:t>，</w:t>
      </w:r>
      <w:r>
        <w:rPr>
          <w:rFonts w:hint="eastAsia" w:ascii="仿宋_GB2312" w:hAnsi="仿宋_GB2312" w:eastAsia="仿宋_GB2312" w:cs="仿宋_GB2312"/>
          <w:kern w:val="28"/>
          <w:sz w:val="32"/>
          <w:szCs w:val="32"/>
          <w:highlight w:val="none"/>
        </w:rPr>
        <w:t>提出</w:t>
      </w:r>
      <w:r>
        <w:rPr>
          <w:rFonts w:hint="eastAsia" w:ascii="仿宋_GB2312" w:hAnsi="仿宋_GB2312" w:eastAsia="仿宋_GB2312" w:cs="仿宋_GB2312"/>
          <w:kern w:val="28"/>
          <w:sz w:val="32"/>
          <w:szCs w:val="32"/>
          <w:highlight w:val="none"/>
          <w:lang w:val="en-US" w:eastAsia="zh-CN"/>
        </w:rPr>
        <w:t>参与对应最小单元网格集中摇号的</w:t>
      </w:r>
      <w:r>
        <w:rPr>
          <w:rFonts w:hint="eastAsia" w:ascii="仿宋_GB2312" w:hAnsi="仿宋_GB2312" w:eastAsia="仿宋_GB2312" w:cs="仿宋_GB2312"/>
          <w:kern w:val="28"/>
          <w:sz w:val="32"/>
          <w:szCs w:val="32"/>
          <w:highlight w:val="none"/>
        </w:rPr>
        <w:t>申请，</w:t>
      </w:r>
      <w:r>
        <w:rPr>
          <w:rFonts w:hint="eastAsia" w:ascii="仿宋_GB2312" w:hAnsi="仿宋_GB2312" w:eastAsia="仿宋_GB2312" w:cs="仿宋_GB2312"/>
          <w:kern w:val="28"/>
          <w:sz w:val="32"/>
          <w:szCs w:val="32"/>
          <w:highlight w:val="none"/>
          <w:lang w:val="en-US" w:eastAsia="zh-CN"/>
        </w:rPr>
        <w:t>再</w:t>
      </w:r>
      <w:r>
        <w:rPr>
          <w:rFonts w:hint="eastAsia" w:ascii="仿宋_GB2312" w:hAnsi="仿宋_GB2312" w:eastAsia="仿宋_GB2312" w:cs="仿宋_GB2312"/>
          <w:kern w:val="28"/>
          <w:sz w:val="32"/>
          <w:szCs w:val="32"/>
          <w:highlight w:val="none"/>
        </w:rPr>
        <w:t>按照集中摇号的结果顺序</w:t>
      </w:r>
      <w:r>
        <w:rPr>
          <w:rFonts w:hint="eastAsia" w:ascii="仿宋_GB2312" w:hAnsi="仿宋_GB2312" w:eastAsia="仿宋_GB2312" w:cs="仿宋_GB2312"/>
          <w:kern w:val="28"/>
          <w:sz w:val="32"/>
          <w:szCs w:val="32"/>
          <w:highlight w:val="none"/>
          <w:lang w:val="en-US" w:eastAsia="zh-CN"/>
        </w:rPr>
        <w:t>通过预审核后，</w:t>
      </w:r>
      <w:r>
        <w:rPr>
          <w:rFonts w:hint="eastAsia" w:ascii="仿宋_GB2312" w:hAnsi="仿宋_GB2312" w:eastAsia="仿宋_GB2312" w:cs="仿宋_GB2312"/>
          <w:sz w:val="32"/>
          <w:szCs w:val="32"/>
          <w:highlight w:val="none"/>
          <w:lang w:val="en-US" w:eastAsia="zh-CN"/>
        </w:rPr>
        <w:t>按</w:t>
      </w:r>
      <w:r>
        <w:rPr>
          <w:rFonts w:hint="eastAsia" w:ascii="仿宋_GB2312" w:hAnsi="仿宋_GB2312" w:eastAsia="仿宋_GB2312" w:cs="仿宋_GB2312"/>
          <w:sz w:val="32"/>
          <w:szCs w:val="32"/>
          <w:highlight w:val="none"/>
        </w:rPr>
        <w:t>顺序依次提交新办申请。</w:t>
      </w:r>
    </w:p>
    <w:p>
      <w:pPr>
        <w:numPr>
          <w:ilvl w:val="0"/>
          <w:numId w:val="0"/>
        </w:numPr>
        <w:spacing w:before="312" w:beforeLines="100" w:after="312" w:afterLines="100" w:line="360" w:lineRule="auto"/>
        <w:ind w:left="0" w:leftChars="0" w:firstLine="403" w:firstLineChars="0"/>
        <w:jc w:val="center"/>
        <w:rPr>
          <w:rFonts w:ascii="黑体" w:hAnsi="黑体" w:eastAsia="黑体" w:cs="黑体"/>
          <w:sz w:val="32"/>
          <w:szCs w:val="32"/>
        </w:rPr>
      </w:pPr>
      <w:r>
        <w:rPr>
          <w:rFonts w:hint="eastAsia" w:ascii="黑体" w:hAnsi="黑体" w:eastAsia="黑体" w:cs="黑体"/>
          <w:kern w:val="2"/>
          <w:sz w:val="32"/>
          <w:szCs w:val="32"/>
          <w:lang w:val="en-US" w:eastAsia="zh-CN" w:bidi="ar-SA"/>
        </w:rPr>
        <w:t xml:space="preserve">第二章 </w:t>
      </w:r>
      <w:r>
        <w:rPr>
          <w:rFonts w:hint="eastAsia" w:ascii="黑体" w:hAnsi="黑体" w:eastAsia="黑体" w:cs="黑体"/>
          <w:sz w:val="32"/>
          <w:szCs w:val="32"/>
        </w:rPr>
        <w:t>程序及要求</w:t>
      </w:r>
    </w:p>
    <w:p>
      <w:pPr>
        <w:numPr>
          <w:ilvl w:val="2"/>
          <w:numId w:val="0"/>
        </w:numPr>
        <w:spacing w:line="360" w:lineRule="auto"/>
        <w:ind w:left="0" w:leftChars="0" w:firstLine="640" w:firstLineChars="200"/>
        <w:rPr>
          <w:rFonts w:hint="default" w:eastAsia="仿宋_GB2312"/>
          <w:lang w:val="en-US" w:eastAsia="zh-CN"/>
        </w:rPr>
      </w:pPr>
      <w:r>
        <w:rPr>
          <w:rFonts w:hint="eastAsia" w:ascii="黑体" w:hAnsi="黑体" w:eastAsia="黑体" w:cs="黑体"/>
          <w:sz w:val="32"/>
          <w:szCs w:val="32"/>
          <w:highlight w:val="none"/>
          <w:lang w:val="en-US" w:eastAsia="zh-CN"/>
        </w:rPr>
        <w:t xml:space="preserve">第四条 </w:t>
      </w:r>
      <w:r>
        <w:rPr>
          <w:rFonts w:hint="eastAsia" w:eastAsia="仿宋_GB2312"/>
          <w:sz w:val="32"/>
          <w:szCs w:val="32"/>
          <w:highlight w:val="none"/>
          <w:lang w:val="en-US" w:eastAsia="zh-CN"/>
        </w:rPr>
        <w:t xml:space="preserve"> 本规划仅对当期可新增零售点的最小单元网格开展集中摇号管理。在辖区最小单元网格的合理容量公示期结束后的3</w:t>
      </w:r>
      <w:r>
        <w:rPr>
          <w:rFonts w:hint="default" w:eastAsia="仿宋_GB2312"/>
          <w:sz w:val="32"/>
          <w:szCs w:val="32"/>
          <w:highlight w:val="none"/>
          <w:lang w:val="en-US" w:eastAsia="zh-CN"/>
        </w:rPr>
        <w:t>个工作日内，</w:t>
      </w:r>
      <w:r>
        <w:rPr>
          <w:rFonts w:hint="eastAsia" w:eastAsia="仿宋_GB2312"/>
          <w:sz w:val="32"/>
          <w:szCs w:val="32"/>
          <w:highlight w:val="none"/>
          <w:lang w:val="en-US" w:eastAsia="zh-CN"/>
        </w:rPr>
        <w:t>针对当期最小单元网格内的零售点实际数量小于合理容量的网格，</w:t>
      </w:r>
      <w:r>
        <w:rPr>
          <w:rFonts w:hint="default" w:eastAsia="仿宋_GB2312"/>
          <w:sz w:val="32"/>
          <w:szCs w:val="32"/>
          <w:highlight w:val="none"/>
          <w:lang w:val="en-US" w:eastAsia="zh-CN"/>
        </w:rPr>
        <w:t>对外发布参与</w:t>
      </w:r>
      <w:r>
        <w:rPr>
          <w:rFonts w:hint="eastAsia" w:eastAsia="仿宋_GB2312"/>
          <w:sz w:val="32"/>
          <w:szCs w:val="32"/>
          <w:highlight w:val="none"/>
          <w:lang w:val="en-US" w:eastAsia="zh-CN"/>
        </w:rPr>
        <w:t>该网格</w:t>
      </w:r>
      <w:r>
        <w:rPr>
          <w:rFonts w:hint="default" w:eastAsia="仿宋_GB2312"/>
          <w:sz w:val="32"/>
          <w:szCs w:val="32"/>
          <w:highlight w:val="none"/>
          <w:lang w:val="en-US" w:eastAsia="zh-CN"/>
        </w:rPr>
        <w:t>集中</w:t>
      </w:r>
      <w:r>
        <w:rPr>
          <w:rFonts w:hint="eastAsia" w:eastAsia="仿宋_GB2312"/>
          <w:sz w:val="32"/>
          <w:szCs w:val="32"/>
          <w:highlight w:val="none"/>
          <w:lang w:val="en-US" w:eastAsia="zh-CN"/>
        </w:rPr>
        <w:t>摇号</w:t>
      </w:r>
      <w:r>
        <w:rPr>
          <w:rFonts w:hint="default" w:eastAsia="仿宋_GB2312"/>
          <w:sz w:val="32"/>
          <w:szCs w:val="32"/>
          <w:highlight w:val="none"/>
          <w:lang w:val="en-US" w:eastAsia="zh-CN"/>
        </w:rPr>
        <w:t>的报名地点、时间和方式</w:t>
      </w:r>
      <w:r>
        <w:rPr>
          <w:rFonts w:hint="eastAsia" w:eastAsia="仿宋_GB2312"/>
          <w:sz w:val="32"/>
          <w:szCs w:val="32"/>
          <w:highlight w:val="none"/>
          <w:lang w:val="en-US" w:eastAsia="zh-CN"/>
        </w:rPr>
        <w:t>。其中，</w:t>
      </w:r>
      <w:r>
        <w:rPr>
          <w:rFonts w:hint="eastAsia" w:ascii="仿宋_GB2312" w:hAnsi="仿宋_GB2312" w:eastAsia="仿宋_GB2312" w:cs="仿宋_GB2312"/>
          <w:kern w:val="28"/>
          <w:sz w:val="32"/>
          <w:szCs w:val="32"/>
          <w:highlight w:val="none"/>
          <w:lang w:val="en-US" w:eastAsia="zh-CN"/>
        </w:rPr>
        <w:t>当期</w:t>
      </w:r>
      <w:r>
        <w:rPr>
          <w:rFonts w:hint="eastAsia" w:ascii="仿宋_GB2312" w:hAnsi="仿宋_GB2312" w:eastAsia="仿宋_GB2312" w:cs="仿宋_GB2312"/>
          <w:kern w:val="28"/>
          <w:sz w:val="32"/>
          <w:szCs w:val="32"/>
          <w:highlight w:val="none"/>
        </w:rPr>
        <w:t>最小单元网格内的零售点实际数量大于或等于</w:t>
      </w:r>
      <w:r>
        <w:rPr>
          <w:rFonts w:hint="eastAsia" w:ascii="仿宋_GB2312" w:hAnsi="仿宋_GB2312" w:eastAsia="仿宋_GB2312" w:cs="仿宋_GB2312"/>
          <w:sz w:val="32"/>
          <w:szCs w:val="32"/>
          <w:highlight w:val="none"/>
        </w:rPr>
        <w:t>合理容量</w:t>
      </w:r>
      <w:r>
        <w:rPr>
          <w:rFonts w:hint="eastAsia" w:ascii="仿宋_GB2312" w:hAnsi="仿宋_GB2312" w:eastAsia="仿宋_GB2312" w:cs="仿宋_GB2312"/>
          <w:kern w:val="28"/>
          <w:sz w:val="32"/>
          <w:szCs w:val="32"/>
          <w:highlight w:val="none"/>
        </w:rPr>
        <w:t>时不再设新的零售点</w:t>
      </w:r>
      <w:r>
        <w:rPr>
          <w:rFonts w:hint="eastAsia" w:ascii="仿宋_GB2312" w:hAnsi="仿宋_GB2312" w:eastAsia="仿宋_GB2312" w:cs="仿宋_GB2312"/>
          <w:kern w:val="28"/>
          <w:sz w:val="32"/>
          <w:szCs w:val="32"/>
          <w:highlight w:val="none"/>
          <w:lang w:eastAsia="zh-CN"/>
        </w:rPr>
        <w:t>，</w:t>
      </w:r>
      <w:r>
        <w:rPr>
          <w:rFonts w:hint="eastAsia" w:ascii="仿宋_GB2312" w:hAnsi="仿宋_GB2312" w:eastAsia="仿宋_GB2312" w:cs="仿宋_GB2312"/>
          <w:kern w:val="28"/>
          <w:sz w:val="32"/>
          <w:szCs w:val="32"/>
          <w:highlight w:val="none"/>
          <w:lang w:val="en-US" w:eastAsia="zh-CN"/>
        </w:rPr>
        <w:t>该网格不进行集中摇号。</w:t>
      </w:r>
    </w:p>
    <w:p>
      <w:pPr>
        <w:numPr>
          <w:ilvl w:val="2"/>
          <w:numId w:val="0"/>
        </w:numPr>
        <w:spacing w:line="360" w:lineRule="auto"/>
        <w:ind w:left="0" w:leftChars="0" w:firstLine="640" w:firstLineChars="200"/>
        <w:rPr>
          <w:rFonts w:hint="eastAsia" w:ascii="仿宋_GB2312" w:hAnsi="仿宋_GB2312" w:eastAsia="仿宋_GB2312" w:cs="仿宋_GB2312"/>
          <w:sz w:val="32"/>
          <w:szCs w:val="32"/>
          <w:lang w:eastAsia="zh-CN"/>
        </w:rPr>
      </w:pPr>
      <w:r>
        <w:rPr>
          <w:rFonts w:hint="eastAsia" w:ascii="黑体" w:hAnsi="黑体" w:eastAsia="黑体" w:cs="黑体"/>
          <w:sz w:val="32"/>
          <w:szCs w:val="32"/>
          <w:highlight w:val="none"/>
          <w:lang w:val="en-US" w:eastAsia="zh-CN"/>
        </w:rPr>
        <w:t xml:space="preserve">第五条  </w:t>
      </w:r>
      <w:r>
        <w:rPr>
          <w:rFonts w:hint="eastAsia" w:ascii="仿宋_GB2312" w:hAnsi="仿宋_GB2312" w:eastAsia="仿宋_GB2312" w:cs="仿宋_GB2312"/>
          <w:sz w:val="32"/>
          <w:szCs w:val="32"/>
          <w:highlight w:val="none"/>
          <w:lang w:val="en-US" w:eastAsia="zh-CN"/>
        </w:rPr>
        <w:t>申请人应当依据当期最小单元网格合理容量的公示情况，在申请人的实际经营地址符合当期可新增零售点最小单元网格要求的基础上，按照对外发布参与集中摇号的地点、时间，自愿填写并提交</w:t>
      </w:r>
      <w:r>
        <w:rPr>
          <w:rFonts w:hint="eastAsia" w:ascii="仿宋_GB2312" w:hAnsi="仿宋_GB2312" w:eastAsia="仿宋_GB2312" w:cs="仿宋_GB2312"/>
          <w:sz w:val="32"/>
          <w:szCs w:val="32"/>
        </w:rPr>
        <w:t>《云南省</w:t>
      </w:r>
      <w:r>
        <w:rPr>
          <w:rFonts w:hint="eastAsia" w:ascii="仿宋_GB2312" w:hAnsi="仿宋_GB2312" w:eastAsia="仿宋_GB2312" w:cs="仿宋_GB2312"/>
          <w:sz w:val="32"/>
          <w:szCs w:val="32"/>
          <w:lang w:val="en-US" w:eastAsia="zh-CN"/>
        </w:rPr>
        <w:t>昆明市官渡区烟草专卖局</w:t>
      </w:r>
      <w:r>
        <w:rPr>
          <w:rFonts w:hint="eastAsia" w:ascii="仿宋_GB2312" w:hAnsi="仿宋_GB2312" w:eastAsia="仿宋_GB2312" w:cs="仿宋_GB2312"/>
          <w:sz w:val="32"/>
          <w:szCs w:val="32"/>
        </w:rPr>
        <w:t>烟草制品零售点XX单元网格</w:t>
      </w:r>
      <w:r>
        <w:rPr>
          <w:rFonts w:hint="eastAsia" w:ascii="仿宋_GB2312" w:hAnsi="仿宋_GB2312" w:eastAsia="仿宋_GB2312" w:cs="仿宋_GB2312"/>
          <w:sz w:val="32"/>
          <w:szCs w:val="32"/>
          <w:lang w:val="en-US" w:eastAsia="zh-CN"/>
        </w:rPr>
        <w:t>集中摇号</w:t>
      </w:r>
      <w:r>
        <w:rPr>
          <w:rFonts w:hint="eastAsia" w:ascii="仿宋_GB2312" w:hAnsi="仿宋_GB2312" w:eastAsia="仿宋_GB2312" w:cs="仿宋_GB2312"/>
          <w:sz w:val="32"/>
          <w:szCs w:val="32"/>
        </w:rPr>
        <w:t>申请表》（详见附表）</w:t>
      </w:r>
      <w:r>
        <w:rPr>
          <w:rFonts w:hint="eastAsia" w:ascii="仿宋_GB2312" w:hAnsi="仿宋_GB2312" w:eastAsia="仿宋_GB2312" w:cs="仿宋_GB2312"/>
          <w:sz w:val="32"/>
          <w:szCs w:val="32"/>
          <w:lang w:eastAsia="zh-CN"/>
        </w:rPr>
        <w:t>。</w:t>
      </w:r>
    </w:p>
    <w:p>
      <w:pPr>
        <w:pStyle w:val="19"/>
        <w:ind w:firstLine="640" w:firstLineChars="200"/>
        <w:rPr>
          <w:rFonts w:hint="default" w:ascii="仿宋_GB2312" w:hAnsi="仿宋_GB2312" w:eastAsia="仿宋_GB2312" w:cs="仿宋_GB2312"/>
          <w:color w:val="auto"/>
          <w:kern w:val="2"/>
          <w:sz w:val="32"/>
          <w:szCs w:val="32"/>
          <w:highlight w:val="none"/>
          <w:lang w:val="en-US" w:eastAsia="zh-CN" w:bidi="ar-SA"/>
        </w:rPr>
      </w:pPr>
      <w:r>
        <w:rPr>
          <w:rFonts w:hint="eastAsia" w:ascii="黑体" w:hAnsi="黑体" w:eastAsia="黑体" w:cs="黑体"/>
          <w:sz w:val="32"/>
          <w:szCs w:val="32"/>
          <w:highlight w:val="none"/>
          <w:lang w:val="en-US" w:eastAsia="zh-CN"/>
        </w:rPr>
        <w:t xml:space="preserve">第六条 </w:t>
      </w:r>
      <w:r>
        <w:rPr>
          <w:rFonts w:hint="eastAsia" w:ascii="仿宋_GB2312" w:hAnsi="仿宋_GB2312" w:eastAsia="仿宋_GB2312" w:cs="仿宋_GB2312"/>
          <w:color w:val="auto"/>
          <w:kern w:val="2"/>
          <w:sz w:val="32"/>
          <w:szCs w:val="32"/>
          <w:highlight w:val="none"/>
          <w:lang w:val="en-US" w:eastAsia="zh-CN" w:bidi="ar-SA"/>
        </w:rPr>
        <w:t>集中摇号按照“提前申请—集中公证抽签—公示抽签结果”的程序进行。集中摇号结束后，按照摇号顺序确定预审核顺序，通过预审核的，将按照顺序依次受理新办申请资料，直至达到当期可新增</w:t>
      </w:r>
      <w:r>
        <w:rPr>
          <w:rFonts w:hint="eastAsia" w:eastAsia="仿宋_GB2312"/>
          <w:sz w:val="32"/>
          <w:szCs w:val="32"/>
          <w:highlight w:val="none"/>
          <w:lang w:val="en-US" w:eastAsia="zh-CN"/>
        </w:rPr>
        <w:t>零售点最小单元网格的最大容量。</w:t>
      </w:r>
    </w:p>
    <w:p>
      <w:pPr>
        <w:pStyle w:val="19"/>
        <w:ind w:firstLine="640" w:firstLineChars="200"/>
        <w:rPr>
          <w:rFonts w:hint="eastAsia" w:ascii="仿宋_GB2312" w:hAnsi="仿宋_GB2312" w:eastAsia="仿宋_GB2312" w:cs="仿宋_GB2312"/>
          <w:color w:val="auto"/>
          <w:kern w:val="2"/>
          <w:sz w:val="32"/>
          <w:szCs w:val="32"/>
          <w:highlight w:val="none"/>
          <w:lang w:val="en-US" w:eastAsia="zh-CN" w:bidi="ar-SA"/>
        </w:rPr>
      </w:pPr>
      <w:r>
        <w:rPr>
          <w:rFonts w:hint="eastAsia" w:ascii="黑体" w:hAnsi="黑体" w:eastAsia="黑体" w:cs="黑体"/>
          <w:color w:val="auto"/>
          <w:kern w:val="2"/>
          <w:sz w:val="32"/>
          <w:szCs w:val="32"/>
          <w:highlight w:val="none"/>
          <w:lang w:val="en-US" w:eastAsia="zh-CN" w:bidi="ar-SA"/>
        </w:rPr>
        <w:t xml:space="preserve">第七条 </w:t>
      </w:r>
      <w:r>
        <w:rPr>
          <w:rFonts w:hint="eastAsia" w:ascii="仿宋_GB2312" w:hAnsi="仿宋_GB2312" w:eastAsia="仿宋_GB2312" w:cs="仿宋_GB2312"/>
          <w:color w:val="auto"/>
          <w:kern w:val="2"/>
          <w:sz w:val="32"/>
          <w:szCs w:val="32"/>
          <w:highlight w:val="none"/>
          <w:lang w:val="en-US" w:eastAsia="zh-CN" w:bidi="ar-SA"/>
        </w:rPr>
        <w:t>申请人依据当期最小单元网格合理容量的公示情况，未在当期对外发布的报名地点、时间内参与集中摇号的，按照提交新办申请资料的时间顺序依次排在当期参加集中摇号的顺序之后。</w:t>
      </w:r>
    </w:p>
    <w:p>
      <w:pPr>
        <w:pStyle w:val="19"/>
        <w:ind w:firstLine="640" w:firstLineChars="200"/>
        <w:rPr>
          <w:rFonts w:hint="eastAsia" w:ascii="仿宋_GB2312" w:hAnsi="仿宋_GB2312" w:eastAsia="仿宋_GB2312" w:cs="仿宋_GB2312"/>
          <w:color w:val="auto"/>
          <w:kern w:val="2"/>
          <w:sz w:val="32"/>
          <w:szCs w:val="32"/>
          <w:highlight w:val="none"/>
          <w:lang w:val="en-US" w:eastAsia="zh-CN" w:bidi="ar-SA"/>
        </w:rPr>
      </w:pPr>
      <w:r>
        <w:rPr>
          <w:rFonts w:hint="eastAsia" w:ascii="黑体" w:hAnsi="黑体" w:eastAsia="黑体" w:cs="黑体"/>
          <w:color w:val="auto"/>
          <w:kern w:val="2"/>
          <w:sz w:val="32"/>
          <w:szCs w:val="32"/>
          <w:highlight w:val="none"/>
          <w:lang w:val="en-US" w:eastAsia="zh-CN" w:bidi="ar-SA"/>
        </w:rPr>
        <w:t>第八条</w:t>
      </w:r>
      <w:r>
        <w:rPr>
          <w:rFonts w:hint="eastAsia" w:ascii="仿宋_GB2312" w:hAnsi="仿宋_GB2312" w:eastAsia="仿宋_GB2312" w:cs="仿宋_GB2312"/>
          <w:color w:val="auto"/>
          <w:kern w:val="2"/>
          <w:sz w:val="32"/>
          <w:szCs w:val="32"/>
          <w:highlight w:val="none"/>
          <w:lang w:val="en-US" w:eastAsia="zh-CN" w:bidi="ar-SA"/>
        </w:rPr>
        <w:t xml:space="preserve"> 申请人应当确保自愿填写的集中摇号登记信息、新办资料信息等准确无误。出现信息不一致或者弄虚作假的，一律取消当期集中摇号结果。</w:t>
      </w:r>
    </w:p>
    <w:p>
      <w:pPr>
        <w:numPr>
          <w:ilvl w:val="0"/>
          <w:numId w:val="0"/>
        </w:numPr>
        <w:spacing w:before="312" w:beforeLines="100" w:after="312" w:afterLines="100" w:line="360" w:lineRule="auto"/>
        <w:ind w:left="0" w:leftChars="0" w:firstLine="403" w:firstLineChars="0"/>
        <w:jc w:val="center"/>
        <w:rPr>
          <w:rFonts w:ascii="黑体" w:hAnsi="黑体" w:eastAsia="黑体" w:cs="黑体"/>
          <w:sz w:val="32"/>
          <w:szCs w:val="32"/>
        </w:rPr>
      </w:pPr>
      <w:r>
        <w:rPr>
          <w:rFonts w:hint="eastAsia" w:ascii="黑体" w:hAnsi="黑体" w:eastAsia="黑体" w:cs="黑体"/>
          <w:kern w:val="2"/>
          <w:sz w:val="32"/>
          <w:szCs w:val="32"/>
          <w:lang w:val="en-US" w:eastAsia="zh-CN" w:bidi="ar-SA"/>
        </w:rPr>
        <w:t xml:space="preserve">第三章 </w:t>
      </w:r>
      <w:r>
        <w:rPr>
          <w:rFonts w:hint="eastAsia" w:ascii="黑体" w:hAnsi="黑体" w:eastAsia="黑体" w:cs="黑体"/>
          <w:sz w:val="32"/>
          <w:szCs w:val="32"/>
        </w:rPr>
        <w:t>监督检查</w:t>
      </w:r>
    </w:p>
    <w:p>
      <w:pPr>
        <w:numPr>
          <w:ilvl w:val="2"/>
          <w:numId w:val="0"/>
        </w:numPr>
        <w:spacing w:line="360" w:lineRule="auto"/>
        <w:ind w:left="0" w:leftChars="0" w:firstLine="680" w:firstLineChars="0"/>
        <w:rPr>
          <w:rFonts w:hint="eastAsia" w:ascii="仿宋_GB2312" w:hAnsi="仿宋_GB2312" w:eastAsia="仿宋_GB2312" w:cs="仿宋_GB2312"/>
          <w:sz w:val="32"/>
          <w:szCs w:val="32"/>
        </w:rPr>
      </w:pPr>
      <w:r>
        <w:rPr>
          <w:rFonts w:hint="eastAsia" w:ascii="楷体" w:hAnsi="楷体" w:eastAsia="黑体" w:cs="楷体"/>
          <w:color w:val="auto"/>
          <w:kern w:val="2"/>
          <w:sz w:val="32"/>
          <w:szCs w:val="32"/>
          <w:lang w:val="en-US" w:eastAsia="zh-CN" w:bidi="ar-SA"/>
        </w:rPr>
        <w:t>第九条　</w:t>
      </w:r>
      <w:r>
        <w:rPr>
          <w:rFonts w:hint="eastAsia" w:ascii="仿宋_GB2312" w:hAnsi="仿宋_GB2312" w:eastAsia="仿宋_GB2312" w:cs="仿宋_GB2312"/>
          <w:sz w:val="32"/>
          <w:szCs w:val="32"/>
          <w:lang w:val="en-US" w:eastAsia="zh-CN"/>
        </w:rPr>
        <w:t>官渡区</w:t>
      </w:r>
      <w:r>
        <w:rPr>
          <w:rFonts w:hint="eastAsia" w:ascii="仿宋_GB2312" w:hAnsi="仿宋_GB2312" w:eastAsia="仿宋_GB2312" w:cs="仿宋_GB2312"/>
          <w:sz w:val="32"/>
          <w:szCs w:val="32"/>
        </w:rPr>
        <w:t>烟草专卖局每年年底向上一级烟草专卖局报告本年度烟草制品零售点</w:t>
      </w:r>
      <w:r>
        <w:rPr>
          <w:rFonts w:hint="eastAsia" w:ascii="仿宋_GB2312" w:hAnsi="仿宋_GB2312" w:eastAsia="仿宋_GB2312" w:cs="仿宋_GB2312"/>
          <w:sz w:val="32"/>
          <w:szCs w:val="32"/>
          <w:lang w:val="en-US" w:eastAsia="zh-CN"/>
        </w:rPr>
        <w:t>集中摇号</w:t>
      </w:r>
      <w:r>
        <w:rPr>
          <w:rFonts w:hint="eastAsia" w:ascii="仿宋_GB2312" w:hAnsi="仿宋_GB2312" w:eastAsia="仿宋_GB2312" w:cs="仿宋_GB2312"/>
          <w:sz w:val="32"/>
          <w:szCs w:val="32"/>
        </w:rPr>
        <w:t>管理工作情况。</w:t>
      </w:r>
    </w:p>
    <w:p>
      <w:pPr>
        <w:numPr>
          <w:ilvl w:val="2"/>
          <w:numId w:val="0"/>
        </w:numPr>
        <w:spacing w:line="360" w:lineRule="auto"/>
        <w:ind w:left="0" w:leftChars="0" w:firstLine="680" w:firstLineChars="0"/>
        <w:rPr>
          <w:rFonts w:ascii="黑体" w:hAnsi="黑体" w:eastAsia="黑体" w:cs="黑体"/>
          <w:sz w:val="32"/>
          <w:szCs w:val="32"/>
        </w:rPr>
      </w:pPr>
      <w:r>
        <w:rPr>
          <w:rFonts w:hint="eastAsia" w:ascii="黑体" w:hAnsi="黑体" w:eastAsia="黑体" w:cs="黑体"/>
          <w:color w:val="auto"/>
          <w:kern w:val="2"/>
          <w:sz w:val="32"/>
          <w:szCs w:val="32"/>
          <w:lang w:val="en-US" w:eastAsia="zh-CN" w:bidi="ar-SA"/>
        </w:rPr>
        <w:t>第十条　</w:t>
      </w:r>
      <w:r>
        <w:rPr>
          <w:rFonts w:hint="eastAsia" w:ascii="仿宋_GB2312" w:hAnsi="仿宋_GB2312" w:eastAsia="仿宋_GB2312" w:cs="仿宋_GB2312"/>
          <w:sz w:val="32"/>
          <w:szCs w:val="32"/>
        </w:rPr>
        <w:t>发证机关接收和办理</w:t>
      </w:r>
      <w:r>
        <w:rPr>
          <w:rFonts w:hint="eastAsia" w:ascii="仿宋_GB2312" w:hAnsi="仿宋_GB2312" w:eastAsia="仿宋_GB2312" w:cs="仿宋_GB2312"/>
          <w:sz w:val="32"/>
          <w:szCs w:val="32"/>
          <w:lang w:val="en-US" w:eastAsia="zh-CN"/>
        </w:rPr>
        <w:t>集中摇号</w:t>
      </w:r>
      <w:r>
        <w:rPr>
          <w:rFonts w:hint="eastAsia" w:ascii="仿宋_GB2312" w:hAnsi="仿宋_GB2312" w:eastAsia="仿宋_GB2312" w:cs="仿宋_GB2312"/>
          <w:sz w:val="32"/>
          <w:szCs w:val="32"/>
        </w:rPr>
        <w:t>业务，不得收取任何费用。</w:t>
      </w:r>
    </w:p>
    <w:p>
      <w:pPr>
        <w:numPr>
          <w:ilvl w:val="0"/>
          <w:numId w:val="0"/>
        </w:numPr>
        <w:spacing w:before="312" w:beforeLines="100" w:after="312" w:afterLines="100" w:line="360" w:lineRule="auto"/>
        <w:ind w:left="0" w:leftChars="0" w:firstLine="403" w:firstLineChars="0"/>
        <w:jc w:val="center"/>
        <w:rPr>
          <w:rFonts w:ascii="黑体" w:hAnsi="黑体" w:eastAsia="黑体" w:cs="黑体"/>
          <w:sz w:val="32"/>
          <w:szCs w:val="32"/>
        </w:rPr>
      </w:pPr>
      <w:r>
        <w:rPr>
          <w:rFonts w:hint="eastAsia" w:ascii="黑体" w:hAnsi="黑体" w:eastAsia="黑体" w:cs="黑体"/>
          <w:kern w:val="2"/>
          <w:sz w:val="32"/>
          <w:szCs w:val="32"/>
          <w:lang w:val="en-US" w:eastAsia="zh-CN" w:bidi="ar-SA"/>
        </w:rPr>
        <w:t xml:space="preserve">第四章 </w:t>
      </w:r>
      <w:r>
        <w:rPr>
          <w:rFonts w:hint="eastAsia" w:ascii="黑体" w:hAnsi="黑体" w:eastAsia="黑体" w:cs="黑体"/>
          <w:sz w:val="32"/>
          <w:szCs w:val="32"/>
        </w:rPr>
        <w:t>附则</w:t>
      </w:r>
    </w:p>
    <w:p>
      <w:pPr>
        <w:numPr>
          <w:ilvl w:val="2"/>
          <w:numId w:val="0"/>
        </w:numPr>
        <w:spacing w:line="360" w:lineRule="auto"/>
        <w:ind w:left="0" w:leftChars="0" w:firstLine="680" w:firstLineChars="0"/>
        <w:rPr>
          <w:rFonts w:ascii="仿宋_GB2312" w:hAnsi="仿宋_GB2312" w:eastAsia="仿宋_GB2312" w:cs="仿宋_GB2312"/>
          <w:sz w:val="32"/>
          <w:szCs w:val="32"/>
        </w:rPr>
      </w:pPr>
      <w:r>
        <w:rPr>
          <w:rFonts w:hint="eastAsia" w:ascii="仿宋_GB2312" w:hAnsi="仿宋_GB2312" w:eastAsia="黑体" w:cs="仿宋_GB2312"/>
          <w:color w:val="auto"/>
          <w:kern w:val="2"/>
          <w:sz w:val="32"/>
          <w:szCs w:val="32"/>
          <w:lang w:val="en-US" w:eastAsia="zh-CN" w:bidi="ar-SA"/>
        </w:rPr>
        <w:t>第十三条　</w:t>
      </w:r>
      <w:r>
        <w:rPr>
          <w:rFonts w:hint="eastAsia" w:ascii="仿宋_GB2312" w:hAnsi="仿宋_GB2312" w:eastAsia="仿宋_GB2312" w:cs="仿宋_GB2312"/>
          <w:sz w:val="32"/>
          <w:szCs w:val="32"/>
        </w:rPr>
        <w:t>本制度中按照年、月、日计算期间的，开始的当日不计入，自下一日开始计算。均以工作日计算，不含法定节假日。</w:t>
      </w:r>
    </w:p>
    <w:p>
      <w:pPr>
        <w:numPr>
          <w:ilvl w:val="2"/>
          <w:numId w:val="0"/>
        </w:numPr>
        <w:spacing w:line="360" w:lineRule="auto"/>
        <w:ind w:left="0" w:leftChars="0" w:firstLine="680" w:firstLineChars="0"/>
        <w:rPr>
          <w:rFonts w:hint="eastAsia" w:ascii="仿宋_GB2312" w:hAnsi="仿宋_GB2312" w:eastAsia="仿宋_GB2312" w:cs="仿宋_GB2312"/>
          <w:sz w:val="32"/>
          <w:szCs w:val="32"/>
        </w:rPr>
      </w:pPr>
      <w:r>
        <w:rPr>
          <w:rFonts w:hint="eastAsia" w:ascii="仿宋_GB2312" w:hAnsi="仿宋_GB2312" w:eastAsia="黑体" w:cs="仿宋_GB2312"/>
          <w:color w:val="auto"/>
          <w:kern w:val="2"/>
          <w:sz w:val="32"/>
          <w:szCs w:val="32"/>
          <w:lang w:val="en-US" w:eastAsia="zh-CN" w:bidi="ar-SA"/>
        </w:rPr>
        <w:t>第十四条　</w:t>
      </w:r>
      <w:r>
        <w:rPr>
          <w:rFonts w:hint="eastAsia" w:ascii="仿宋_GB2312" w:hAnsi="仿宋_GB2312" w:eastAsia="仿宋_GB2312" w:cs="仿宋_GB2312"/>
          <w:sz w:val="32"/>
          <w:szCs w:val="32"/>
        </w:rPr>
        <w:t>本制度由云南省</w:t>
      </w:r>
      <w:r>
        <w:rPr>
          <w:rFonts w:hint="eastAsia" w:ascii="仿宋_GB2312" w:hAnsi="仿宋_GB2312" w:eastAsia="仿宋_GB2312" w:cs="仿宋_GB2312"/>
          <w:sz w:val="32"/>
          <w:szCs w:val="32"/>
          <w:lang w:val="en-US" w:eastAsia="zh-CN"/>
        </w:rPr>
        <w:t>昆明市官渡区</w:t>
      </w:r>
      <w:r>
        <w:rPr>
          <w:rFonts w:hint="eastAsia" w:ascii="仿宋_GB2312" w:hAnsi="仿宋_GB2312" w:eastAsia="仿宋_GB2312" w:cs="仿宋_GB2312"/>
          <w:sz w:val="32"/>
          <w:szCs w:val="32"/>
        </w:rPr>
        <w:t>烟草专卖局负责解释。</w:t>
      </w:r>
    </w:p>
    <w:p>
      <w:pPr>
        <w:numPr>
          <w:ilvl w:val="2"/>
          <w:numId w:val="0"/>
        </w:numPr>
        <w:spacing w:line="360" w:lineRule="auto"/>
        <w:ind w:left="0" w:leftChars="0" w:firstLine="680" w:firstLineChars="0"/>
        <w:rPr>
          <w:rFonts w:hint="default" w:ascii="楷体" w:hAnsi="楷体" w:eastAsia="仿宋_GB2312" w:cs="楷体"/>
          <w:sz w:val="32"/>
          <w:szCs w:val="32"/>
          <w:lang w:val="en-US" w:eastAsia="zh-CN"/>
        </w:rPr>
      </w:pPr>
      <w:r>
        <w:rPr>
          <w:rFonts w:hint="eastAsia" w:ascii="楷体" w:hAnsi="楷体" w:eastAsia="黑体" w:cs="楷体"/>
          <w:color w:val="auto"/>
          <w:kern w:val="2"/>
          <w:sz w:val="32"/>
          <w:szCs w:val="32"/>
          <w:lang w:val="en-US" w:eastAsia="zh-CN" w:bidi="ar-SA"/>
        </w:rPr>
        <w:t>第十五条　</w:t>
      </w:r>
      <w:r>
        <w:rPr>
          <w:rFonts w:hint="eastAsia" w:ascii="仿宋_GB2312" w:hAnsi="仿宋_GB2312" w:eastAsia="仿宋_GB2312" w:cs="仿宋_GB2312"/>
          <w:sz w:val="32"/>
          <w:szCs w:val="32"/>
        </w:rPr>
        <w:t>本制度自《云南省</w:t>
      </w:r>
      <w:r>
        <w:rPr>
          <w:rFonts w:hint="eastAsia" w:ascii="仿宋_GB2312" w:hAnsi="仿宋_GB2312" w:eastAsia="仿宋_GB2312" w:cs="仿宋_GB2312"/>
          <w:sz w:val="32"/>
          <w:szCs w:val="32"/>
          <w:lang w:val="en-US" w:eastAsia="zh-CN"/>
        </w:rPr>
        <w:t>昆明市官渡区烟草专卖局</w:t>
      </w:r>
      <w:r>
        <w:rPr>
          <w:rFonts w:hint="eastAsia" w:ascii="仿宋_GB2312" w:hAnsi="仿宋_GB2312" w:eastAsia="仿宋_GB2312" w:cs="仿宋_GB2312"/>
          <w:sz w:val="32"/>
          <w:szCs w:val="32"/>
        </w:rPr>
        <w:t>烟草制品零售点合理布局规划》实施之日起同时施行。</w:t>
      </w:r>
      <w:r>
        <w:rPr>
          <w:rFonts w:hint="eastAsia" w:ascii="仿宋_GB2312" w:hAnsi="仿宋_GB2312" w:eastAsia="仿宋_GB2312" w:cs="仿宋_GB2312"/>
          <w:sz w:val="32"/>
          <w:szCs w:val="32"/>
          <w:lang w:val="en-US" w:eastAsia="zh-CN"/>
        </w:rPr>
        <w:t>在</w:t>
      </w:r>
      <w:r>
        <w:rPr>
          <w:rFonts w:hint="eastAsia" w:ascii="仿宋_GB2312" w:hAnsi="仿宋_GB2312" w:eastAsia="仿宋_GB2312" w:cs="仿宋_GB2312"/>
          <w:sz w:val="32"/>
          <w:szCs w:val="32"/>
          <w:lang w:eastAsia="zh-CN"/>
        </w:rPr>
        <w:t>《云南省昆明市官渡区烟草专卖局烟草制品零售点排队轮候制度》（</w:t>
      </w:r>
      <w:r>
        <w:rPr>
          <w:rFonts w:hint="eastAsia" w:ascii="仿宋_GB2312" w:hAnsi="仿宋_GB2312" w:eastAsia="仿宋_GB2312" w:cs="仿宋_GB2312"/>
          <w:sz w:val="32"/>
          <w:szCs w:val="32"/>
          <w:lang w:val="en-US" w:eastAsia="zh-CN"/>
        </w:rPr>
        <w:t>附件七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公示执行后，本制度自动废止。</w:t>
      </w:r>
    </w:p>
    <w:p>
      <w:pPr>
        <w:spacing w:line="360" w:lineRule="auto"/>
        <w:ind w:left="402" w:firstLine="640" w:firstLineChars="200"/>
        <w:rPr>
          <w:rFonts w:hint="eastAsia" w:ascii="黑体" w:hAnsi="黑体" w:eastAsia="仿宋_GB2312" w:cs="黑体"/>
          <w:sz w:val="32"/>
          <w:szCs w:val="32"/>
          <w:lang w:val="en-US" w:eastAsia="zh-CN"/>
        </w:rPr>
        <w:sectPr>
          <w:footerReference r:id="rId5" w:type="default"/>
          <w:pgSz w:w="11906" w:h="16838"/>
          <w:pgMar w:top="1440" w:right="1800" w:bottom="1440" w:left="1800" w:header="851" w:footer="992" w:gutter="0"/>
          <w:cols w:space="720" w:num="1"/>
          <w:docGrid w:type="lines" w:linePitch="312" w:charSpace="0"/>
        </w:sectPr>
      </w:pPr>
      <w:r>
        <w:rPr>
          <w:rFonts w:hint="eastAsia" w:ascii="仿宋_GB2312" w:hAnsi="仿宋_GB2312" w:eastAsia="仿宋_GB2312" w:cs="仿宋_GB2312"/>
          <w:sz w:val="32"/>
          <w:szCs w:val="32"/>
        </w:rPr>
        <w:t>附表：云南省</w:t>
      </w:r>
      <w:r>
        <w:rPr>
          <w:rFonts w:hint="eastAsia" w:ascii="仿宋_GB2312" w:hAnsi="仿宋_GB2312" w:eastAsia="仿宋_GB2312" w:cs="仿宋_GB2312"/>
          <w:sz w:val="32"/>
          <w:szCs w:val="32"/>
          <w:lang w:val="en-US" w:eastAsia="zh-CN"/>
        </w:rPr>
        <w:t>昆明市官渡区</w:t>
      </w:r>
      <w:r>
        <w:rPr>
          <w:rFonts w:hint="eastAsia" w:ascii="仿宋_GB2312" w:hAnsi="仿宋_GB2312" w:eastAsia="仿宋_GB2312" w:cs="仿宋_GB2312"/>
          <w:sz w:val="32"/>
          <w:szCs w:val="32"/>
        </w:rPr>
        <w:t>烟草专卖局烟草制品零售点</w:t>
      </w:r>
      <w:r>
        <w:rPr>
          <w:rFonts w:hint="eastAsia" w:ascii="仿宋_GB2312" w:hAnsi="仿宋_GB2312" w:eastAsia="仿宋_GB2312" w:cs="仿宋_GB2312"/>
          <w:sz w:val="32"/>
          <w:szCs w:val="32"/>
          <w:lang w:val="en-US" w:eastAsia="zh-CN"/>
        </w:rPr>
        <w:t>集中摇号</w:t>
      </w:r>
      <w:r>
        <w:rPr>
          <w:rFonts w:hint="eastAsia" w:ascii="仿宋_GB2312" w:hAnsi="仿宋_GB2312" w:eastAsia="仿宋_GB2312" w:cs="仿宋_GB2312"/>
          <w:sz w:val="32"/>
          <w:szCs w:val="32"/>
        </w:rPr>
        <w:t>申请</w:t>
      </w:r>
      <w:r>
        <w:rPr>
          <w:rFonts w:hint="eastAsia" w:ascii="仿宋_GB2312" w:hAnsi="仿宋_GB2312" w:eastAsia="仿宋_GB2312" w:cs="仿宋_GB2312"/>
          <w:sz w:val="32"/>
          <w:szCs w:val="32"/>
          <w:lang w:val="en-US" w:eastAsia="zh-CN"/>
        </w:rPr>
        <w:t>表</w:t>
      </w:r>
    </w:p>
    <w:p>
      <w:pPr>
        <w:spacing w:line="360" w:lineRule="auto"/>
        <w:rPr>
          <w:rFonts w:ascii="黑体" w:hAnsi="黑体" w:eastAsia="黑体" w:cs="黑体"/>
          <w:sz w:val="44"/>
          <w:szCs w:val="44"/>
        </w:rPr>
      </w:pPr>
      <w:r>
        <w:rPr>
          <w:rFonts w:hint="eastAsia" w:ascii="黑体" w:hAnsi="黑体" w:eastAsia="黑体" w:cs="黑体"/>
          <w:sz w:val="32"/>
          <w:szCs w:val="32"/>
        </w:rPr>
        <w:t>附表</w:t>
      </w:r>
    </w:p>
    <w:p>
      <w:pPr>
        <w:spacing w:line="360" w:lineRule="auto"/>
        <w:ind w:left="402"/>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云南省</w:t>
      </w:r>
      <w:r>
        <w:rPr>
          <w:rFonts w:hint="eastAsia" w:ascii="方正小标宋简体" w:hAnsi="方正小标宋简体" w:eastAsia="方正小标宋简体" w:cs="方正小标宋简体"/>
          <w:sz w:val="44"/>
          <w:szCs w:val="44"/>
          <w:lang w:val="en-US" w:eastAsia="zh-CN"/>
        </w:rPr>
        <w:t>昆明市官渡区烟草专卖局</w:t>
      </w:r>
      <w:r>
        <w:rPr>
          <w:rFonts w:hint="eastAsia" w:ascii="方正小标宋简体" w:hAnsi="方正小标宋简体" w:eastAsia="方正小标宋简体" w:cs="方正小标宋简体"/>
          <w:sz w:val="44"/>
          <w:szCs w:val="44"/>
        </w:rPr>
        <w:t>烟草制品零售点</w:t>
      </w:r>
      <w:r>
        <w:rPr>
          <w:rFonts w:hint="eastAsia" w:ascii="方正小标宋简体" w:hAnsi="方正小标宋简体" w:eastAsia="方正小标宋简体" w:cs="方正小标宋简体"/>
          <w:sz w:val="44"/>
          <w:szCs w:val="44"/>
          <w:lang w:val="en-US" w:eastAsia="zh-CN"/>
        </w:rPr>
        <w:t>集中摇号</w:t>
      </w:r>
      <w:r>
        <w:rPr>
          <w:rFonts w:hint="eastAsia" w:ascii="方正小标宋简体" w:hAnsi="方正小标宋简体" w:eastAsia="方正小标宋简体" w:cs="方正小标宋简体"/>
          <w:sz w:val="44"/>
          <w:szCs w:val="44"/>
        </w:rPr>
        <w:t>申请表</w:t>
      </w:r>
    </w:p>
    <w:tbl>
      <w:tblPr>
        <w:tblStyle w:val="17"/>
        <w:tblW w:w="0" w:type="auto"/>
        <w:tblInd w:w="96" w:type="dxa"/>
        <w:tblLayout w:type="fixed"/>
        <w:tblCellMar>
          <w:top w:w="0" w:type="dxa"/>
          <w:left w:w="108" w:type="dxa"/>
          <w:bottom w:w="0" w:type="dxa"/>
          <w:right w:w="108" w:type="dxa"/>
        </w:tblCellMar>
      </w:tblPr>
      <w:tblGrid>
        <w:gridCol w:w="2422"/>
        <w:gridCol w:w="2283"/>
        <w:gridCol w:w="1543"/>
        <w:gridCol w:w="2178"/>
      </w:tblGrid>
      <w:tr>
        <w:tblPrEx>
          <w:tblCellMar>
            <w:top w:w="0" w:type="dxa"/>
            <w:left w:w="108" w:type="dxa"/>
            <w:bottom w:w="0" w:type="dxa"/>
            <w:right w:w="108" w:type="dxa"/>
          </w:tblCellMar>
        </w:tblPrEx>
        <w:trPr>
          <w:trHeight w:val="420"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sz w:val="24"/>
              </w:rPr>
            </w:pPr>
            <w:r>
              <w:rPr>
                <w:rFonts w:hint="eastAsia" w:ascii="宋体" w:hAnsi="宋体" w:cs="宋体"/>
                <w:b/>
                <w:bCs/>
                <w:kern w:val="0"/>
                <w:sz w:val="24"/>
                <w:lang w:bidi="ar"/>
              </w:rPr>
              <w:t>申请人基本信息</w:t>
            </w:r>
          </w:p>
        </w:tc>
      </w:tr>
      <w:tr>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z w:val="24"/>
              </w:rPr>
            </w:pPr>
            <w:r>
              <w:rPr>
                <w:rFonts w:hint="eastAsia" w:ascii="宋体" w:hAnsi="宋体" w:cs="宋体"/>
                <w:kern w:val="0"/>
                <w:sz w:val="24"/>
                <w:lang w:bidi="ar"/>
              </w:rPr>
              <w:t>申请人姓名</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z w:val="24"/>
              </w:rPr>
            </w:pPr>
            <w:r>
              <w:rPr>
                <w:rFonts w:hint="eastAsia" w:ascii="宋体" w:hAnsi="宋体" w:cs="宋体"/>
                <w:kern w:val="0"/>
                <w:sz w:val="24"/>
                <w:lang w:bidi="ar"/>
              </w:rPr>
              <w:t>申请日期</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宋体" w:hAnsi="宋体" w:cs="宋体"/>
                <w:sz w:val="24"/>
              </w:rPr>
            </w:pPr>
          </w:p>
        </w:tc>
      </w:tr>
      <w:tr>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z w:val="24"/>
              </w:rPr>
            </w:pPr>
            <w:r>
              <w:rPr>
                <w:rFonts w:hint="eastAsia" w:ascii="宋体" w:hAnsi="宋体" w:cs="宋体"/>
                <w:kern w:val="0"/>
                <w:sz w:val="24"/>
                <w:lang w:bidi="ar"/>
              </w:rPr>
              <w:t>身份证号码</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z w:val="24"/>
              </w:rPr>
            </w:pPr>
            <w:r>
              <w:rPr>
                <w:rFonts w:hint="eastAsia" w:ascii="宋体" w:hAnsi="宋体" w:cs="宋体"/>
                <w:kern w:val="0"/>
                <w:sz w:val="24"/>
                <w:lang w:bidi="ar"/>
              </w:rPr>
              <w:t>联系电话</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宋体" w:hAnsi="宋体" w:cs="宋体"/>
                <w:sz w:val="24"/>
              </w:rPr>
            </w:pPr>
          </w:p>
        </w:tc>
      </w:tr>
      <w:tr>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sz w:val="24"/>
                <w:lang w:eastAsia="zh-CN"/>
              </w:rPr>
            </w:pPr>
            <w:r>
              <w:rPr>
                <w:rFonts w:hint="eastAsia" w:ascii="宋体" w:hAnsi="宋体" w:cs="宋体"/>
                <w:kern w:val="0"/>
                <w:sz w:val="24"/>
                <w:lang w:bidi="ar"/>
              </w:rPr>
              <w:t>归属</w:t>
            </w:r>
            <w:r>
              <w:rPr>
                <w:rFonts w:hint="eastAsia" w:ascii="宋体" w:hAnsi="宋体" w:cs="宋体"/>
                <w:kern w:val="0"/>
                <w:sz w:val="24"/>
                <w:lang w:val="en-US" w:eastAsia="zh-CN" w:bidi="ar"/>
              </w:rPr>
              <w:t>网格</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宋体" w:hAnsi="宋体" w:cs="宋体"/>
                <w:sz w:val="24"/>
              </w:rPr>
            </w:pPr>
          </w:p>
        </w:tc>
      </w:tr>
      <w:tr>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z w:val="24"/>
              </w:rPr>
            </w:pPr>
            <w:r>
              <w:rPr>
                <w:rFonts w:hint="eastAsia" w:ascii="宋体" w:hAnsi="宋体" w:cs="宋体"/>
                <w:kern w:val="0"/>
                <w:sz w:val="24"/>
                <w:lang w:bidi="ar"/>
              </w:rPr>
              <w:t>经营场所详细地址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宋体" w:hAnsi="宋体" w:cs="宋体"/>
                <w:sz w:val="24"/>
              </w:rPr>
            </w:pPr>
          </w:p>
        </w:tc>
      </w:tr>
      <w:tr>
        <w:tblPrEx>
          <w:tblCellMar>
            <w:top w:w="0" w:type="dxa"/>
            <w:left w:w="108" w:type="dxa"/>
            <w:bottom w:w="0" w:type="dxa"/>
            <w:right w:w="108" w:type="dxa"/>
          </w:tblCellMar>
        </w:tblPrEx>
        <w:trPr>
          <w:trHeight w:val="495"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sz w:val="24"/>
              </w:rPr>
            </w:pPr>
            <w:r>
              <w:rPr>
                <w:rFonts w:hint="eastAsia" w:ascii="宋体" w:hAnsi="宋体" w:cs="宋体"/>
                <w:b/>
                <w:bCs/>
                <w:kern w:val="0"/>
                <w:sz w:val="24"/>
                <w:lang w:bidi="ar"/>
              </w:rPr>
              <w:t>营业执照基本信息</w:t>
            </w:r>
          </w:p>
        </w:tc>
      </w:tr>
      <w:tr>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z w:val="24"/>
              </w:rPr>
            </w:pPr>
            <w:r>
              <w:rPr>
                <w:rFonts w:hint="eastAsia" w:ascii="宋体" w:hAnsi="宋体" w:cs="宋体"/>
                <w:kern w:val="0"/>
                <w:sz w:val="24"/>
                <w:lang w:bidi="ar"/>
              </w:rPr>
              <w:t>统一社会信用代码</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宋体" w:hAnsi="宋体" w:cs="宋体"/>
                <w:sz w:val="24"/>
              </w:rPr>
            </w:pPr>
          </w:p>
        </w:tc>
      </w:tr>
      <w:tr>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z w:val="24"/>
              </w:rPr>
            </w:pPr>
            <w:r>
              <w:rPr>
                <w:rFonts w:hint="eastAsia" w:ascii="宋体" w:hAnsi="宋体" w:cs="宋体"/>
                <w:kern w:val="0"/>
                <w:sz w:val="24"/>
                <w:lang w:bidi="ar"/>
              </w:rPr>
              <w:t>企业名称</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宋体" w:hAnsi="宋体" w:cs="宋体"/>
                <w:sz w:val="24"/>
              </w:rPr>
            </w:pPr>
          </w:p>
        </w:tc>
      </w:tr>
      <w:tr>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z w:val="24"/>
              </w:rPr>
            </w:pPr>
            <w:r>
              <w:rPr>
                <w:rFonts w:hint="eastAsia" w:ascii="宋体" w:hAnsi="宋体" w:cs="宋体"/>
                <w:kern w:val="0"/>
                <w:sz w:val="24"/>
                <w:lang w:bidi="ar"/>
              </w:rPr>
              <w:t>企业类型</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宋体" w:hAnsi="宋体" w:cs="宋体"/>
                <w:sz w:val="24"/>
              </w:rPr>
            </w:pPr>
          </w:p>
        </w:tc>
      </w:tr>
      <w:tr>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z w:val="24"/>
              </w:rPr>
            </w:pPr>
            <w:r>
              <w:rPr>
                <w:rFonts w:hint="eastAsia" w:ascii="宋体" w:hAnsi="宋体" w:cs="宋体"/>
                <w:kern w:val="0"/>
                <w:sz w:val="24"/>
                <w:lang w:bidi="ar"/>
              </w:rPr>
              <w:t>经营地址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宋体" w:hAnsi="宋体" w:cs="宋体"/>
                <w:sz w:val="24"/>
              </w:rPr>
            </w:pPr>
          </w:p>
        </w:tc>
      </w:tr>
      <w:tr>
        <w:tblPrEx>
          <w:tblCellMar>
            <w:top w:w="0" w:type="dxa"/>
            <w:left w:w="108" w:type="dxa"/>
            <w:bottom w:w="0" w:type="dxa"/>
            <w:right w:w="108" w:type="dxa"/>
          </w:tblCellMar>
        </w:tblPrEx>
        <w:trPr>
          <w:trHeight w:val="2400"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Style w:val="39"/>
                <w:rFonts w:hint="default"/>
                <w:color w:val="auto"/>
                <w:lang w:bidi="ar"/>
              </w:rPr>
            </w:pPr>
            <w:r>
              <w:rPr>
                <w:rStyle w:val="39"/>
                <w:rFonts w:hint="default"/>
                <w:color w:val="auto"/>
                <w:lang w:bidi="ar"/>
              </w:rPr>
              <w:t>申请人承诺：</w:t>
            </w:r>
          </w:p>
          <w:p>
            <w:pPr>
              <w:keepNext w:val="0"/>
              <w:keepLines w:val="0"/>
              <w:widowControl/>
              <w:suppressLineNumbers w:val="0"/>
              <w:spacing w:before="0" w:beforeAutospacing="0" w:after="0" w:afterAutospacing="0"/>
              <w:ind w:left="0" w:right="0" w:firstLine="480" w:firstLineChars="200"/>
              <w:jc w:val="left"/>
              <w:textAlignment w:val="center"/>
              <w:rPr>
                <w:rStyle w:val="39"/>
                <w:rFonts w:hint="default"/>
                <w:b w:val="0"/>
                <w:bCs w:val="0"/>
                <w:color w:val="auto"/>
                <w:lang w:bidi="ar"/>
              </w:rPr>
            </w:pPr>
            <w:r>
              <w:rPr>
                <w:rStyle w:val="39"/>
                <w:rFonts w:hint="default"/>
                <w:b w:val="0"/>
                <w:bCs w:val="0"/>
                <w:color w:val="auto"/>
                <w:lang w:bidi="ar"/>
              </w:rPr>
              <w:t>1.以上信息经申请人核对，确认无误。申请人所提交的信息以及文件、证件、有关材料全部真实有效，复印件与原件一致。如申请人在申请过程中存在弄虚作假、欺骗等行为的，申请人愿意承担由此引起的一切法律责任；</w:t>
            </w:r>
          </w:p>
          <w:p>
            <w:pPr>
              <w:keepNext w:val="0"/>
              <w:keepLines w:val="0"/>
              <w:widowControl/>
              <w:suppressLineNumbers w:val="0"/>
              <w:spacing w:before="0" w:beforeAutospacing="0" w:after="0" w:afterAutospacing="0"/>
              <w:ind w:left="0" w:right="0" w:firstLine="480" w:firstLineChars="200"/>
              <w:jc w:val="left"/>
              <w:textAlignment w:val="center"/>
              <w:rPr>
                <w:rStyle w:val="39"/>
                <w:rFonts w:hint="default"/>
                <w:b w:val="0"/>
                <w:bCs w:val="0"/>
                <w:color w:val="auto"/>
                <w:lang w:bidi="ar"/>
              </w:rPr>
            </w:pPr>
            <w:r>
              <w:rPr>
                <w:rStyle w:val="39"/>
                <w:rFonts w:hint="default"/>
                <w:b w:val="0"/>
                <w:bCs w:val="0"/>
                <w:color w:val="auto"/>
                <w:lang w:bidi="ar"/>
              </w:rPr>
              <w:t>2.申请人所提交的信息确保与到号办理时提交的办证信息一致，若不一致的，</w:t>
            </w:r>
            <w:r>
              <w:rPr>
                <w:rStyle w:val="39"/>
                <w:rFonts w:hint="eastAsia" w:eastAsia="宋体"/>
                <w:b w:val="0"/>
                <w:bCs w:val="0"/>
                <w:color w:val="auto"/>
                <w:lang w:val="en-US" w:eastAsia="zh-CN" w:bidi="ar"/>
              </w:rPr>
              <w:t>取消集中摇号结果</w:t>
            </w:r>
            <w:r>
              <w:rPr>
                <w:rStyle w:val="39"/>
                <w:rFonts w:hint="default"/>
                <w:b w:val="0"/>
                <w:bCs w:val="0"/>
                <w:color w:val="auto"/>
                <w:lang w:bidi="ar"/>
              </w:rPr>
              <w:t>；</w:t>
            </w:r>
          </w:p>
          <w:p>
            <w:pPr>
              <w:keepNext w:val="0"/>
              <w:keepLines w:val="0"/>
              <w:widowControl/>
              <w:suppressLineNumbers w:val="0"/>
              <w:spacing w:before="0" w:beforeAutospacing="0" w:after="0" w:afterAutospacing="0"/>
              <w:ind w:left="0" w:right="0" w:firstLine="480" w:firstLineChars="200"/>
              <w:jc w:val="left"/>
              <w:textAlignment w:val="center"/>
              <w:rPr>
                <w:rStyle w:val="39"/>
                <w:rFonts w:hint="default"/>
                <w:b w:val="0"/>
                <w:bCs w:val="0"/>
                <w:color w:val="auto"/>
                <w:lang w:bidi="ar"/>
              </w:rPr>
            </w:pPr>
            <w:r>
              <w:rPr>
                <w:rStyle w:val="39"/>
                <w:rFonts w:hint="default"/>
                <w:b w:val="0"/>
                <w:bCs w:val="0"/>
                <w:color w:val="auto"/>
                <w:lang w:bidi="ar"/>
              </w:rPr>
              <w:t>3.申请人应当在</w:t>
            </w:r>
            <w:r>
              <w:rPr>
                <w:rStyle w:val="39"/>
                <w:rFonts w:hint="eastAsia" w:eastAsia="宋体"/>
                <w:b w:val="0"/>
                <w:bCs w:val="0"/>
                <w:color w:val="auto"/>
                <w:lang w:val="en-US" w:eastAsia="zh-CN" w:bidi="ar"/>
              </w:rPr>
              <w:t>接到预审核通过</w:t>
            </w:r>
            <w:r>
              <w:rPr>
                <w:rStyle w:val="39"/>
                <w:rFonts w:hint="default"/>
                <w:b w:val="0"/>
                <w:bCs w:val="0"/>
                <w:color w:val="auto"/>
                <w:lang w:bidi="ar"/>
              </w:rPr>
              <w:t>通知之日起三日内提交办证申请材料，逾期未提交的，视同申请人自愿放弃</w:t>
            </w:r>
            <w:r>
              <w:rPr>
                <w:rStyle w:val="39"/>
                <w:rFonts w:hint="eastAsia" w:eastAsia="宋体"/>
                <w:b w:val="0"/>
                <w:bCs w:val="0"/>
                <w:color w:val="auto"/>
                <w:lang w:val="en-US" w:eastAsia="zh-CN" w:bidi="ar"/>
              </w:rPr>
              <w:t>本次集中摇号</w:t>
            </w:r>
            <w:r>
              <w:rPr>
                <w:rStyle w:val="39"/>
                <w:rFonts w:hint="default"/>
                <w:b w:val="0"/>
                <w:bCs w:val="0"/>
                <w:color w:val="auto"/>
                <w:lang w:bidi="ar"/>
              </w:rPr>
              <w:t>；因申请人填报地址、联系方式等不正确，导致发证机关在三个工作日内无法与申请人取得联系的，视同申请人自愿放弃本次</w:t>
            </w:r>
            <w:r>
              <w:rPr>
                <w:rStyle w:val="39"/>
                <w:rFonts w:hint="eastAsia" w:eastAsia="宋体"/>
                <w:b w:val="0"/>
                <w:bCs w:val="0"/>
                <w:color w:val="auto"/>
                <w:lang w:val="en-US" w:eastAsia="zh-CN" w:bidi="ar"/>
              </w:rPr>
              <w:t>集中摇号</w:t>
            </w:r>
            <w:r>
              <w:rPr>
                <w:rStyle w:val="39"/>
                <w:rFonts w:hint="default"/>
                <w:b w:val="0"/>
                <w:bCs w:val="0"/>
                <w:color w:val="auto"/>
                <w:lang w:bidi="ar"/>
              </w:rPr>
              <w:t>。</w:t>
            </w:r>
          </w:p>
          <w:p>
            <w:pPr>
              <w:keepNext w:val="0"/>
              <w:keepLines w:val="0"/>
              <w:widowControl/>
              <w:suppressLineNumbers w:val="0"/>
              <w:spacing w:before="0" w:beforeAutospacing="0" w:after="0" w:afterAutospacing="0"/>
              <w:ind w:left="0" w:right="0" w:firstLine="482" w:firstLineChars="200"/>
              <w:jc w:val="left"/>
              <w:textAlignment w:val="center"/>
              <w:rPr>
                <w:rFonts w:hint="default" w:ascii="宋体" w:hAnsi="宋体" w:cs="宋体"/>
                <w:b/>
                <w:bCs/>
                <w:sz w:val="24"/>
              </w:rPr>
            </w:pPr>
            <w:r>
              <w:rPr>
                <w:rStyle w:val="39"/>
                <w:rFonts w:hint="default"/>
                <w:color w:val="auto"/>
                <w:lang w:bidi="ar"/>
              </w:rPr>
              <w:t>申请人或代理人（签名或印章）：</w:t>
            </w:r>
            <w:r>
              <w:rPr>
                <w:rStyle w:val="40"/>
                <w:rFonts w:hint="default"/>
                <w:color w:val="auto"/>
                <w:lang w:bidi="ar"/>
              </w:rPr>
              <w:t xml:space="preserve">        </w:t>
            </w:r>
            <w:r>
              <w:rPr>
                <w:rStyle w:val="39"/>
                <w:rFonts w:hint="default"/>
                <w:color w:val="auto"/>
                <w:lang w:bidi="ar"/>
              </w:rPr>
              <w:t xml:space="preserve">                                                                         </w:t>
            </w:r>
          </w:p>
        </w:tc>
      </w:tr>
      <w:tr>
        <w:tblPrEx>
          <w:tblCellMar>
            <w:top w:w="0" w:type="dxa"/>
            <w:left w:w="108" w:type="dxa"/>
            <w:bottom w:w="0" w:type="dxa"/>
            <w:right w:w="108" w:type="dxa"/>
          </w:tblCellMar>
        </w:tblPrEx>
        <w:trPr>
          <w:trHeight w:val="1166"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sz w:val="24"/>
              </w:rPr>
            </w:pPr>
            <w:r>
              <w:rPr>
                <w:rFonts w:hint="eastAsia" w:ascii="宋体" w:hAnsi="宋体" w:cs="宋体"/>
                <w:b/>
                <w:bCs/>
                <w:kern w:val="0"/>
                <w:sz w:val="24"/>
                <w:lang w:val="en-US" w:eastAsia="zh-CN" w:bidi="ar"/>
              </w:rPr>
              <w:t>集中摇号结果</w:t>
            </w:r>
            <w:r>
              <w:rPr>
                <w:rFonts w:hint="eastAsia" w:ascii="宋体" w:hAnsi="宋体" w:cs="宋体"/>
                <w:b/>
                <w:bCs/>
                <w:kern w:val="0"/>
                <w:sz w:val="24"/>
                <w:lang w:bidi="ar"/>
              </w:rPr>
              <w:t>顺序号</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default" w:ascii="宋体" w:hAnsi="宋体" w:cs="宋体"/>
                <w:b/>
                <w:bCs/>
                <w:sz w:val="24"/>
              </w:rPr>
            </w:pPr>
          </w:p>
        </w:tc>
      </w:tr>
    </w:tbl>
    <w:p>
      <w:pPr>
        <w:spacing w:before="104" w:line="224" w:lineRule="auto"/>
        <w:rPr>
          <w:rFonts w:hint="eastAsia" w:ascii="黑体" w:hAnsi="黑体" w:eastAsia="黑体" w:cs="黑体"/>
          <w:spacing w:val="8"/>
          <w:sz w:val="32"/>
          <w:szCs w:val="32"/>
        </w:rPr>
      </w:pPr>
    </w:p>
    <w:p>
      <w:pPr>
        <w:spacing w:before="104" w:line="224" w:lineRule="auto"/>
        <w:rPr>
          <w:rFonts w:hint="eastAsia" w:ascii="黑体" w:hAnsi="黑体" w:eastAsia="黑体" w:cs="黑体"/>
          <w:spacing w:val="8"/>
          <w:sz w:val="32"/>
          <w:szCs w:val="32"/>
          <w:lang w:eastAsia="zh-CN"/>
        </w:rPr>
      </w:pPr>
      <w:r>
        <w:rPr>
          <w:rFonts w:hint="eastAsia" w:ascii="黑体" w:hAnsi="黑体" w:eastAsia="黑体" w:cs="黑体"/>
          <w:spacing w:val="8"/>
          <w:sz w:val="32"/>
          <w:szCs w:val="32"/>
        </w:rPr>
        <w:t>附件</w:t>
      </w:r>
      <w:r>
        <w:rPr>
          <w:rFonts w:hint="eastAsia" w:ascii="黑体" w:hAnsi="黑体" w:eastAsia="黑体" w:cs="黑体"/>
          <w:spacing w:val="8"/>
          <w:sz w:val="32"/>
          <w:szCs w:val="32"/>
          <w:lang w:val="en-US" w:eastAsia="zh-CN"/>
        </w:rPr>
        <w:t>7</w:t>
      </w:r>
    </w:p>
    <w:p>
      <w:pPr>
        <w:snapToGrid w:val="0"/>
        <w:spacing w:line="317" w:lineRule="auto"/>
        <w:jc w:val="center"/>
        <w:rPr>
          <w:rFonts w:hint="eastAsia" w:ascii="方正小标宋简体" w:hAnsi="Calibri" w:eastAsia="方正小标宋简体"/>
          <w:sz w:val="44"/>
          <w:szCs w:val="44"/>
        </w:rPr>
      </w:pPr>
      <w:r>
        <w:rPr>
          <w:rFonts w:hint="eastAsia" w:ascii="方正小标宋简体" w:hAnsi="Calibri" w:eastAsia="方正小标宋简体"/>
          <w:sz w:val="44"/>
          <w:szCs w:val="44"/>
        </w:rPr>
        <w:t>云南省</w:t>
      </w:r>
      <w:r>
        <w:rPr>
          <w:rFonts w:hint="eastAsia" w:ascii="方正小标宋简体" w:hAnsi="Calibri" w:eastAsia="方正小标宋简体"/>
          <w:sz w:val="44"/>
          <w:szCs w:val="44"/>
          <w:lang w:val="en-US" w:eastAsia="zh-CN"/>
        </w:rPr>
        <w:t>昆明市官渡区</w:t>
      </w:r>
      <w:r>
        <w:rPr>
          <w:rFonts w:hint="eastAsia" w:ascii="方正小标宋简体" w:hAnsi="Calibri" w:eastAsia="方正小标宋简体"/>
          <w:sz w:val="44"/>
          <w:szCs w:val="44"/>
        </w:rPr>
        <w:t>烟草专卖局烟草制品</w:t>
      </w:r>
    </w:p>
    <w:p>
      <w:pPr>
        <w:snapToGrid w:val="0"/>
        <w:spacing w:line="317" w:lineRule="auto"/>
        <w:jc w:val="center"/>
        <w:rPr>
          <w:rFonts w:ascii="仿宋_GB2312" w:hAnsi="仿宋_GB2312" w:eastAsia="仿宋_GB2312" w:cs="仿宋_GB2312"/>
          <w:sz w:val="32"/>
          <w:szCs w:val="32"/>
        </w:rPr>
      </w:pPr>
      <w:r>
        <w:rPr>
          <w:rFonts w:hint="eastAsia" w:ascii="方正小标宋简体" w:hAnsi="Calibri" w:eastAsia="方正小标宋简体"/>
          <w:sz w:val="44"/>
          <w:szCs w:val="44"/>
        </w:rPr>
        <w:t>零售点排队轮候制度</w:t>
      </w:r>
    </w:p>
    <w:p>
      <w:pPr>
        <w:numPr>
          <w:ilvl w:val="0"/>
          <w:numId w:val="0"/>
        </w:numPr>
        <w:spacing w:before="312" w:beforeLines="100" w:after="312" w:afterLines="100" w:line="360" w:lineRule="auto"/>
        <w:ind w:left="0" w:leftChars="0" w:firstLine="403" w:firstLineChars="0"/>
        <w:jc w:val="center"/>
        <w:rPr>
          <w:rFonts w:ascii="黑体" w:hAnsi="黑体" w:eastAsia="黑体" w:cs="黑体"/>
          <w:sz w:val="32"/>
          <w:szCs w:val="32"/>
        </w:rPr>
      </w:pPr>
      <w:r>
        <w:rPr>
          <w:rFonts w:hint="eastAsia" w:ascii="黑体" w:hAnsi="黑体" w:eastAsia="黑体" w:cs="黑体"/>
          <w:kern w:val="2"/>
          <w:sz w:val="32"/>
          <w:szCs w:val="32"/>
          <w:lang w:val="en-US" w:eastAsia="zh-CN" w:bidi="ar-SA"/>
        </w:rPr>
        <w:t xml:space="preserve">第一章 </w:t>
      </w:r>
      <w:r>
        <w:rPr>
          <w:rFonts w:hint="eastAsia" w:ascii="黑体" w:hAnsi="黑体" w:eastAsia="黑体" w:cs="黑体"/>
          <w:sz w:val="32"/>
          <w:szCs w:val="32"/>
        </w:rPr>
        <w:t>总则</w:t>
      </w:r>
    </w:p>
    <w:p>
      <w:pPr>
        <w:numPr>
          <w:ilvl w:val="2"/>
          <w:numId w:val="0"/>
        </w:numPr>
        <w:spacing w:line="360" w:lineRule="auto"/>
        <w:ind w:left="0" w:leftChars="0" w:firstLine="680" w:firstLineChars="0"/>
        <w:rPr>
          <w:rFonts w:ascii="仿宋_GB2312" w:hAnsi="仿宋_GB2312" w:eastAsia="仿宋_GB2312" w:cs="仿宋_GB2312"/>
          <w:sz w:val="32"/>
          <w:szCs w:val="32"/>
        </w:rPr>
      </w:pPr>
      <w:r>
        <w:rPr>
          <w:rFonts w:hint="eastAsia" w:ascii="仿宋_GB2312" w:hAnsi="仿宋_GB2312" w:eastAsia="黑体" w:cs="仿宋_GB2312"/>
          <w:color w:val="auto"/>
          <w:kern w:val="2"/>
          <w:sz w:val="32"/>
          <w:szCs w:val="32"/>
          <w:lang w:val="en-US" w:eastAsia="zh-CN" w:bidi="ar-SA"/>
        </w:rPr>
        <w:t>第一条　</w:t>
      </w:r>
      <w:r>
        <w:rPr>
          <w:rFonts w:hint="eastAsia" w:ascii="仿宋_GB2312" w:hAnsi="仿宋_GB2312" w:eastAsia="仿宋_GB2312" w:cs="仿宋_GB2312"/>
          <w:sz w:val="32"/>
          <w:szCs w:val="32"/>
        </w:rPr>
        <w:t>为坚持公平、公正、公开原则，规范实施《云南省</w:t>
      </w:r>
      <w:r>
        <w:rPr>
          <w:rFonts w:hint="eastAsia" w:ascii="仿宋_GB2312" w:hAnsi="仿宋_GB2312" w:eastAsia="仿宋_GB2312" w:cs="仿宋_GB2312"/>
          <w:sz w:val="32"/>
          <w:szCs w:val="32"/>
          <w:lang w:val="en-US" w:eastAsia="zh-CN"/>
        </w:rPr>
        <w:t>昆明市官渡区</w:t>
      </w:r>
      <w:r>
        <w:rPr>
          <w:rFonts w:hint="eastAsia" w:ascii="仿宋_GB2312" w:hAnsi="仿宋_GB2312" w:eastAsia="仿宋_GB2312" w:cs="仿宋_GB2312"/>
          <w:sz w:val="32"/>
          <w:szCs w:val="32"/>
        </w:rPr>
        <w:t>烟草制品零售点合理布局规划》，根据《中华人民共和国行政许可法》《烟草专卖许可证管理办法》《烟草专卖许可证管理办法实施细则》等法律法规和规章的规定，结合</w:t>
      </w:r>
      <w:r>
        <w:rPr>
          <w:rFonts w:hint="eastAsia" w:ascii="仿宋_GB2312" w:hAnsi="仿宋_GB2312" w:eastAsia="仿宋_GB2312" w:cs="仿宋_GB2312"/>
          <w:sz w:val="32"/>
          <w:szCs w:val="32"/>
          <w:lang w:val="en-US" w:eastAsia="zh-CN"/>
        </w:rPr>
        <w:t>官渡区</w:t>
      </w:r>
      <w:r>
        <w:rPr>
          <w:rFonts w:hint="eastAsia" w:ascii="仿宋_GB2312" w:hAnsi="仿宋_GB2312" w:eastAsia="仿宋_GB2312" w:cs="仿宋_GB2312"/>
          <w:sz w:val="32"/>
          <w:szCs w:val="32"/>
        </w:rPr>
        <w:t>实际，制定本制度。</w:t>
      </w:r>
    </w:p>
    <w:p>
      <w:pPr>
        <w:numPr>
          <w:ilvl w:val="2"/>
          <w:numId w:val="0"/>
        </w:numPr>
        <w:spacing w:line="360" w:lineRule="auto"/>
        <w:ind w:left="0" w:leftChars="0" w:firstLine="680" w:firstLineChars="0"/>
        <w:rPr>
          <w:rFonts w:ascii="仿宋_GB2312" w:hAnsi="仿宋_GB2312" w:eastAsia="仿宋_GB2312" w:cs="仿宋_GB2312"/>
          <w:sz w:val="32"/>
          <w:szCs w:val="32"/>
        </w:rPr>
      </w:pPr>
      <w:r>
        <w:rPr>
          <w:rFonts w:hint="eastAsia" w:ascii="仿宋_GB2312" w:hAnsi="仿宋_GB2312" w:eastAsia="黑体" w:cs="仿宋_GB2312"/>
          <w:color w:val="auto"/>
          <w:kern w:val="2"/>
          <w:sz w:val="32"/>
          <w:szCs w:val="32"/>
          <w:lang w:val="en-US" w:eastAsia="zh-CN" w:bidi="ar-SA"/>
        </w:rPr>
        <w:t>第二条　</w:t>
      </w:r>
      <w:r>
        <w:rPr>
          <w:rFonts w:hint="eastAsia" w:ascii="仿宋_GB2312" w:hAnsi="仿宋_GB2312" w:eastAsia="仿宋_GB2312" w:cs="仿宋_GB2312"/>
          <w:sz w:val="32"/>
          <w:szCs w:val="32"/>
        </w:rPr>
        <w:t>本制度适用于云南省</w:t>
      </w:r>
      <w:r>
        <w:rPr>
          <w:rFonts w:hint="eastAsia" w:ascii="仿宋_GB2312" w:hAnsi="仿宋_GB2312" w:eastAsia="仿宋_GB2312" w:cs="仿宋_GB2312"/>
          <w:sz w:val="32"/>
          <w:szCs w:val="32"/>
          <w:lang w:val="en-US" w:eastAsia="zh-CN"/>
        </w:rPr>
        <w:t>昆明市官渡区烟草专卖局</w:t>
      </w:r>
      <w:r>
        <w:rPr>
          <w:rFonts w:hint="eastAsia" w:ascii="仿宋_GB2312" w:hAnsi="仿宋_GB2312" w:eastAsia="仿宋_GB2312" w:cs="仿宋_GB2312"/>
          <w:sz w:val="32"/>
          <w:szCs w:val="32"/>
        </w:rPr>
        <w:t>行政辖区烟草制品零售点新办申请排队轮候预登记。</w:t>
      </w:r>
    </w:p>
    <w:p>
      <w:pPr>
        <w:numPr>
          <w:ilvl w:val="2"/>
          <w:numId w:val="0"/>
        </w:numPr>
        <w:spacing w:line="360" w:lineRule="auto"/>
        <w:ind w:left="0" w:leftChars="0" w:firstLine="680" w:firstLineChars="0"/>
        <w:rPr>
          <w:rFonts w:ascii="仿宋_GB2312" w:hAnsi="仿宋_GB2312" w:eastAsia="仿宋_GB2312" w:cs="仿宋_GB2312"/>
          <w:sz w:val="32"/>
          <w:szCs w:val="32"/>
          <w:highlight w:val="none"/>
        </w:rPr>
      </w:pPr>
      <w:r>
        <w:rPr>
          <w:rFonts w:hint="eastAsia" w:ascii="仿宋_GB2312" w:hAnsi="仿宋_GB2312" w:eastAsia="黑体" w:cs="仿宋_GB2312"/>
          <w:color w:val="auto"/>
          <w:kern w:val="2"/>
          <w:sz w:val="32"/>
          <w:szCs w:val="32"/>
          <w:lang w:val="en-US" w:eastAsia="zh-CN" w:bidi="ar-SA"/>
        </w:rPr>
        <w:t>第三条　</w:t>
      </w:r>
      <w:r>
        <w:rPr>
          <w:rFonts w:hint="eastAsia" w:ascii="仿宋_GB2312" w:hAnsi="仿宋_GB2312" w:eastAsia="仿宋_GB2312" w:cs="仿宋_GB2312"/>
          <w:kern w:val="28"/>
          <w:sz w:val="32"/>
          <w:szCs w:val="32"/>
          <w:highlight w:val="none"/>
        </w:rPr>
        <w:t>本</w:t>
      </w:r>
      <w:r>
        <w:rPr>
          <w:rFonts w:hint="eastAsia" w:ascii="仿宋_GB2312" w:hAnsi="仿宋_GB2312" w:eastAsia="仿宋_GB2312" w:cs="仿宋_GB2312"/>
          <w:sz w:val="32"/>
          <w:szCs w:val="32"/>
          <w:highlight w:val="none"/>
        </w:rPr>
        <w:t>辖区</w:t>
      </w:r>
      <w:r>
        <w:rPr>
          <w:rFonts w:hint="eastAsia" w:ascii="仿宋_GB2312" w:hAnsi="仿宋_GB2312" w:eastAsia="仿宋_GB2312" w:cs="仿宋_GB2312"/>
          <w:kern w:val="28"/>
          <w:sz w:val="32"/>
          <w:szCs w:val="32"/>
          <w:highlight w:val="none"/>
        </w:rPr>
        <w:t>最小单元网格内的零售点实际数量大于或等于</w:t>
      </w:r>
      <w:r>
        <w:rPr>
          <w:rFonts w:hint="eastAsia" w:ascii="仿宋_GB2312" w:hAnsi="仿宋_GB2312" w:eastAsia="仿宋_GB2312" w:cs="仿宋_GB2312"/>
          <w:sz w:val="32"/>
          <w:szCs w:val="32"/>
          <w:highlight w:val="none"/>
        </w:rPr>
        <w:t>合理容量</w:t>
      </w:r>
      <w:r>
        <w:rPr>
          <w:rFonts w:hint="eastAsia" w:ascii="仿宋_GB2312" w:hAnsi="仿宋_GB2312" w:eastAsia="仿宋_GB2312" w:cs="仿宋_GB2312"/>
          <w:kern w:val="28"/>
          <w:sz w:val="32"/>
          <w:szCs w:val="32"/>
          <w:highlight w:val="none"/>
        </w:rPr>
        <w:t>时不再设新的零售点。新办申请人应按本制度首先提出排队轮候申请，直至该最小单元网格内的零售点实际数量小于</w:t>
      </w:r>
      <w:r>
        <w:rPr>
          <w:rFonts w:hint="eastAsia" w:ascii="仿宋_GB2312" w:hAnsi="仿宋_GB2312" w:eastAsia="仿宋_GB2312" w:cs="仿宋_GB2312"/>
          <w:sz w:val="32"/>
          <w:szCs w:val="32"/>
          <w:highlight w:val="none"/>
        </w:rPr>
        <w:t>合理容量时，再按照排队轮候的顺序依次提交新办申请。</w:t>
      </w:r>
    </w:p>
    <w:p>
      <w:pPr>
        <w:numPr>
          <w:ilvl w:val="0"/>
          <w:numId w:val="0"/>
        </w:numPr>
        <w:spacing w:before="312" w:beforeLines="100" w:after="312" w:afterLines="100" w:line="360" w:lineRule="auto"/>
        <w:ind w:left="0" w:leftChars="0" w:firstLine="403" w:firstLineChars="0"/>
        <w:jc w:val="center"/>
        <w:rPr>
          <w:rFonts w:ascii="黑体" w:hAnsi="黑体" w:eastAsia="黑体" w:cs="黑体"/>
          <w:sz w:val="32"/>
          <w:szCs w:val="32"/>
        </w:rPr>
      </w:pPr>
      <w:r>
        <w:rPr>
          <w:rFonts w:hint="eastAsia" w:ascii="黑体" w:hAnsi="黑体" w:eastAsia="黑体" w:cs="黑体"/>
          <w:kern w:val="2"/>
          <w:sz w:val="32"/>
          <w:szCs w:val="32"/>
          <w:lang w:val="en-US" w:eastAsia="zh-CN" w:bidi="ar-SA"/>
        </w:rPr>
        <w:t xml:space="preserve">第二章 </w:t>
      </w:r>
      <w:r>
        <w:rPr>
          <w:rFonts w:hint="eastAsia" w:ascii="黑体" w:hAnsi="黑体" w:eastAsia="黑体" w:cs="黑体"/>
          <w:sz w:val="32"/>
          <w:szCs w:val="32"/>
        </w:rPr>
        <w:t>程序及要求</w:t>
      </w:r>
    </w:p>
    <w:p>
      <w:pPr>
        <w:numPr>
          <w:ilvl w:val="2"/>
          <w:numId w:val="0"/>
        </w:numPr>
        <w:spacing w:line="360" w:lineRule="auto"/>
        <w:ind w:left="0" w:leftChars="0" w:firstLine="640" w:firstLineChars="200"/>
        <w:rPr>
          <w:rFonts w:ascii="楷体" w:hAnsi="楷体" w:eastAsia="楷体" w:cs="楷体"/>
          <w:sz w:val="32"/>
          <w:szCs w:val="32"/>
          <w:highlight w:val="none"/>
        </w:rPr>
      </w:pPr>
      <w:r>
        <w:rPr>
          <w:rFonts w:hint="eastAsia" w:ascii="楷体" w:hAnsi="楷体" w:eastAsia="黑体" w:cs="楷体"/>
          <w:color w:val="auto"/>
          <w:kern w:val="2"/>
          <w:sz w:val="32"/>
          <w:szCs w:val="32"/>
          <w:lang w:val="en-US" w:eastAsia="zh-CN" w:bidi="ar-SA"/>
        </w:rPr>
        <w:t>第四条　</w:t>
      </w:r>
      <w:r>
        <w:rPr>
          <w:rFonts w:hint="eastAsia" w:ascii="仿宋_GB2312" w:hAnsi="黑体" w:eastAsia="仿宋_GB2312"/>
          <w:sz w:val="32"/>
          <w:szCs w:val="32"/>
        </w:rPr>
        <w:t>在本制度首次施行时，根据</w:t>
      </w:r>
      <w:r>
        <w:rPr>
          <w:rFonts w:hint="eastAsia" w:ascii="仿宋_GB2312" w:hAnsi="仿宋_GB2312" w:eastAsia="仿宋_GB2312" w:cs="仿宋_GB2312"/>
          <w:kern w:val="28"/>
          <w:sz w:val="32"/>
          <w:szCs w:val="32"/>
        </w:rPr>
        <w:t>本</w:t>
      </w:r>
      <w:r>
        <w:rPr>
          <w:rFonts w:hint="eastAsia" w:ascii="仿宋_GB2312" w:hAnsi="仿宋_GB2312" w:eastAsia="仿宋_GB2312" w:cs="仿宋_GB2312"/>
          <w:sz w:val="32"/>
          <w:szCs w:val="32"/>
        </w:rPr>
        <w:t>辖区</w:t>
      </w:r>
      <w:r>
        <w:rPr>
          <w:rFonts w:hint="eastAsia" w:ascii="仿宋_GB2312" w:hAnsi="仿宋_GB2312" w:eastAsia="仿宋_GB2312" w:cs="仿宋_GB2312"/>
          <w:kern w:val="28"/>
          <w:sz w:val="32"/>
          <w:szCs w:val="32"/>
        </w:rPr>
        <w:t>最小单元网格的合理容量公示情况，对符合排队轮候情形的最小单元网格，发</w:t>
      </w:r>
      <w:r>
        <w:rPr>
          <w:rFonts w:hint="eastAsia" w:ascii="仿宋_GB2312" w:hAnsi="仿宋_GB2312" w:eastAsia="仿宋_GB2312" w:cs="仿宋_GB2312"/>
          <w:kern w:val="28"/>
          <w:sz w:val="32"/>
          <w:szCs w:val="32"/>
          <w:highlight w:val="none"/>
        </w:rPr>
        <w:t>证机关采取集中抽签方式确定该最小单元网格首次排队轮候顺序。</w:t>
      </w:r>
    </w:p>
    <w:p>
      <w:pPr>
        <w:spacing w:line="360" w:lineRule="auto"/>
        <w:ind w:firstLine="640" w:firstLineChars="200"/>
        <w:rPr>
          <w:rFonts w:hint="default" w:ascii="楷体" w:hAnsi="楷体" w:eastAsia="仿宋_GB2312" w:cs="楷体"/>
          <w:sz w:val="32"/>
          <w:szCs w:val="32"/>
          <w:highlight w:val="none"/>
          <w:lang w:val="en-US" w:eastAsia="zh-CN"/>
        </w:rPr>
      </w:pPr>
      <w:r>
        <w:rPr>
          <w:rFonts w:hint="eastAsia" w:ascii="仿宋_GB2312" w:hAnsi="黑体" w:eastAsia="仿宋_GB2312"/>
          <w:sz w:val="32"/>
          <w:szCs w:val="32"/>
          <w:highlight w:val="none"/>
        </w:rPr>
        <w:t>在本制度首次施行前，已执行排队轮候的，按原排队轮候顺序由</w:t>
      </w:r>
      <w:r>
        <w:rPr>
          <w:rFonts w:hint="eastAsia" w:ascii="仿宋_GB2312" w:hAnsi="仿宋_GB2312" w:eastAsia="仿宋_GB2312" w:cs="仿宋_GB2312"/>
          <w:kern w:val="28"/>
          <w:sz w:val="32"/>
          <w:szCs w:val="32"/>
          <w:highlight w:val="none"/>
        </w:rPr>
        <w:t>发证机关录入排队轮候系统</w:t>
      </w:r>
      <w:r>
        <w:rPr>
          <w:rFonts w:hint="eastAsia" w:ascii="仿宋_GB2312" w:hAnsi="仿宋_GB2312" w:eastAsia="仿宋_GB2312" w:cs="仿宋_GB2312"/>
          <w:kern w:val="28"/>
          <w:sz w:val="32"/>
          <w:szCs w:val="32"/>
          <w:highlight w:val="none"/>
          <w:lang w:eastAsia="zh-CN"/>
        </w:rPr>
        <w:t>，</w:t>
      </w:r>
      <w:r>
        <w:rPr>
          <w:rFonts w:hint="eastAsia" w:ascii="仿宋_GB2312" w:hAnsi="仿宋_GB2312" w:eastAsia="仿宋_GB2312" w:cs="仿宋_GB2312"/>
          <w:kern w:val="28"/>
          <w:sz w:val="32"/>
          <w:szCs w:val="32"/>
          <w:highlight w:val="none"/>
          <w:lang w:val="en-US" w:eastAsia="zh-CN"/>
        </w:rPr>
        <w:t>无需再开展集中抽签。</w:t>
      </w:r>
    </w:p>
    <w:p>
      <w:pPr>
        <w:numPr>
          <w:ilvl w:val="2"/>
          <w:numId w:val="0"/>
        </w:numPr>
        <w:spacing w:line="360" w:lineRule="auto"/>
        <w:ind w:left="0" w:leftChars="0" w:firstLine="640" w:firstLineChars="200"/>
        <w:rPr>
          <w:rFonts w:ascii="楷体" w:hAnsi="楷体" w:eastAsia="楷体" w:cs="楷体"/>
          <w:sz w:val="32"/>
          <w:szCs w:val="32"/>
        </w:rPr>
      </w:pPr>
      <w:r>
        <w:rPr>
          <w:rFonts w:hint="eastAsia" w:ascii="楷体" w:hAnsi="楷体" w:eastAsia="黑体" w:cs="楷体"/>
          <w:color w:val="auto"/>
          <w:kern w:val="2"/>
          <w:sz w:val="32"/>
          <w:szCs w:val="32"/>
          <w:highlight w:val="none"/>
          <w:lang w:val="en-US" w:eastAsia="zh-CN" w:bidi="ar-SA"/>
        </w:rPr>
        <w:t>第五条　</w:t>
      </w:r>
      <w:r>
        <w:rPr>
          <w:rFonts w:hint="eastAsia" w:ascii="仿宋_GB2312" w:hAnsi="仿宋_GB2312" w:eastAsia="仿宋_GB2312" w:cs="仿宋_GB2312"/>
          <w:kern w:val="28"/>
          <w:sz w:val="32"/>
          <w:szCs w:val="32"/>
          <w:highlight w:val="none"/>
        </w:rPr>
        <w:t>集中抽签按照“提前申请—集中公证抽签—公示抽签结果”的程序进行。自本制度实施之日起</w:t>
      </w:r>
      <w:r>
        <w:rPr>
          <w:rFonts w:hint="eastAsia" w:ascii="仿宋_GB2312" w:hAnsi="仿宋_GB2312" w:eastAsia="仿宋_GB2312" w:cs="仿宋_GB2312"/>
          <w:kern w:val="28"/>
          <w:sz w:val="32"/>
          <w:szCs w:val="32"/>
          <w:highlight w:val="none"/>
          <w:lang w:val="en-US" w:eastAsia="zh-CN"/>
        </w:rPr>
        <w:t>五</w:t>
      </w:r>
      <w:r>
        <w:rPr>
          <w:rFonts w:hint="eastAsia" w:ascii="仿宋_GB2312" w:hAnsi="仿宋_GB2312" w:eastAsia="仿宋_GB2312" w:cs="仿宋_GB2312"/>
          <w:kern w:val="28"/>
          <w:sz w:val="32"/>
          <w:szCs w:val="32"/>
          <w:highlight w:val="none"/>
        </w:rPr>
        <w:t>个工作日内，对外发布参与集中抽签的报名地点、时间和方式；自本制度实施之日起</w:t>
      </w:r>
      <w:r>
        <w:rPr>
          <w:rFonts w:hint="eastAsia" w:ascii="仿宋_GB2312" w:hAnsi="仿宋_GB2312" w:eastAsia="仿宋_GB2312" w:cs="仿宋_GB2312"/>
          <w:kern w:val="28"/>
          <w:sz w:val="32"/>
          <w:szCs w:val="32"/>
          <w:highlight w:val="none"/>
          <w:lang w:val="en-US" w:eastAsia="zh-CN"/>
        </w:rPr>
        <w:t>十</w:t>
      </w:r>
      <w:r>
        <w:rPr>
          <w:rFonts w:hint="eastAsia" w:ascii="仿宋_GB2312" w:hAnsi="仿宋_GB2312" w:eastAsia="仿宋_GB2312" w:cs="仿宋_GB2312"/>
          <w:kern w:val="28"/>
          <w:sz w:val="32"/>
          <w:szCs w:val="32"/>
          <w:highlight w:val="none"/>
        </w:rPr>
        <w:t>个工作日内，对外发布集中公证抽</w:t>
      </w:r>
      <w:r>
        <w:rPr>
          <w:rFonts w:hint="eastAsia" w:ascii="仿宋_GB2312" w:hAnsi="仿宋_GB2312" w:eastAsia="仿宋_GB2312" w:cs="仿宋_GB2312"/>
          <w:kern w:val="28"/>
          <w:sz w:val="32"/>
          <w:szCs w:val="32"/>
        </w:rPr>
        <w:t>签的地点、时间和方案；自本制度实施之日起</w:t>
      </w:r>
      <w:r>
        <w:rPr>
          <w:rFonts w:hint="eastAsia" w:ascii="仿宋_GB2312" w:hAnsi="仿宋_GB2312" w:eastAsia="仿宋_GB2312" w:cs="仿宋_GB2312"/>
          <w:kern w:val="28"/>
          <w:sz w:val="32"/>
          <w:szCs w:val="32"/>
          <w:lang w:val="en-US" w:eastAsia="zh-CN"/>
        </w:rPr>
        <w:t>十五</w:t>
      </w:r>
      <w:r>
        <w:rPr>
          <w:rFonts w:hint="eastAsia" w:ascii="仿宋_GB2312" w:hAnsi="仿宋_GB2312" w:eastAsia="仿宋_GB2312" w:cs="仿宋_GB2312"/>
          <w:kern w:val="28"/>
          <w:sz w:val="32"/>
          <w:szCs w:val="32"/>
        </w:rPr>
        <w:t>个工作日内，完成集中公证抽签。</w:t>
      </w:r>
    </w:p>
    <w:p>
      <w:pPr>
        <w:spacing w:line="360" w:lineRule="auto"/>
        <w:ind w:firstLine="640" w:firstLineChars="200"/>
        <w:rPr>
          <w:rFonts w:ascii="楷体" w:hAnsi="楷体" w:eastAsia="楷体" w:cs="楷体"/>
          <w:sz w:val="32"/>
          <w:szCs w:val="32"/>
        </w:rPr>
      </w:pPr>
      <w:r>
        <w:rPr>
          <w:rFonts w:hint="eastAsia" w:ascii="仿宋_GB2312" w:hAnsi="仿宋_GB2312" w:eastAsia="仿宋_GB2312" w:cs="仿宋_GB2312"/>
          <w:kern w:val="28"/>
          <w:sz w:val="32"/>
          <w:szCs w:val="32"/>
        </w:rPr>
        <w:t>集中公证抽签现场按照对外发布方案确定最小单元网格首次排队轮候顺序，并在</w:t>
      </w:r>
      <w:r>
        <w:rPr>
          <w:rFonts w:hint="eastAsia" w:ascii="仿宋_GB2312" w:hAnsi="仿宋_GB2312" w:eastAsia="仿宋_GB2312" w:cs="仿宋_GB2312"/>
          <w:kern w:val="28"/>
          <w:sz w:val="32"/>
          <w:szCs w:val="32"/>
          <w:lang w:val="en-US" w:eastAsia="zh-CN"/>
        </w:rPr>
        <w:t>二</w:t>
      </w:r>
      <w:r>
        <w:rPr>
          <w:rFonts w:hint="eastAsia" w:ascii="仿宋_GB2312" w:hAnsi="仿宋_GB2312" w:eastAsia="仿宋_GB2312" w:cs="仿宋_GB2312"/>
          <w:kern w:val="28"/>
          <w:sz w:val="32"/>
          <w:szCs w:val="32"/>
        </w:rPr>
        <w:t>个工作日内公示。</w:t>
      </w:r>
    </w:p>
    <w:p>
      <w:pPr>
        <w:numPr>
          <w:ilvl w:val="2"/>
          <w:numId w:val="0"/>
        </w:numPr>
        <w:spacing w:line="360" w:lineRule="auto"/>
        <w:ind w:left="0" w:leftChars="0" w:firstLine="640" w:firstLineChars="200"/>
        <w:rPr>
          <w:rFonts w:ascii="楷体" w:hAnsi="楷体" w:eastAsia="楷体" w:cs="楷体"/>
          <w:sz w:val="32"/>
          <w:szCs w:val="32"/>
        </w:rPr>
      </w:pPr>
      <w:r>
        <w:rPr>
          <w:rFonts w:hint="eastAsia" w:ascii="楷体" w:hAnsi="楷体" w:eastAsia="黑体" w:cs="楷体"/>
          <w:color w:val="auto"/>
          <w:kern w:val="2"/>
          <w:sz w:val="32"/>
          <w:szCs w:val="32"/>
          <w:lang w:val="en-US" w:eastAsia="zh-CN" w:bidi="ar-SA"/>
        </w:rPr>
        <w:t>第六条　</w:t>
      </w:r>
      <w:r>
        <w:rPr>
          <w:rFonts w:hint="eastAsia" w:ascii="仿宋_GB2312" w:hAnsi="仿宋_GB2312" w:eastAsia="仿宋_GB2312" w:cs="仿宋_GB2312"/>
          <w:sz w:val="32"/>
          <w:szCs w:val="32"/>
        </w:rPr>
        <w:t>零售点排队轮候采取最小单元网格管理。自愿加入排队轮候的申请人，应线上填写并提交《云南省</w:t>
      </w:r>
      <w:r>
        <w:rPr>
          <w:rFonts w:hint="eastAsia" w:ascii="仿宋_GB2312" w:hAnsi="仿宋_GB2312" w:eastAsia="仿宋_GB2312" w:cs="仿宋_GB2312"/>
          <w:sz w:val="32"/>
          <w:szCs w:val="32"/>
          <w:lang w:val="en-US" w:eastAsia="zh-CN"/>
        </w:rPr>
        <w:t>昆明市官渡区</w:t>
      </w:r>
      <w:r>
        <w:rPr>
          <w:rFonts w:hint="eastAsia" w:ascii="仿宋_GB2312" w:hAnsi="仿宋_GB2312" w:eastAsia="仿宋_GB2312" w:cs="仿宋_GB2312"/>
          <w:sz w:val="32"/>
          <w:szCs w:val="32"/>
        </w:rPr>
        <w:t>烟草专卖局烟草制品零售点单元网格排队轮候申请表》（详见附表）。申请人在填报信息时应准确、真实。</w:t>
      </w:r>
    </w:p>
    <w:p>
      <w:pPr>
        <w:numPr>
          <w:ilvl w:val="2"/>
          <w:numId w:val="0"/>
        </w:numPr>
        <w:spacing w:line="360" w:lineRule="auto"/>
        <w:ind w:left="0" w:leftChars="0" w:firstLine="640" w:firstLineChars="200"/>
        <w:rPr>
          <w:rFonts w:hint="eastAsia" w:ascii="仿宋_GB2312" w:hAnsi="仿宋_GB2312" w:eastAsia="仿宋_GB2312" w:cs="仿宋_GB2312"/>
          <w:sz w:val="32"/>
          <w:szCs w:val="32"/>
        </w:rPr>
      </w:pPr>
      <w:r>
        <w:rPr>
          <w:rFonts w:hint="eastAsia" w:ascii="仿宋_GB2312" w:hAnsi="仿宋_GB2312" w:eastAsia="黑体" w:cs="仿宋_GB2312"/>
          <w:color w:val="auto"/>
          <w:kern w:val="2"/>
          <w:sz w:val="32"/>
          <w:szCs w:val="32"/>
          <w:lang w:val="en-US" w:eastAsia="zh-CN" w:bidi="ar-SA"/>
        </w:rPr>
        <w:t>第七条　</w:t>
      </w:r>
      <w:r>
        <w:rPr>
          <w:rFonts w:hint="eastAsia" w:ascii="仿宋_GB2312" w:hAnsi="仿宋_GB2312" w:eastAsia="仿宋_GB2312" w:cs="仿宋_GB2312"/>
          <w:sz w:val="32"/>
          <w:szCs w:val="32"/>
        </w:rPr>
        <w:t>系统根据申请人线上提交时间，自动生成排队轮候顺序，并由系统自动推送告知申请人单元网格内排队轮候顺序号。</w:t>
      </w:r>
    </w:p>
    <w:p>
      <w:pPr>
        <w:numPr>
          <w:ilvl w:val="2"/>
          <w:numId w:val="0"/>
        </w:numPr>
        <w:spacing w:line="360" w:lineRule="auto"/>
        <w:ind w:left="0" w:leftChars="0" w:firstLine="640" w:firstLineChars="200"/>
        <w:rPr>
          <w:rFonts w:ascii="仿宋_GB2312" w:hAnsi="仿宋_GB2312" w:eastAsia="仿宋_GB2312" w:cs="仿宋_GB2312"/>
          <w:sz w:val="32"/>
          <w:szCs w:val="32"/>
        </w:rPr>
      </w:pPr>
      <w:r>
        <w:rPr>
          <w:rFonts w:hint="eastAsia" w:ascii="仿宋_GB2312" w:hAnsi="仿宋_GB2312" w:eastAsia="黑体" w:cs="仿宋_GB2312"/>
          <w:color w:val="auto"/>
          <w:kern w:val="2"/>
          <w:sz w:val="32"/>
          <w:szCs w:val="32"/>
          <w:lang w:val="en-US" w:eastAsia="zh-CN" w:bidi="ar-SA"/>
        </w:rPr>
        <w:t>第八条　</w:t>
      </w:r>
      <w:r>
        <w:rPr>
          <w:rFonts w:hint="eastAsia" w:ascii="仿宋_GB2312" w:hAnsi="仿宋_GB2312" w:eastAsia="仿宋_GB2312" w:cs="仿宋_GB2312"/>
          <w:sz w:val="32"/>
          <w:szCs w:val="32"/>
        </w:rPr>
        <w:t>发证机关应公开排队轮候情况，并接受公众监督。申请人可通过线上、线下等方式查询排队轮候的排号情况。</w:t>
      </w:r>
    </w:p>
    <w:p>
      <w:pPr>
        <w:numPr>
          <w:ilvl w:val="2"/>
          <w:numId w:val="0"/>
        </w:numPr>
        <w:spacing w:line="360" w:lineRule="auto"/>
        <w:ind w:left="0" w:leftChars="0" w:firstLine="640" w:firstLineChars="200"/>
        <w:rPr>
          <w:rFonts w:ascii="仿宋_GB2312" w:hAnsi="仿宋_GB2312" w:eastAsia="仿宋_GB2312" w:cs="仿宋_GB2312"/>
          <w:sz w:val="32"/>
          <w:szCs w:val="32"/>
        </w:rPr>
      </w:pPr>
      <w:r>
        <w:rPr>
          <w:rFonts w:hint="eastAsia" w:ascii="仿宋_GB2312" w:hAnsi="仿宋_GB2312" w:eastAsia="黑体" w:cs="仿宋_GB2312"/>
          <w:color w:val="auto"/>
          <w:kern w:val="2"/>
          <w:sz w:val="32"/>
          <w:szCs w:val="32"/>
          <w:lang w:val="en-US" w:eastAsia="zh-CN" w:bidi="ar-SA"/>
        </w:rPr>
        <w:t>第九条　</w:t>
      </w:r>
      <w:r>
        <w:rPr>
          <w:rFonts w:hint="eastAsia" w:ascii="仿宋_GB2312" w:hAnsi="仿宋_GB2312" w:eastAsia="仿宋_GB2312" w:cs="仿宋_GB2312"/>
          <w:sz w:val="32"/>
          <w:szCs w:val="32"/>
        </w:rPr>
        <w:t>当单元网格内可新增零售点时，由发证机关按照顺序号和申请表约定的联系方式依次通知申请人</w:t>
      </w:r>
      <w:r>
        <w:rPr>
          <w:rFonts w:hint="eastAsia" w:ascii="仿宋_GB2312" w:hAnsi="仿宋_GB2312" w:eastAsia="仿宋_GB2312" w:cs="仿宋_GB2312"/>
          <w:sz w:val="32"/>
          <w:szCs w:val="32"/>
          <w:lang w:val="en-US" w:eastAsia="zh-CN"/>
        </w:rPr>
        <w:t>提交新办申请</w:t>
      </w:r>
      <w:r>
        <w:rPr>
          <w:rFonts w:hint="eastAsia" w:ascii="仿宋_GB2312" w:hAnsi="仿宋_GB2312" w:eastAsia="仿宋_GB2312" w:cs="仿宋_GB2312"/>
          <w:sz w:val="32"/>
          <w:szCs w:val="32"/>
        </w:rPr>
        <w:t>。</w:t>
      </w:r>
    </w:p>
    <w:p>
      <w:pPr>
        <w:numPr>
          <w:ilvl w:val="2"/>
          <w:numId w:val="0"/>
        </w:numPr>
        <w:spacing w:line="360" w:lineRule="auto"/>
        <w:ind w:left="0" w:leftChars="0" w:firstLine="640" w:firstLineChars="200"/>
        <w:rPr>
          <w:rFonts w:ascii="仿宋_GB2312" w:hAnsi="仿宋_GB2312" w:eastAsia="仿宋_GB2312" w:cs="仿宋_GB2312"/>
          <w:sz w:val="32"/>
          <w:szCs w:val="32"/>
        </w:rPr>
      </w:pPr>
      <w:r>
        <w:rPr>
          <w:rFonts w:hint="eastAsia" w:ascii="仿宋_GB2312" w:hAnsi="仿宋_GB2312" w:eastAsia="黑体" w:cs="仿宋_GB2312"/>
          <w:color w:val="auto"/>
          <w:kern w:val="2"/>
          <w:sz w:val="32"/>
          <w:szCs w:val="32"/>
          <w:lang w:val="en-US" w:eastAsia="zh-CN" w:bidi="ar-SA"/>
        </w:rPr>
        <w:t>第十条　</w:t>
      </w:r>
      <w:r>
        <w:rPr>
          <w:rFonts w:hint="eastAsia" w:ascii="仿宋_GB2312" w:hAnsi="仿宋_GB2312" w:eastAsia="仿宋_GB2312" w:cs="仿宋_GB2312"/>
          <w:sz w:val="32"/>
          <w:szCs w:val="32"/>
        </w:rPr>
        <w:t>到号办理时，申请人提交的办证申请信息应与排队轮候登记信息一致。信息不一致的，申请人需重新登记排队轮候。</w:t>
      </w:r>
    </w:p>
    <w:p>
      <w:pPr>
        <w:numPr>
          <w:ilvl w:val="0"/>
          <w:numId w:val="0"/>
        </w:numPr>
        <w:spacing w:before="312" w:beforeLines="100" w:after="312" w:afterLines="100" w:line="360" w:lineRule="auto"/>
        <w:ind w:left="0" w:leftChars="0" w:firstLine="403" w:firstLineChars="0"/>
        <w:jc w:val="center"/>
        <w:rPr>
          <w:rFonts w:ascii="黑体" w:hAnsi="黑体" w:eastAsia="黑体" w:cs="黑体"/>
          <w:sz w:val="32"/>
          <w:szCs w:val="32"/>
        </w:rPr>
      </w:pPr>
      <w:r>
        <w:rPr>
          <w:rFonts w:hint="eastAsia" w:ascii="黑体" w:hAnsi="黑体" w:eastAsia="黑体" w:cs="黑体"/>
          <w:kern w:val="2"/>
          <w:sz w:val="32"/>
          <w:szCs w:val="32"/>
          <w:lang w:val="en-US" w:eastAsia="zh-CN" w:bidi="ar-SA"/>
        </w:rPr>
        <w:t xml:space="preserve">第三章 </w:t>
      </w:r>
      <w:r>
        <w:rPr>
          <w:rFonts w:hint="eastAsia" w:ascii="黑体" w:hAnsi="黑体" w:eastAsia="黑体" w:cs="黑体"/>
          <w:sz w:val="32"/>
          <w:szCs w:val="32"/>
        </w:rPr>
        <w:t>监督检查</w:t>
      </w:r>
    </w:p>
    <w:p>
      <w:pPr>
        <w:numPr>
          <w:ilvl w:val="2"/>
          <w:numId w:val="0"/>
        </w:numPr>
        <w:spacing w:line="360" w:lineRule="auto"/>
        <w:ind w:left="0" w:leftChars="0" w:firstLine="680" w:firstLineChars="0"/>
        <w:rPr>
          <w:rFonts w:ascii="楷体" w:hAnsi="楷体" w:eastAsia="楷体" w:cs="楷体"/>
          <w:sz w:val="32"/>
          <w:szCs w:val="32"/>
        </w:rPr>
      </w:pPr>
      <w:r>
        <w:rPr>
          <w:rFonts w:hint="eastAsia" w:ascii="楷体" w:hAnsi="楷体" w:eastAsia="黑体" w:cs="楷体"/>
          <w:color w:val="auto"/>
          <w:kern w:val="2"/>
          <w:sz w:val="32"/>
          <w:szCs w:val="32"/>
          <w:lang w:val="en-US" w:eastAsia="zh-CN" w:bidi="ar-SA"/>
        </w:rPr>
        <w:t>第十一条　</w:t>
      </w:r>
      <w:r>
        <w:rPr>
          <w:rFonts w:hint="eastAsia" w:ascii="仿宋_GB2312" w:hAnsi="仿宋_GB2312" w:eastAsia="仿宋_GB2312" w:cs="仿宋_GB2312"/>
          <w:sz w:val="32"/>
          <w:szCs w:val="32"/>
        </w:rPr>
        <w:t>上级烟草专卖局应当加强对下级烟草专卖局排队轮候管理工作的监督检查，完善排队轮候管理工作督查机制，防范违法违规行为的发生。</w:t>
      </w:r>
    </w:p>
    <w:p>
      <w:pPr>
        <w:numPr>
          <w:ilvl w:val="2"/>
          <w:numId w:val="0"/>
        </w:numPr>
        <w:spacing w:line="360" w:lineRule="auto"/>
        <w:ind w:left="0" w:leftChars="0" w:firstLine="680" w:firstLineChars="0"/>
        <w:rPr>
          <w:rFonts w:ascii="黑体" w:hAnsi="黑体" w:eastAsia="黑体" w:cs="黑体"/>
          <w:sz w:val="32"/>
          <w:szCs w:val="32"/>
        </w:rPr>
      </w:pPr>
      <w:r>
        <w:rPr>
          <w:rFonts w:hint="eastAsia" w:ascii="黑体" w:hAnsi="黑体" w:eastAsia="黑体" w:cs="黑体"/>
          <w:color w:val="auto"/>
          <w:kern w:val="2"/>
          <w:sz w:val="32"/>
          <w:szCs w:val="32"/>
          <w:lang w:val="en-US" w:eastAsia="zh-CN" w:bidi="ar-SA"/>
        </w:rPr>
        <w:t>第十二条　</w:t>
      </w:r>
      <w:r>
        <w:rPr>
          <w:rFonts w:hint="eastAsia" w:ascii="仿宋_GB2312" w:hAnsi="仿宋_GB2312" w:eastAsia="仿宋_GB2312" w:cs="仿宋_GB2312"/>
          <w:sz w:val="32"/>
          <w:szCs w:val="32"/>
        </w:rPr>
        <w:t>发证机关接收和办理排队轮候业务，不得收取任何费用。</w:t>
      </w:r>
    </w:p>
    <w:p>
      <w:pPr>
        <w:numPr>
          <w:ilvl w:val="0"/>
          <w:numId w:val="0"/>
        </w:numPr>
        <w:spacing w:before="312" w:beforeLines="100" w:after="312" w:afterLines="100" w:line="360" w:lineRule="auto"/>
        <w:ind w:left="0" w:leftChars="0" w:firstLine="403" w:firstLineChars="0"/>
        <w:jc w:val="center"/>
        <w:rPr>
          <w:rFonts w:ascii="黑体" w:hAnsi="黑体" w:eastAsia="黑体" w:cs="黑体"/>
          <w:sz w:val="32"/>
          <w:szCs w:val="32"/>
        </w:rPr>
      </w:pPr>
      <w:r>
        <w:rPr>
          <w:rFonts w:hint="eastAsia" w:ascii="黑体" w:hAnsi="黑体" w:eastAsia="黑体" w:cs="黑体"/>
          <w:kern w:val="2"/>
          <w:sz w:val="32"/>
          <w:szCs w:val="32"/>
          <w:lang w:val="en-US" w:eastAsia="zh-CN" w:bidi="ar-SA"/>
        </w:rPr>
        <w:t xml:space="preserve">第四章 </w:t>
      </w:r>
      <w:r>
        <w:rPr>
          <w:rFonts w:hint="eastAsia" w:ascii="黑体" w:hAnsi="黑体" w:eastAsia="黑体" w:cs="黑体"/>
          <w:sz w:val="32"/>
          <w:szCs w:val="32"/>
        </w:rPr>
        <w:t>附则</w:t>
      </w:r>
    </w:p>
    <w:p>
      <w:pPr>
        <w:numPr>
          <w:ilvl w:val="2"/>
          <w:numId w:val="0"/>
        </w:numPr>
        <w:spacing w:line="360" w:lineRule="auto"/>
        <w:ind w:left="0" w:leftChars="0" w:firstLine="680" w:firstLineChars="0"/>
        <w:rPr>
          <w:rFonts w:ascii="仿宋_GB2312" w:hAnsi="仿宋_GB2312" w:eastAsia="仿宋_GB2312" w:cs="仿宋_GB2312"/>
          <w:sz w:val="32"/>
          <w:szCs w:val="32"/>
        </w:rPr>
      </w:pPr>
      <w:r>
        <w:rPr>
          <w:rFonts w:hint="eastAsia" w:ascii="仿宋_GB2312" w:hAnsi="仿宋_GB2312" w:eastAsia="黑体" w:cs="仿宋_GB2312"/>
          <w:color w:val="auto"/>
          <w:kern w:val="2"/>
          <w:sz w:val="32"/>
          <w:szCs w:val="32"/>
          <w:lang w:val="en-US" w:eastAsia="zh-CN" w:bidi="ar-SA"/>
        </w:rPr>
        <w:t>第十三条　</w:t>
      </w:r>
      <w:r>
        <w:rPr>
          <w:rFonts w:hint="eastAsia" w:ascii="仿宋_GB2312" w:hAnsi="仿宋_GB2312" w:eastAsia="仿宋_GB2312" w:cs="仿宋_GB2312"/>
          <w:sz w:val="32"/>
          <w:szCs w:val="32"/>
        </w:rPr>
        <w:t>本制度中按照年、月、日计算期间的，开始的当日不计入，自下一日开始计算。均以工作日计算，不含法定节假日。</w:t>
      </w:r>
    </w:p>
    <w:p>
      <w:pPr>
        <w:numPr>
          <w:ilvl w:val="2"/>
          <w:numId w:val="0"/>
        </w:numPr>
        <w:spacing w:line="360" w:lineRule="auto"/>
        <w:ind w:left="0" w:leftChars="0" w:firstLine="680" w:firstLineChars="0"/>
        <w:rPr>
          <w:rFonts w:ascii="仿宋_GB2312" w:hAnsi="仿宋_GB2312" w:eastAsia="仿宋_GB2312" w:cs="仿宋_GB2312"/>
          <w:sz w:val="32"/>
          <w:szCs w:val="32"/>
        </w:rPr>
      </w:pPr>
      <w:r>
        <w:rPr>
          <w:rFonts w:hint="eastAsia" w:ascii="仿宋_GB2312" w:hAnsi="仿宋_GB2312" w:eastAsia="黑体" w:cs="仿宋_GB2312"/>
          <w:color w:val="auto"/>
          <w:kern w:val="2"/>
          <w:sz w:val="32"/>
          <w:szCs w:val="32"/>
          <w:lang w:val="en-US" w:eastAsia="zh-CN" w:bidi="ar-SA"/>
        </w:rPr>
        <w:t>第十四条　</w:t>
      </w:r>
      <w:r>
        <w:rPr>
          <w:rFonts w:hint="eastAsia" w:ascii="仿宋_GB2312" w:hAnsi="仿宋_GB2312" w:eastAsia="仿宋_GB2312" w:cs="仿宋_GB2312"/>
          <w:sz w:val="32"/>
          <w:szCs w:val="32"/>
        </w:rPr>
        <w:t>本制度由云南省</w:t>
      </w:r>
      <w:r>
        <w:rPr>
          <w:rFonts w:hint="eastAsia" w:ascii="仿宋_GB2312" w:hAnsi="仿宋_GB2312" w:eastAsia="仿宋_GB2312" w:cs="仿宋_GB2312"/>
          <w:sz w:val="32"/>
          <w:szCs w:val="32"/>
          <w:lang w:val="en-US" w:eastAsia="zh-CN"/>
        </w:rPr>
        <w:t>昆明市官渡区</w:t>
      </w:r>
      <w:r>
        <w:rPr>
          <w:rFonts w:hint="eastAsia" w:ascii="仿宋_GB2312" w:hAnsi="仿宋_GB2312" w:eastAsia="仿宋_GB2312" w:cs="仿宋_GB2312"/>
          <w:sz w:val="32"/>
          <w:szCs w:val="32"/>
        </w:rPr>
        <w:t>烟草专卖局负责解释。</w:t>
      </w:r>
    </w:p>
    <w:p>
      <w:pPr>
        <w:numPr>
          <w:ilvl w:val="2"/>
          <w:numId w:val="0"/>
        </w:numPr>
        <w:spacing w:line="360" w:lineRule="auto"/>
        <w:ind w:left="0" w:leftChars="0" w:firstLine="680" w:firstLineChars="0"/>
        <w:rPr>
          <w:rFonts w:hint="eastAsia" w:ascii="仿宋_GB2312" w:hAnsi="仿宋_GB2312" w:eastAsia="仿宋_GB2312" w:cs="仿宋_GB2312"/>
          <w:sz w:val="32"/>
          <w:szCs w:val="32"/>
          <w:highlight w:val="none"/>
          <w:lang w:val="en-US" w:eastAsia="zh-CN"/>
        </w:rPr>
      </w:pPr>
      <w:r>
        <w:rPr>
          <w:rFonts w:hint="eastAsia" w:ascii="楷体" w:hAnsi="楷体" w:eastAsia="黑体" w:cs="楷体"/>
          <w:color w:val="auto"/>
          <w:kern w:val="2"/>
          <w:sz w:val="32"/>
          <w:szCs w:val="32"/>
          <w:lang w:val="en-US" w:eastAsia="zh-CN" w:bidi="ar-SA"/>
        </w:rPr>
        <w:t>第十五条　</w:t>
      </w:r>
      <w:r>
        <w:rPr>
          <w:rFonts w:hint="eastAsia" w:ascii="仿宋_GB2312" w:hAnsi="仿宋_GB2312" w:eastAsia="仿宋_GB2312" w:cs="仿宋_GB2312"/>
          <w:sz w:val="32"/>
          <w:szCs w:val="32"/>
          <w:highlight w:val="none"/>
        </w:rPr>
        <w:t>本制度</w:t>
      </w:r>
      <w:r>
        <w:rPr>
          <w:rFonts w:hint="eastAsia" w:ascii="仿宋_GB2312" w:hAnsi="仿宋_GB2312" w:eastAsia="仿宋_GB2312" w:cs="仿宋_GB2312"/>
          <w:sz w:val="32"/>
          <w:szCs w:val="32"/>
          <w:highlight w:val="none"/>
          <w:lang w:val="en-US" w:eastAsia="zh-CN"/>
        </w:rPr>
        <w:t>在相关信息系统开发成熟稳定后，由云南省昆明市官渡区烟草专卖局通过政府网站平台、行业网站平台及政务服务大厅、烟草证件大厅等平台公示后执行。具体实施时间以公示时间为准。</w:t>
      </w:r>
    </w:p>
    <w:p>
      <w:pPr>
        <w:pStyle w:val="19"/>
        <w:ind w:firstLine="640" w:firstLineChars="200"/>
        <w:rPr>
          <w:rFonts w:hint="default"/>
          <w:highlight w:val="none"/>
          <w:lang w:val="en-US" w:eastAsia="zh-CN"/>
        </w:rPr>
      </w:pPr>
      <w:r>
        <w:rPr>
          <w:rFonts w:hint="eastAsia" w:ascii="楷体" w:hAnsi="楷体" w:eastAsia="黑体" w:cs="楷体"/>
          <w:color w:val="auto"/>
          <w:kern w:val="2"/>
          <w:sz w:val="32"/>
          <w:szCs w:val="32"/>
          <w:highlight w:val="none"/>
          <w:lang w:val="en-US" w:eastAsia="zh-CN" w:bidi="ar-SA"/>
        </w:rPr>
        <w:t xml:space="preserve">第十六条 </w:t>
      </w:r>
      <w:r>
        <w:rPr>
          <w:rFonts w:hint="eastAsia" w:ascii="仿宋_GB2312" w:hAnsi="仿宋_GB2312" w:eastAsia="仿宋_GB2312" w:cs="仿宋_GB2312"/>
          <w:sz w:val="32"/>
          <w:szCs w:val="32"/>
          <w:highlight w:val="none"/>
          <w:lang w:val="en-US" w:eastAsia="zh-CN"/>
        </w:rPr>
        <w:t xml:space="preserve"> 本制度未公示执行前，执行集中摇号管理制度。</w:t>
      </w:r>
    </w:p>
    <w:p>
      <w:pPr>
        <w:spacing w:line="360" w:lineRule="auto"/>
        <w:ind w:left="402" w:firstLine="640" w:firstLineChars="200"/>
        <w:rPr>
          <w:rFonts w:hint="eastAsia" w:ascii="仿宋_GB2312" w:hAnsi="仿宋_GB2312" w:eastAsia="仿宋_GB2312" w:cs="仿宋_GB2312"/>
          <w:sz w:val="32"/>
          <w:szCs w:val="32"/>
        </w:rPr>
      </w:pPr>
    </w:p>
    <w:p>
      <w:pPr>
        <w:spacing w:line="360" w:lineRule="auto"/>
        <w:ind w:left="402" w:firstLine="640" w:firstLineChars="200"/>
        <w:rPr>
          <w:rFonts w:hint="eastAsia" w:ascii="仿宋_GB2312" w:hAnsi="仿宋_GB2312" w:eastAsia="仿宋_GB2312" w:cs="仿宋_GB2312"/>
          <w:sz w:val="32"/>
          <w:szCs w:val="32"/>
        </w:rPr>
      </w:pPr>
    </w:p>
    <w:p>
      <w:pPr>
        <w:spacing w:line="360" w:lineRule="auto"/>
        <w:ind w:left="402" w:firstLine="640" w:firstLineChars="200"/>
        <w:rPr>
          <w:rFonts w:hint="eastAsia" w:ascii="仿宋_GB2312" w:hAnsi="仿宋_GB2312" w:eastAsia="仿宋_GB2312" w:cs="仿宋_GB2312"/>
          <w:sz w:val="32"/>
          <w:szCs w:val="32"/>
        </w:rPr>
      </w:pPr>
    </w:p>
    <w:p>
      <w:pPr>
        <w:spacing w:line="360" w:lineRule="auto"/>
        <w:ind w:left="402"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附表：云南省</w:t>
      </w:r>
      <w:r>
        <w:rPr>
          <w:rFonts w:hint="eastAsia" w:ascii="仿宋_GB2312" w:hAnsi="仿宋_GB2312" w:eastAsia="仿宋_GB2312" w:cs="仿宋_GB2312"/>
          <w:sz w:val="32"/>
          <w:szCs w:val="32"/>
          <w:lang w:val="en-US" w:eastAsia="zh-CN"/>
        </w:rPr>
        <w:t>昆明市官渡区</w:t>
      </w:r>
      <w:r>
        <w:rPr>
          <w:rFonts w:hint="eastAsia" w:ascii="仿宋_GB2312" w:hAnsi="仿宋_GB2312" w:eastAsia="仿宋_GB2312" w:cs="仿宋_GB2312"/>
          <w:sz w:val="32"/>
          <w:szCs w:val="32"/>
        </w:rPr>
        <w:t>烟草专卖局烟草制品零售点XX单元网格排队轮候申请表</w:t>
      </w:r>
    </w:p>
    <w:p>
      <w:pPr>
        <w:spacing w:line="360" w:lineRule="auto"/>
        <w:rPr>
          <w:rFonts w:ascii="黑体" w:hAnsi="黑体" w:eastAsia="黑体" w:cs="黑体"/>
          <w:sz w:val="32"/>
          <w:szCs w:val="32"/>
        </w:rPr>
        <w:sectPr>
          <w:footerReference r:id="rId6" w:type="default"/>
          <w:pgSz w:w="11906" w:h="16838"/>
          <w:pgMar w:top="1440" w:right="1800" w:bottom="1440" w:left="1800" w:header="851" w:footer="992" w:gutter="0"/>
          <w:cols w:space="720" w:num="1"/>
          <w:docGrid w:type="lines" w:linePitch="312" w:charSpace="0"/>
        </w:sectPr>
      </w:pPr>
    </w:p>
    <w:p>
      <w:pPr>
        <w:keepNext w:val="0"/>
        <w:keepLines w:val="0"/>
        <w:widowControl w:val="0"/>
        <w:suppressLineNumbers w:val="0"/>
        <w:spacing w:before="0" w:beforeAutospacing="0" w:after="0" w:afterAutospacing="0" w:line="360" w:lineRule="auto"/>
        <w:ind w:left="0" w:right="0"/>
        <w:jc w:val="both"/>
        <w:rPr>
          <w:rFonts w:hint="eastAsia" w:ascii="黑体" w:hAnsi="宋体" w:eastAsia="黑体" w:cs="黑体"/>
          <w:kern w:val="2"/>
          <w:sz w:val="44"/>
          <w:szCs w:val="44"/>
        </w:rPr>
      </w:pPr>
      <w:r>
        <w:rPr>
          <w:rFonts w:hint="eastAsia" w:ascii="黑体" w:hAnsi="宋体" w:eastAsia="黑体" w:cs="黑体"/>
          <w:kern w:val="2"/>
          <w:sz w:val="32"/>
          <w:szCs w:val="32"/>
          <w:lang w:val="en-US" w:eastAsia="zh-CN" w:bidi="ar"/>
        </w:rPr>
        <w:t>附表</w:t>
      </w:r>
    </w:p>
    <w:p>
      <w:pPr>
        <w:keepNext w:val="0"/>
        <w:keepLines w:val="0"/>
        <w:widowControl w:val="0"/>
        <w:suppressLineNumbers w:val="0"/>
        <w:spacing w:before="0" w:beforeAutospacing="0" w:after="0" w:afterAutospacing="0" w:line="360" w:lineRule="auto"/>
        <w:ind w:left="402" w:right="0"/>
        <w:jc w:val="center"/>
        <w:rPr>
          <w:rFonts w:hint="eastAsia" w:ascii="方正小标宋简体" w:hAnsi="方正小标宋简体" w:eastAsia="方正小标宋简体" w:cs="方正小标宋简体"/>
          <w:kern w:val="2"/>
          <w:sz w:val="44"/>
          <w:szCs w:val="44"/>
        </w:rPr>
      </w:pPr>
      <w:r>
        <w:rPr>
          <w:rFonts w:hint="eastAsia" w:ascii="方正小标宋简体" w:hAnsi="方正小标宋简体" w:eastAsia="方正小标宋简体" w:cs="方正小标宋简体"/>
          <w:kern w:val="2"/>
          <w:sz w:val="44"/>
          <w:szCs w:val="44"/>
          <w:lang w:val="en-US" w:eastAsia="zh-CN" w:bidi="ar"/>
        </w:rPr>
        <w:t>云南省昆明市官渡区烟草专卖局烟草制品零售点XX单元网格排队轮候申请表</w:t>
      </w:r>
    </w:p>
    <w:tbl>
      <w:tblPr>
        <w:tblStyle w:val="17"/>
        <w:tblW w:w="0" w:type="auto"/>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422"/>
        <w:gridCol w:w="2283"/>
        <w:gridCol w:w="1543"/>
        <w:gridCol w:w="21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kern w:val="2"/>
                <w:sz w:val="24"/>
                <w:szCs w:val="24"/>
              </w:rPr>
            </w:pPr>
            <w:r>
              <w:rPr>
                <w:rFonts w:hint="eastAsia" w:ascii="宋体" w:hAnsi="宋体" w:eastAsia="宋体" w:cs="宋体"/>
                <w:b/>
                <w:bCs/>
                <w:kern w:val="0"/>
                <w:sz w:val="24"/>
                <w:szCs w:val="24"/>
                <w:lang w:val="en-US" w:eastAsia="zh-CN" w:bidi="ar"/>
              </w:rPr>
              <w:t>申请人基本信息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4"/>
                <w:szCs w:val="24"/>
              </w:rPr>
            </w:pPr>
            <w:r>
              <w:rPr>
                <w:rFonts w:hint="eastAsia" w:ascii="宋体" w:hAnsi="宋体" w:eastAsia="宋体" w:cs="宋体"/>
                <w:kern w:val="0"/>
                <w:sz w:val="24"/>
                <w:szCs w:val="24"/>
                <w:lang w:val="en-US" w:eastAsia="zh-CN" w:bidi="ar"/>
              </w:rPr>
              <w:t>申请人姓名</w:t>
            </w:r>
          </w:p>
        </w:tc>
        <w:tc>
          <w:tcPr>
            <w:tcW w:w="2283" w:type="dxa"/>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p>
        </w:tc>
        <w:tc>
          <w:tcPr>
            <w:tcW w:w="1543" w:type="dxa"/>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4"/>
                <w:szCs w:val="24"/>
              </w:rPr>
            </w:pPr>
            <w:r>
              <w:rPr>
                <w:rFonts w:hint="eastAsia" w:ascii="宋体" w:hAnsi="宋体" w:eastAsia="宋体" w:cs="宋体"/>
                <w:kern w:val="0"/>
                <w:sz w:val="24"/>
                <w:szCs w:val="24"/>
                <w:lang w:val="en-US" w:eastAsia="zh-CN" w:bidi="ar"/>
              </w:rPr>
              <w:t>申请日期</w:t>
            </w:r>
          </w:p>
        </w:tc>
        <w:tc>
          <w:tcPr>
            <w:tcW w:w="2178" w:type="dxa"/>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4"/>
                <w:szCs w:val="24"/>
              </w:rPr>
            </w:pPr>
            <w:r>
              <w:rPr>
                <w:rFonts w:hint="eastAsia" w:ascii="宋体" w:hAnsi="宋体" w:eastAsia="宋体" w:cs="宋体"/>
                <w:kern w:val="0"/>
                <w:sz w:val="24"/>
                <w:szCs w:val="24"/>
                <w:lang w:val="en-US" w:eastAsia="zh-CN" w:bidi="ar"/>
              </w:rPr>
              <w:t>身份证号码</w:t>
            </w:r>
          </w:p>
        </w:tc>
        <w:tc>
          <w:tcPr>
            <w:tcW w:w="2283" w:type="dxa"/>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p>
        </w:tc>
        <w:tc>
          <w:tcPr>
            <w:tcW w:w="1543" w:type="dxa"/>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4"/>
                <w:szCs w:val="24"/>
              </w:rPr>
            </w:pPr>
            <w:r>
              <w:rPr>
                <w:rFonts w:hint="eastAsia" w:ascii="宋体" w:hAnsi="宋体" w:eastAsia="宋体" w:cs="宋体"/>
                <w:kern w:val="0"/>
                <w:sz w:val="24"/>
                <w:szCs w:val="24"/>
                <w:lang w:val="en-US" w:eastAsia="zh-CN" w:bidi="ar"/>
              </w:rPr>
              <w:t>联系电话</w:t>
            </w:r>
          </w:p>
        </w:tc>
        <w:tc>
          <w:tcPr>
            <w:tcW w:w="2178" w:type="dxa"/>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4"/>
                <w:szCs w:val="24"/>
              </w:rPr>
            </w:pPr>
            <w:r>
              <w:rPr>
                <w:rFonts w:hint="eastAsia" w:ascii="宋体" w:hAnsi="宋体" w:eastAsia="宋体" w:cs="宋体"/>
                <w:kern w:val="0"/>
                <w:sz w:val="24"/>
                <w:szCs w:val="24"/>
                <w:lang w:val="en-US" w:eastAsia="zh-CN" w:bidi="ar"/>
              </w:rPr>
              <w:t>归属街道</w:t>
            </w:r>
          </w:p>
        </w:tc>
        <w:tc>
          <w:tcPr>
            <w:tcW w:w="2283" w:type="dxa"/>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p>
        </w:tc>
        <w:tc>
          <w:tcPr>
            <w:tcW w:w="1543" w:type="dxa"/>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4"/>
                <w:szCs w:val="24"/>
              </w:rPr>
            </w:pPr>
            <w:r>
              <w:rPr>
                <w:rFonts w:hint="eastAsia" w:ascii="宋体" w:hAnsi="宋体" w:eastAsia="宋体" w:cs="宋体"/>
                <w:kern w:val="0"/>
                <w:sz w:val="24"/>
                <w:szCs w:val="24"/>
                <w:lang w:val="en-US" w:eastAsia="zh-CN" w:bidi="ar"/>
              </w:rPr>
              <w:t>归属网格</w:t>
            </w:r>
          </w:p>
        </w:tc>
        <w:tc>
          <w:tcPr>
            <w:tcW w:w="2178" w:type="dxa"/>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4"/>
                <w:szCs w:val="24"/>
              </w:rPr>
            </w:pPr>
            <w:r>
              <w:rPr>
                <w:rFonts w:hint="eastAsia" w:ascii="宋体" w:hAnsi="宋体" w:eastAsia="宋体" w:cs="宋体"/>
                <w:kern w:val="0"/>
                <w:sz w:val="24"/>
                <w:szCs w:val="24"/>
                <w:lang w:val="en-US" w:eastAsia="zh-CN" w:bidi="ar"/>
              </w:rPr>
              <w:t>经营场所详细地址</w:t>
            </w:r>
          </w:p>
        </w:tc>
        <w:tc>
          <w:tcPr>
            <w:tcW w:w="6004" w:type="dxa"/>
            <w:gridSpan w:val="3"/>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kern w:val="2"/>
                <w:sz w:val="24"/>
                <w:szCs w:val="24"/>
              </w:rPr>
            </w:pPr>
            <w:r>
              <w:rPr>
                <w:rFonts w:hint="eastAsia" w:ascii="宋体" w:hAnsi="宋体" w:eastAsia="宋体" w:cs="宋体"/>
                <w:b/>
                <w:bCs/>
                <w:kern w:val="0"/>
                <w:sz w:val="24"/>
                <w:szCs w:val="24"/>
                <w:lang w:val="en-US" w:eastAsia="zh-CN" w:bidi="ar"/>
              </w:rPr>
              <w:t>营业执照基本信息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4"/>
                <w:szCs w:val="24"/>
              </w:rPr>
            </w:pPr>
            <w:r>
              <w:rPr>
                <w:rFonts w:hint="eastAsia" w:ascii="宋体" w:hAnsi="宋体" w:eastAsia="宋体" w:cs="宋体"/>
                <w:kern w:val="0"/>
                <w:sz w:val="24"/>
                <w:szCs w:val="24"/>
                <w:lang w:val="en-US" w:eastAsia="zh-CN" w:bidi="ar"/>
              </w:rPr>
              <w:t>统一社会信用代码</w:t>
            </w:r>
          </w:p>
        </w:tc>
        <w:tc>
          <w:tcPr>
            <w:tcW w:w="6004" w:type="dxa"/>
            <w:gridSpan w:val="3"/>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4"/>
                <w:szCs w:val="24"/>
              </w:rPr>
            </w:pPr>
            <w:r>
              <w:rPr>
                <w:rFonts w:hint="eastAsia" w:ascii="宋体" w:hAnsi="宋体" w:eastAsia="宋体" w:cs="宋体"/>
                <w:kern w:val="0"/>
                <w:sz w:val="24"/>
                <w:szCs w:val="24"/>
                <w:lang w:val="en-US" w:eastAsia="zh-CN" w:bidi="ar"/>
              </w:rPr>
              <w:t>企业名称</w:t>
            </w:r>
          </w:p>
        </w:tc>
        <w:tc>
          <w:tcPr>
            <w:tcW w:w="6004" w:type="dxa"/>
            <w:gridSpan w:val="3"/>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4"/>
                <w:szCs w:val="24"/>
              </w:rPr>
            </w:pPr>
            <w:r>
              <w:rPr>
                <w:rFonts w:hint="eastAsia" w:ascii="宋体" w:hAnsi="宋体" w:eastAsia="宋体" w:cs="宋体"/>
                <w:kern w:val="0"/>
                <w:sz w:val="24"/>
                <w:szCs w:val="24"/>
                <w:lang w:val="en-US" w:eastAsia="zh-CN" w:bidi="ar"/>
              </w:rPr>
              <w:t>企业类型</w:t>
            </w:r>
          </w:p>
        </w:tc>
        <w:tc>
          <w:tcPr>
            <w:tcW w:w="6004" w:type="dxa"/>
            <w:gridSpan w:val="3"/>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4"/>
                <w:szCs w:val="24"/>
              </w:rPr>
            </w:pPr>
            <w:r>
              <w:rPr>
                <w:rFonts w:hint="eastAsia" w:ascii="宋体" w:hAnsi="宋体" w:eastAsia="宋体" w:cs="宋体"/>
                <w:kern w:val="0"/>
                <w:sz w:val="24"/>
                <w:szCs w:val="24"/>
                <w:lang w:val="en-US" w:eastAsia="zh-CN" w:bidi="ar"/>
              </w:rPr>
              <w:t>经营地址</w:t>
            </w:r>
          </w:p>
        </w:tc>
        <w:tc>
          <w:tcPr>
            <w:tcW w:w="6004" w:type="dxa"/>
            <w:gridSpan w:val="3"/>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sz w:val="24"/>
                <w:szCs w:val="24"/>
              </w:rPr>
            </w:pPr>
            <w:r>
              <w:rPr>
                <w:rStyle w:val="41"/>
                <w:rFonts w:hint="eastAsia" w:ascii="宋体" w:hAnsi="宋体" w:eastAsia="宋体" w:cs="宋体"/>
                <w:b/>
                <w:bCs/>
                <w:kern w:val="2"/>
                <w:sz w:val="24"/>
                <w:szCs w:val="24"/>
                <w:lang w:val="en-US" w:eastAsia="zh-CN" w:bidi="ar"/>
              </w:rPr>
              <w:t>申请人承诺：</w:t>
            </w:r>
          </w:p>
          <w:p>
            <w:pPr>
              <w:keepNext w:val="0"/>
              <w:keepLines w:val="0"/>
              <w:widowControl/>
              <w:suppressLineNumbers w:val="0"/>
              <w:spacing w:before="0" w:beforeAutospacing="0" w:after="0" w:afterAutospacing="0"/>
              <w:ind w:left="0" w:right="0" w:firstLine="480" w:firstLineChars="200"/>
              <w:jc w:val="left"/>
              <w:textAlignment w:val="center"/>
              <w:rPr>
                <w:rFonts w:hint="eastAsia" w:ascii="宋体" w:hAnsi="宋体" w:eastAsia="宋体" w:cs="宋体"/>
                <w:b w:val="0"/>
                <w:bCs w:val="0"/>
                <w:sz w:val="24"/>
                <w:szCs w:val="24"/>
              </w:rPr>
            </w:pPr>
            <w:r>
              <w:rPr>
                <w:rStyle w:val="41"/>
                <w:rFonts w:hint="eastAsia" w:ascii="宋体" w:hAnsi="宋体" w:eastAsia="宋体" w:cs="宋体"/>
                <w:b w:val="0"/>
                <w:bCs w:val="0"/>
                <w:kern w:val="2"/>
                <w:sz w:val="24"/>
                <w:szCs w:val="24"/>
                <w:lang w:val="en-US" w:eastAsia="zh-CN" w:bidi="ar"/>
              </w:rPr>
              <w:t>1.以上信息经申请人核对，确认无误。申请人所提交的信息以及文件、证件、有关材料全部真实有效，复印件与原件一致。如申请人在申请过程中存在弄虚作假、欺骗等行为的，申请人愿意承担由此引起的一切法律责任；</w:t>
            </w:r>
          </w:p>
          <w:p>
            <w:pPr>
              <w:keepNext w:val="0"/>
              <w:keepLines w:val="0"/>
              <w:widowControl/>
              <w:suppressLineNumbers w:val="0"/>
              <w:spacing w:before="0" w:beforeAutospacing="0" w:after="0" w:afterAutospacing="0"/>
              <w:ind w:left="0" w:right="0" w:firstLine="480" w:firstLineChars="200"/>
              <w:jc w:val="left"/>
              <w:textAlignment w:val="center"/>
              <w:rPr>
                <w:rFonts w:hint="eastAsia" w:ascii="宋体" w:hAnsi="宋体" w:eastAsia="宋体" w:cs="宋体"/>
                <w:b w:val="0"/>
                <w:bCs w:val="0"/>
                <w:sz w:val="24"/>
                <w:szCs w:val="24"/>
              </w:rPr>
            </w:pPr>
            <w:r>
              <w:rPr>
                <w:rStyle w:val="41"/>
                <w:rFonts w:hint="eastAsia" w:ascii="宋体" w:hAnsi="宋体" w:eastAsia="宋体" w:cs="宋体"/>
                <w:b w:val="0"/>
                <w:bCs w:val="0"/>
                <w:kern w:val="2"/>
                <w:sz w:val="24"/>
                <w:szCs w:val="24"/>
                <w:lang w:val="en-US" w:eastAsia="zh-CN" w:bidi="ar"/>
              </w:rPr>
              <w:t>2.申请人所提交的预登记信息确保与到号办理时提交的办证信息一致，若不一致的，申请人应重新登记轮候；</w:t>
            </w:r>
          </w:p>
          <w:p>
            <w:pPr>
              <w:keepNext w:val="0"/>
              <w:keepLines w:val="0"/>
              <w:widowControl/>
              <w:suppressLineNumbers w:val="0"/>
              <w:spacing w:before="0" w:beforeAutospacing="0" w:after="0" w:afterAutospacing="0"/>
              <w:ind w:left="0" w:right="0" w:firstLine="480" w:firstLineChars="200"/>
              <w:jc w:val="left"/>
              <w:textAlignment w:val="center"/>
              <w:rPr>
                <w:rFonts w:hint="eastAsia" w:ascii="宋体" w:hAnsi="宋体" w:eastAsia="宋体" w:cs="宋体"/>
                <w:b w:val="0"/>
                <w:bCs w:val="0"/>
                <w:sz w:val="24"/>
                <w:szCs w:val="24"/>
              </w:rPr>
            </w:pPr>
            <w:r>
              <w:rPr>
                <w:rStyle w:val="41"/>
                <w:rFonts w:hint="eastAsia" w:ascii="宋体" w:hAnsi="宋体" w:eastAsia="宋体" w:cs="宋体"/>
                <w:b w:val="0"/>
                <w:bCs w:val="0"/>
                <w:kern w:val="2"/>
                <w:sz w:val="24"/>
                <w:szCs w:val="24"/>
                <w:lang w:val="en-US" w:eastAsia="zh-CN" w:bidi="ar"/>
              </w:rPr>
              <w:t>3.申请人应当在收到办理通知之日起三日内提交办证申请材料，逾期未提交的，视同申请人自愿放弃本次排队轮候；因申请人填报地址、联系方式等不正确，导致发证机关在三个工作日内无法与申请人取得联系的，视同申请人自愿放弃本次排队轮候。申请人自愿放弃本次排队轮候的，本机关公示三日后，由下一位申请人递补办理。</w:t>
            </w:r>
          </w:p>
          <w:p>
            <w:pPr>
              <w:keepNext w:val="0"/>
              <w:keepLines w:val="0"/>
              <w:widowControl/>
              <w:suppressLineNumbers w:val="0"/>
              <w:spacing w:before="0" w:beforeAutospacing="0" w:after="0" w:afterAutospacing="0"/>
              <w:ind w:left="0" w:right="0" w:firstLine="482" w:firstLineChars="200"/>
              <w:jc w:val="left"/>
              <w:textAlignment w:val="center"/>
              <w:rPr>
                <w:rFonts w:hint="eastAsia" w:ascii="宋体" w:hAnsi="宋体" w:eastAsia="宋体" w:cs="宋体"/>
                <w:b/>
                <w:bCs/>
                <w:kern w:val="2"/>
                <w:sz w:val="24"/>
                <w:szCs w:val="24"/>
              </w:rPr>
            </w:pPr>
            <w:r>
              <w:rPr>
                <w:rStyle w:val="41"/>
                <w:rFonts w:hint="eastAsia" w:ascii="宋体" w:hAnsi="宋体" w:eastAsia="宋体" w:cs="宋体"/>
                <w:b/>
                <w:bCs/>
                <w:kern w:val="2"/>
                <w:sz w:val="24"/>
                <w:szCs w:val="24"/>
                <w:lang w:val="en-US" w:eastAsia="zh-CN" w:bidi="ar"/>
              </w:rPr>
              <w:t>申请人或代理人（签名或印章）：</w:t>
            </w:r>
            <w:r>
              <w:rPr>
                <w:rStyle w:val="42"/>
                <w:rFonts w:hint="eastAsia" w:ascii="宋体" w:hAnsi="宋体" w:eastAsia="宋体" w:cs="宋体"/>
                <w:b/>
                <w:bCs/>
                <w:kern w:val="2"/>
                <w:sz w:val="24"/>
                <w:szCs w:val="24"/>
                <w:u w:val="single"/>
                <w:lang w:val="en-US" w:eastAsia="zh-CN" w:bidi="ar"/>
              </w:rPr>
              <w:t xml:space="preserve">        </w:t>
            </w:r>
            <w:r>
              <w:rPr>
                <w:rStyle w:val="41"/>
                <w:rFonts w:hint="eastAsia" w:ascii="宋体" w:hAnsi="宋体" w:eastAsia="宋体" w:cs="宋体"/>
                <w:b/>
                <w:bCs/>
                <w:kern w:val="2"/>
                <w:sz w:val="24"/>
                <w:szCs w:val="24"/>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6"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kern w:val="2"/>
                <w:sz w:val="24"/>
                <w:szCs w:val="24"/>
              </w:rPr>
            </w:pPr>
            <w:r>
              <w:rPr>
                <w:rFonts w:hint="eastAsia" w:ascii="宋体" w:hAnsi="宋体" w:eastAsia="宋体" w:cs="宋体"/>
                <w:b/>
                <w:bCs/>
                <w:kern w:val="0"/>
                <w:sz w:val="24"/>
                <w:szCs w:val="24"/>
                <w:lang w:val="en-US" w:eastAsia="zh-CN" w:bidi="ar"/>
              </w:rPr>
              <w:t>排队轮候顺序号</w:t>
            </w:r>
          </w:p>
        </w:tc>
        <w:tc>
          <w:tcPr>
            <w:tcW w:w="6004" w:type="dxa"/>
            <w:gridSpan w:val="3"/>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4"/>
                <w:szCs w:val="24"/>
              </w:rPr>
            </w:pPr>
          </w:p>
        </w:tc>
      </w:tr>
    </w:tbl>
    <w:p>
      <w:pPr>
        <w:spacing w:before="104" w:line="224" w:lineRule="auto"/>
        <w:rPr>
          <w:rFonts w:hint="eastAsia" w:ascii="黑体" w:hAnsi="黑体" w:eastAsia="黑体" w:cs="黑体"/>
          <w:spacing w:val="8"/>
          <w:sz w:val="32"/>
          <w:szCs w:val="32"/>
          <w:lang w:val="en-US" w:eastAsia="zh-CN"/>
        </w:rPr>
      </w:pPr>
      <w:r>
        <w:rPr>
          <w:rFonts w:hint="eastAsia" w:ascii="黑体" w:hAnsi="黑体" w:eastAsia="黑体" w:cs="黑体"/>
          <w:spacing w:val="8"/>
          <w:sz w:val="32"/>
          <w:szCs w:val="32"/>
        </w:rPr>
        <w:t>附件</w:t>
      </w:r>
      <w:r>
        <w:rPr>
          <w:rFonts w:hint="eastAsia" w:ascii="黑体" w:hAnsi="黑体" w:eastAsia="黑体" w:cs="黑体"/>
          <w:spacing w:val="8"/>
          <w:sz w:val="32"/>
          <w:szCs w:val="32"/>
          <w:lang w:val="en-US" w:eastAsia="zh-CN"/>
        </w:rPr>
        <w:t>8</w:t>
      </w:r>
    </w:p>
    <w:p>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w:t>
      </w:r>
      <w:r>
        <w:rPr>
          <w:rFonts w:hint="eastAsia" w:ascii="方正小标宋简体" w:eastAsia="方正小标宋简体"/>
          <w:sz w:val="44"/>
          <w:szCs w:val="44"/>
          <w:lang w:val="en-US" w:eastAsia="zh-CN"/>
        </w:rPr>
        <w:t>昆明市官渡区烟草专卖局</w:t>
      </w:r>
      <w:r>
        <w:rPr>
          <w:rFonts w:hint="eastAsia" w:ascii="方正小标宋简体" w:eastAsia="方正小标宋简体"/>
          <w:sz w:val="44"/>
          <w:szCs w:val="44"/>
        </w:rPr>
        <w:t>烟草制品零售点合理布局规划数动态调整管理制度</w:t>
      </w:r>
    </w:p>
    <w:p>
      <w:pPr>
        <w:numPr>
          <w:ilvl w:val="0"/>
          <w:numId w:val="0"/>
        </w:numPr>
        <w:spacing w:before="312" w:beforeLines="100" w:after="312" w:afterLines="100" w:line="360" w:lineRule="auto"/>
        <w:ind w:left="0" w:leftChars="0" w:firstLine="403" w:firstLineChars="0"/>
        <w:jc w:val="center"/>
        <w:rPr>
          <w:rFonts w:ascii="黑体" w:hAnsi="黑体" w:eastAsia="黑体" w:cs="黑体"/>
          <w:sz w:val="32"/>
          <w:szCs w:val="32"/>
        </w:rPr>
      </w:pPr>
      <w:r>
        <w:rPr>
          <w:rFonts w:hint="eastAsia" w:ascii="黑体" w:hAnsi="黑体" w:eastAsia="黑体" w:cs="黑体"/>
          <w:kern w:val="2"/>
          <w:sz w:val="32"/>
          <w:szCs w:val="32"/>
          <w:lang w:val="en-US" w:eastAsia="zh-CN" w:bidi="ar-SA"/>
        </w:rPr>
        <w:t xml:space="preserve">第一章 </w:t>
      </w:r>
      <w:r>
        <w:rPr>
          <w:rFonts w:hint="eastAsia" w:ascii="黑体" w:hAnsi="黑体" w:eastAsia="黑体" w:cs="黑体"/>
          <w:sz w:val="32"/>
          <w:szCs w:val="32"/>
        </w:rPr>
        <w:t>总则</w:t>
      </w:r>
    </w:p>
    <w:p>
      <w:pPr>
        <w:numPr>
          <w:ilvl w:val="2"/>
          <w:numId w:val="0"/>
        </w:numPr>
        <w:spacing w:line="360" w:lineRule="auto"/>
        <w:ind w:left="0" w:leftChars="0" w:firstLine="402" w:firstLineChars="0"/>
        <w:rPr>
          <w:rFonts w:ascii="仿宋_GB2312" w:hAnsi="仿宋_GB2312" w:eastAsia="仿宋_GB2312" w:cs="仿宋_GB2312"/>
          <w:sz w:val="32"/>
          <w:szCs w:val="32"/>
        </w:rPr>
      </w:pPr>
      <w:r>
        <w:rPr>
          <w:rFonts w:hint="eastAsia" w:ascii="仿宋_GB2312" w:hAnsi="仿宋_GB2312" w:eastAsia="黑体" w:cs="仿宋_GB2312"/>
          <w:color w:val="auto"/>
          <w:kern w:val="2"/>
          <w:sz w:val="32"/>
          <w:szCs w:val="32"/>
          <w:lang w:val="en-US" w:eastAsia="zh-CN" w:bidi="ar-SA"/>
        </w:rPr>
        <w:t>第一条　</w:t>
      </w:r>
      <w:r>
        <w:rPr>
          <w:rFonts w:hint="eastAsia" w:ascii="仿宋_GB2312" w:hAnsi="仿宋_GB2312" w:eastAsia="仿宋_GB2312" w:cs="仿宋_GB2312"/>
          <w:sz w:val="32"/>
          <w:szCs w:val="32"/>
        </w:rPr>
        <w:t>为建立健全合理布局规划管理动态调整机制，做好规范性文件的动态管理，保证《云南省</w:t>
      </w:r>
      <w:r>
        <w:rPr>
          <w:rFonts w:hint="eastAsia" w:ascii="仿宋_GB2312" w:hAnsi="仿宋_GB2312" w:eastAsia="仿宋_GB2312" w:cs="仿宋_GB2312"/>
          <w:sz w:val="32"/>
          <w:szCs w:val="32"/>
          <w:lang w:val="en-US" w:eastAsia="zh-CN"/>
        </w:rPr>
        <w:t>昆明市官渡区烟草专卖局</w:t>
      </w:r>
      <w:r>
        <w:rPr>
          <w:rFonts w:hint="eastAsia" w:ascii="仿宋_GB2312" w:hAnsi="仿宋_GB2312" w:eastAsia="仿宋_GB2312" w:cs="仿宋_GB2312"/>
          <w:sz w:val="32"/>
          <w:szCs w:val="32"/>
        </w:rPr>
        <w:t>烟草制品零售点合理布局规划》的科学性、合理性、前瞻性，依据《中华人民共和国行政许可法》《中华人民共和国未成年人保护法》《中华人民共和国烟草专卖法》《中华人民共和国烟草专卖法实施条例》《烟草专卖许可证管理办法》《烟草专卖许可证管理办法实施细则》等法律法规和规章的规定，特制定本制度。</w:t>
      </w:r>
    </w:p>
    <w:p>
      <w:pPr>
        <w:numPr>
          <w:ilvl w:val="2"/>
          <w:numId w:val="0"/>
        </w:numPr>
        <w:spacing w:line="360" w:lineRule="auto"/>
        <w:ind w:left="0" w:leftChars="0" w:firstLine="402" w:firstLineChars="0"/>
        <w:rPr>
          <w:rFonts w:ascii="仿宋_GB2312" w:hAnsi="仿宋_GB2312" w:eastAsia="仿宋_GB2312" w:cs="仿宋_GB2312"/>
          <w:color w:val="auto"/>
          <w:sz w:val="32"/>
          <w:szCs w:val="32"/>
          <w:highlight w:val="none"/>
        </w:rPr>
      </w:pPr>
      <w:r>
        <w:rPr>
          <w:rFonts w:hint="eastAsia" w:ascii="仿宋_GB2312" w:hAnsi="仿宋_GB2312" w:eastAsia="黑体" w:cs="仿宋_GB2312"/>
          <w:color w:val="auto"/>
          <w:kern w:val="2"/>
          <w:sz w:val="32"/>
          <w:szCs w:val="32"/>
          <w:highlight w:val="none"/>
          <w:lang w:val="en-US" w:eastAsia="zh-CN" w:bidi="ar-SA"/>
        </w:rPr>
        <w:t>第二条　</w:t>
      </w:r>
      <w:r>
        <w:rPr>
          <w:rFonts w:hint="eastAsia" w:ascii="仿宋_GB2312" w:hAnsi="仿宋_GB2312" w:eastAsia="仿宋_GB2312" w:cs="仿宋_GB2312"/>
          <w:color w:val="auto"/>
          <w:sz w:val="32"/>
          <w:szCs w:val="32"/>
          <w:highlight w:val="none"/>
        </w:rPr>
        <w:t>《云南省</w:t>
      </w:r>
      <w:r>
        <w:rPr>
          <w:rFonts w:hint="eastAsia" w:ascii="仿宋_GB2312" w:hAnsi="仿宋_GB2312" w:eastAsia="仿宋_GB2312" w:cs="仿宋_GB2312"/>
          <w:color w:val="auto"/>
          <w:sz w:val="32"/>
          <w:szCs w:val="32"/>
          <w:highlight w:val="none"/>
          <w:lang w:val="en-US" w:eastAsia="zh-CN"/>
        </w:rPr>
        <w:t>昆明市官渡区烟草专卖局</w:t>
      </w:r>
      <w:r>
        <w:rPr>
          <w:rFonts w:hint="eastAsia" w:ascii="仿宋_GB2312" w:hAnsi="仿宋_GB2312" w:eastAsia="仿宋_GB2312" w:cs="仿宋_GB2312"/>
          <w:color w:val="auto"/>
          <w:sz w:val="32"/>
          <w:szCs w:val="32"/>
          <w:highlight w:val="none"/>
        </w:rPr>
        <w:t>烟草制品零售点合理布局规划》发布后，</w:t>
      </w:r>
      <w:r>
        <w:rPr>
          <w:rFonts w:hint="eastAsia" w:ascii="仿宋_GB2312" w:hAnsi="仿宋_GB2312" w:eastAsia="仿宋_GB2312" w:cs="仿宋_GB2312"/>
          <w:color w:val="auto"/>
          <w:sz w:val="32"/>
          <w:szCs w:val="32"/>
          <w:highlight w:val="none"/>
          <w:lang w:val="en-US" w:eastAsia="zh-CN"/>
        </w:rPr>
        <w:t>官渡区</w:t>
      </w:r>
      <w:r>
        <w:rPr>
          <w:rFonts w:hint="eastAsia" w:ascii="仿宋_GB2312" w:hAnsi="仿宋_GB2312" w:eastAsia="仿宋_GB2312" w:cs="仿宋_GB2312"/>
          <w:color w:val="auto"/>
          <w:sz w:val="32"/>
          <w:szCs w:val="32"/>
          <w:highlight w:val="none"/>
        </w:rPr>
        <w:t>烟草专卖局每季度根据本地经济发展、城乡建设、市场形势等变化情况</w:t>
      </w:r>
      <w:r>
        <w:rPr>
          <w:rFonts w:hint="eastAsia" w:ascii="仿宋_GB2312" w:hAnsi="仿宋_GB2312" w:eastAsia="仿宋_GB2312" w:cs="仿宋_GB2312"/>
          <w:color w:val="auto"/>
          <w:sz w:val="32"/>
          <w:szCs w:val="32"/>
          <w:highlight w:val="none"/>
          <w:lang w:val="en-US" w:eastAsia="zh-CN"/>
        </w:rPr>
        <w:t>可</w:t>
      </w:r>
      <w:r>
        <w:rPr>
          <w:rFonts w:hint="eastAsia" w:ascii="仿宋_GB2312" w:hAnsi="仿宋_GB2312" w:eastAsia="仿宋_GB2312" w:cs="仿宋_GB2312"/>
          <w:color w:val="auto"/>
          <w:sz w:val="32"/>
          <w:szCs w:val="32"/>
          <w:highlight w:val="none"/>
        </w:rPr>
        <w:t>对辖区最小单元网格划分</w:t>
      </w:r>
      <w:r>
        <w:rPr>
          <w:rFonts w:hint="eastAsia" w:ascii="仿宋_GB2312" w:hAnsi="仿宋_GB2312" w:eastAsia="仿宋_GB2312" w:cs="仿宋_GB2312"/>
          <w:color w:val="auto"/>
          <w:sz w:val="32"/>
          <w:szCs w:val="32"/>
          <w:highlight w:val="none"/>
          <w:lang w:val="en-US" w:eastAsia="zh-CN"/>
        </w:rPr>
        <w:t>标准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零售点总量规划数</w:t>
      </w:r>
      <w:r>
        <w:rPr>
          <w:rFonts w:hint="eastAsia" w:ascii="仿宋_GB2312" w:hAnsi="仿宋_GB2312" w:eastAsia="仿宋_GB2312" w:cs="仿宋_GB2312"/>
          <w:color w:val="auto"/>
          <w:sz w:val="32"/>
          <w:szCs w:val="32"/>
          <w:highlight w:val="none"/>
          <w:lang w:val="en-US" w:eastAsia="zh-CN"/>
        </w:rPr>
        <w:t>合理值</w:t>
      </w:r>
      <w:r>
        <w:rPr>
          <w:rFonts w:hint="eastAsia" w:ascii="仿宋_GB2312" w:hAnsi="仿宋_GB2312" w:eastAsia="仿宋_GB2312" w:cs="仿宋_GB2312"/>
          <w:color w:val="auto"/>
          <w:sz w:val="32"/>
          <w:szCs w:val="32"/>
          <w:highlight w:val="none"/>
        </w:rPr>
        <w:t>、单元网格零售点规划数</w:t>
      </w:r>
      <w:r>
        <w:rPr>
          <w:rFonts w:hint="eastAsia" w:ascii="仿宋_GB2312" w:hAnsi="仿宋_GB2312" w:eastAsia="仿宋_GB2312" w:cs="仿宋_GB2312"/>
          <w:color w:val="auto"/>
          <w:sz w:val="32"/>
          <w:szCs w:val="32"/>
          <w:highlight w:val="none"/>
          <w:lang w:val="en-US" w:eastAsia="zh-CN"/>
        </w:rPr>
        <w:t>合理值</w:t>
      </w:r>
      <w:r>
        <w:rPr>
          <w:rFonts w:hint="eastAsia" w:ascii="仿宋_GB2312" w:hAnsi="仿宋_GB2312" w:eastAsia="仿宋_GB2312" w:cs="仿宋_GB2312"/>
          <w:color w:val="auto"/>
          <w:sz w:val="32"/>
          <w:szCs w:val="32"/>
          <w:highlight w:val="none"/>
        </w:rPr>
        <w:t>进行动态调整。</w:t>
      </w:r>
    </w:p>
    <w:p>
      <w:pPr>
        <w:numPr>
          <w:ilvl w:val="2"/>
          <w:numId w:val="0"/>
        </w:numPr>
        <w:spacing w:line="360" w:lineRule="auto"/>
        <w:ind w:left="0" w:leftChars="0" w:firstLine="402" w:firstLineChars="0"/>
        <w:rPr>
          <w:rFonts w:ascii="仿宋_GB2312" w:hAnsi="仿宋_GB2312" w:eastAsia="仿宋_GB2312" w:cs="仿宋_GB2312"/>
          <w:color w:val="auto"/>
          <w:sz w:val="32"/>
          <w:szCs w:val="32"/>
          <w:highlight w:val="none"/>
        </w:rPr>
      </w:pPr>
      <w:r>
        <w:rPr>
          <w:rFonts w:hint="eastAsia" w:ascii="仿宋_GB2312" w:hAnsi="仿宋_GB2312" w:eastAsia="黑体" w:cs="仿宋_GB2312"/>
          <w:color w:val="auto"/>
          <w:kern w:val="2"/>
          <w:sz w:val="32"/>
          <w:szCs w:val="32"/>
          <w:highlight w:val="none"/>
          <w:lang w:val="en-US" w:eastAsia="zh-CN" w:bidi="ar-SA"/>
        </w:rPr>
        <w:t>第三条　</w:t>
      </w:r>
      <w:r>
        <w:rPr>
          <w:rFonts w:hint="eastAsia" w:ascii="仿宋_GB2312" w:hAnsi="仿宋_GB2312" w:eastAsia="仿宋_GB2312" w:cs="仿宋_GB2312"/>
          <w:color w:val="auto"/>
          <w:kern w:val="28"/>
          <w:sz w:val="32"/>
          <w:szCs w:val="32"/>
          <w:highlight w:val="none"/>
        </w:rPr>
        <w:t>每季度辖区最小单元网格划分标准、零售点总量规划数合理</w:t>
      </w:r>
      <w:r>
        <w:rPr>
          <w:rFonts w:hint="eastAsia" w:ascii="仿宋_GB2312" w:hAnsi="仿宋_GB2312" w:eastAsia="仿宋_GB2312" w:cs="仿宋_GB2312"/>
          <w:color w:val="auto"/>
          <w:kern w:val="28"/>
          <w:sz w:val="32"/>
          <w:szCs w:val="32"/>
          <w:highlight w:val="none"/>
          <w:lang w:val="en-US" w:eastAsia="zh-CN"/>
        </w:rPr>
        <w:t>值</w:t>
      </w:r>
      <w:r>
        <w:rPr>
          <w:rFonts w:hint="eastAsia" w:ascii="仿宋_GB2312" w:hAnsi="仿宋_GB2312" w:eastAsia="仿宋_GB2312" w:cs="仿宋_GB2312"/>
          <w:color w:val="auto"/>
          <w:kern w:val="28"/>
          <w:sz w:val="32"/>
          <w:szCs w:val="32"/>
          <w:highlight w:val="none"/>
        </w:rPr>
        <w:t>、单元网格零售点规划数合理</w:t>
      </w:r>
      <w:r>
        <w:rPr>
          <w:rFonts w:hint="eastAsia" w:ascii="仿宋_GB2312" w:hAnsi="仿宋_GB2312" w:eastAsia="仿宋_GB2312" w:cs="仿宋_GB2312"/>
          <w:color w:val="auto"/>
          <w:kern w:val="28"/>
          <w:sz w:val="32"/>
          <w:szCs w:val="32"/>
          <w:highlight w:val="none"/>
          <w:lang w:val="en-US" w:eastAsia="zh-CN"/>
        </w:rPr>
        <w:t>值</w:t>
      </w:r>
      <w:r>
        <w:rPr>
          <w:rFonts w:hint="eastAsia" w:ascii="仿宋_GB2312" w:hAnsi="仿宋_GB2312" w:eastAsia="仿宋_GB2312" w:cs="仿宋_GB2312"/>
          <w:color w:val="auto"/>
          <w:kern w:val="28"/>
          <w:sz w:val="32"/>
          <w:szCs w:val="32"/>
          <w:highlight w:val="none"/>
        </w:rPr>
        <w:t>动态调整后，应当在调整结束后五日内通过政府网站平台、行业网站平台及政务服务大厅</w:t>
      </w:r>
      <w:r>
        <w:rPr>
          <w:rFonts w:hint="eastAsia" w:ascii="仿宋_GB2312" w:hAnsi="仿宋_GB2312" w:eastAsia="仿宋_GB2312" w:cs="仿宋_GB2312"/>
          <w:color w:val="auto"/>
          <w:kern w:val="28"/>
          <w:sz w:val="32"/>
          <w:szCs w:val="32"/>
          <w:highlight w:val="none"/>
          <w:lang w:eastAsia="zh-CN"/>
        </w:rPr>
        <w:t>、</w:t>
      </w:r>
      <w:r>
        <w:rPr>
          <w:rFonts w:hint="eastAsia" w:ascii="仿宋_GB2312" w:hAnsi="仿宋_GB2312" w:eastAsia="仿宋_GB2312" w:cs="仿宋_GB2312"/>
          <w:color w:val="auto"/>
          <w:kern w:val="28"/>
          <w:sz w:val="32"/>
          <w:szCs w:val="32"/>
          <w:highlight w:val="none"/>
          <w:lang w:val="en-US" w:eastAsia="zh-CN"/>
        </w:rPr>
        <w:t>烟草证件大厅</w:t>
      </w:r>
      <w:r>
        <w:rPr>
          <w:rFonts w:hint="eastAsia" w:ascii="仿宋_GB2312" w:hAnsi="仿宋_GB2312" w:eastAsia="仿宋_GB2312" w:cs="仿宋_GB2312"/>
          <w:color w:val="auto"/>
          <w:kern w:val="28"/>
          <w:sz w:val="32"/>
          <w:szCs w:val="32"/>
          <w:highlight w:val="none"/>
        </w:rPr>
        <w:t>等平台公示，公示三日后实施</w:t>
      </w:r>
      <w:r>
        <w:rPr>
          <w:rFonts w:hint="eastAsia" w:ascii="仿宋_GB2312" w:hAnsi="仿宋_GB2312" w:eastAsia="仿宋_GB2312" w:cs="仿宋_GB2312"/>
          <w:color w:val="auto"/>
          <w:sz w:val="32"/>
          <w:szCs w:val="32"/>
          <w:highlight w:val="none"/>
        </w:rPr>
        <w:t>。</w:t>
      </w:r>
    </w:p>
    <w:p>
      <w:pPr>
        <w:numPr>
          <w:ilvl w:val="2"/>
          <w:numId w:val="0"/>
        </w:numPr>
        <w:spacing w:line="360" w:lineRule="auto"/>
        <w:ind w:left="0" w:leftChars="0" w:firstLine="402" w:firstLineChars="0"/>
        <w:rPr>
          <w:rFonts w:ascii="仿宋_GB2312" w:hAnsi="仿宋_GB2312" w:eastAsia="仿宋_GB2312" w:cs="仿宋_GB2312"/>
          <w:color w:val="auto"/>
          <w:sz w:val="32"/>
          <w:szCs w:val="32"/>
          <w:highlight w:val="none"/>
        </w:rPr>
      </w:pPr>
      <w:r>
        <w:rPr>
          <w:rFonts w:hint="eastAsia" w:ascii="仿宋_GB2312" w:hAnsi="仿宋_GB2312" w:eastAsia="黑体" w:cs="仿宋_GB2312"/>
          <w:color w:val="auto"/>
          <w:kern w:val="2"/>
          <w:sz w:val="32"/>
          <w:szCs w:val="32"/>
          <w:highlight w:val="none"/>
          <w:lang w:val="en-US" w:eastAsia="zh-CN" w:bidi="ar-SA"/>
        </w:rPr>
        <w:t>第四条　</w:t>
      </w:r>
      <w:r>
        <w:rPr>
          <w:rFonts w:hint="eastAsia" w:ascii="仿宋_GB2312" w:eastAsia="仿宋_GB2312"/>
          <w:color w:val="auto"/>
          <w:sz w:val="32"/>
          <w:szCs w:val="32"/>
          <w:highlight w:val="none"/>
        </w:rPr>
        <w:t>动态调整由</w:t>
      </w:r>
      <w:r>
        <w:rPr>
          <w:rFonts w:hint="eastAsia" w:ascii="仿宋_GB2312" w:eastAsia="仿宋_GB2312"/>
          <w:color w:val="auto"/>
          <w:sz w:val="32"/>
          <w:szCs w:val="32"/>
          <w:highlight w:val="none"/>
          <w:lang w:val="en-US" w:eastAsia="zh-CN"/>
        </w:rPr>
        <w:t>官渡区</w:t>
      </w:r>
      <w:r>
        <w:rPr>
          <w:rFonts w:hint="eastAsia" w:ascii="仿宋_GB2312" w:eastAsia="仿宋_GB2312"/>
          <w:color w:val="auto"/>
          <w:sz w:val="32"/>
          <w:szCs w:val="32"/>
          <w:highlight w:val="none"/>
        </w:rPr>
        <w:t>烟草专卖局（以下简称</w:t>
      </w:r>
      <w:r>
        <w:rPr>
          <w:rFonts w:hint="eastAsia" w:ascii="仿宋_GB2312" w:eastAsia="仿宋_GB2312"/>
          <w:color w:val="auto"/>
          <w:sz w:val="32"/>
          <w:szCs w:val="32"/>
          <w:highlight w:val="none"/>
          <w:lang w:val="en-US" w:eastAsia="zh-CN"/>
        </w:rPr>
        <w:t>区</w:t>
      </w:r>
      <w:r>
        <w:rPr>
          <w:rFonts w:hint="eastAsia" w:ascii="仿宋_GB2312" w:eastAsia="仿宋_GB2312"/>
          <w:color w:val="auto"/>
          <w:sz w:val="32"/>
          <w:szCs w:val="32"/>
          <w:highlight w:val="none"/>
        </w:rPr>
        <w:t>局）负责实施。</w:t>
      </w:r>
    </w:p>
    <w:p>
      <w:pPr>
        <w:numPr>
          <w:ilvl w:val="0"/>
          <w:numId w:val="0"/>
        </w:numPr>
        <w:spacing w:before="312" w:beforeLines="100" w:after="312" w:afterLines="100" w:line="360" w:lineRule="auto"/>
        <w:ind w:left="0" w:leftChars="0" w:firstLine="403" w:firstLineChars="0"/>
        <w:jc w:val="center"/>
        <w:rPr>
          <w:rFonts w:ascii="黑体" w:hAnsi="黑体" w:eastAsia="黑体" w:cs="黑体"/>
          <w:color w:val="auto"/>
          <w:sz w:val="32"/>
          <w:szCs w:val="32"/>
          <w:highlight w:val="none"/>
        </w:rPr>
      </w:pPr>
      <w:r>
        <w:rPr>
          <w:rFonts w:hint="eastAsia" w:ascii="黑体" w:hAnsi="黑体" w:eastAsia="黑体" w:cs="黑体"/>
          <w:color w:val="auto"/>
          <w:kern w:val="2"/>
          <w:sz w:val="32"/>
          <w:szCs w:val="32"/>
          <w:highlight w:val="none"/>
          <w:lang w:val="en-US" w:eastAsia="zh-CN" w:bidi="ar-SA"/>
        </w:rPr>
        <w:t xml:space="preserve">第二章 </w:t>
      </w:r>
      <w:r>
        <w:rPr>
          <w:rFonts w:hint="eastAsia" w:ascii="黑体" w:hAnsi="黑体" w:eastAsia="黑体" w:cs="黑体"/>
          <w:color w:val="auto"/>
          <w:sz w:val="32"/>
          <w:szCs w:val="32"/>
          <w:highlight w:val="none"/>
        </w:rPr>
        <w:t>动态调整规则</w:t>
      </w:r>
    </w:p>
    <w:p>
      <w:pPr>
        <w:numPr>
          <w:ilvl w:val="2"/>
          <w:numId w:val="0"/>
        </w:numPr>
        <w:spacing w:line="360" w:lineRule="auto"/>
        <w:ind w:left="0" w:leftChars="0" w:firstLine="402" w:firstLineChars="0"/>
        <w:rPr>
          <w:rFonts w:ascii="楷体" w:hAnsi="楷体" w:eastAsia="楷体" w:cs="楷体"/>
          <w:color w:val="auto"/>
          <w:sz w:val="32"/>
          <w:szCs w:val="32"/>
          <w:highlight w:val="none"/>
        </w:rPr>
      </w:pPr>
      <w:r>
        <w:rPr>
          <w:rFonts w:hint="eastAsia" w:ascii="楷体" w:hAnsi="楷体" w:eastAsia="黑体" w:cs="楷体"/>
          <w:color w:val="auto"/>
          <w:kern w:val="2"/>
          <w:sz w:val="32"/>
          <w:szCs w:val="32"/>
          <w:highlight w:val="none"/>
          <w:lang w:val="en-US" w:eastAsia="zh-CN" w:bidi="ar-SA"/>
        </w:rPr>
        <w:t>第五条　</w:t>
      </w:r>
      <w:r>
        <w:rPr>
          <w:rFonts w:hint="eastAsia" w:ascii="仿宋_GB2312" w:hAnsi="仿宋_GB2312" w:eastAsia="仿宋_GB2312" w:cs="仿宋_GB2312"/>
          <w:color w:val="auto"/>
          <w:sz w:val="32"/>
          <w:szCs w:val="32"/>
          <w:highlight w:val="none"/>
        </w:rPr>
        <w:t>每</w:t>
      </w:r>
      <w:r>
        <w:rPr>
          <w:rFonts w:hint="eastAsia" w:ascii="仿宋_GB2312" w:hAnsi="仿宋_GB2312" w:eastAsia="仿宋_GB2312" w:cs="仿宋_GB2312"/>
          <w:color w:val="auto"/>
          <w:sz w:val="32"/>
          <w:szCs w:val="32"/>
          <w:highlight w:val="none"/>
          <w:lang w:val="en-US" w:eastAsia="zh-CN"/>
        </w:rPr>
        <w:t>季度</w:t>
      </w:r>
      <w:r>
        <w:rPr>
          <w:rFonts w:hint="eastAsia" w:ascii="仿宋_GB2312" w:hAnsi="仿宋_GB2312" w:eastAsia="仿宋_GB2312" w:cs="仿宋_GB2312"/>
          <w:color w:val="auto"/>
          <w:sz w:val="32"/>
          <w:szCs w:val="32"/>
          <w:highlight w:val="none"/>
        </w:rPr>
        <w:t>最后一个月</w:t>
      </w:r>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日，从专卖一体化监管平台中提取辖区内所有单元网格现有零售点数量</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分析研判最小单元网格的划分情况，</w:t>
      </w:r>
      <w:r>
        <w:rPr>
          <w:rFonts w:hint="eastAsia" w:ascii="仿宋_GB2312" w:hAnsi="仿宋_GB2312" w:eastAsia="仿宋_GB2312" w:cs="仿宋_GB2312"/>
          <w:color w:val="auto"/>
          <w:sz w:val="32"/>
          <w:szCs w:val="32"/>
          <w:highlight w:val="none"/>
        </w:rPr>
        <w:t>经</w:t>
      </w:r>
      <w:r>
        <w:rPr>
          <w:rFonts w:hint="eastAsia" w:ascii="仿宋_GB2312" w:hAnsi="仿宋_GB2312" w:eastAsia="仿宋_GB2312" w:cs="仿宋_GB2312"/>
          <w:color w:val="auto"/>
          <w:sz w:val="32"/>
          <w:szCs w:val="32"/>
          <w:highlight w:val="none"/>
          <w:lang w:val="en-US" w:eastAsia="zh-CN"/>
        </w:rPr>
        <w:t>区局</w:t>
      </w:r>
      <w:r>
        <w:rPr>
          <w:rFonts w:hint="eastAsia" w:ascii="仿宋_GB2312" w:hAnsi="仿宋_GB2312" w:eastAsia="仿宋_GB2312" w:cs="仿宋_GB2312"/>
          <w:color w:val="auto"/>
          <w:sz w:val="32"/>
          <w:szCs w:val="32"/>
          <w:highlight w:val="none"/>
        </w:rPr>
        <w:t>专卖</w:t>
      </w:r>
      <w:r>
        <w:rPr>
          <w:rFonts w:hint="eastAsia" w:ascii="仿宋_GB2312" w:hAnsi="仿宋_GB2312" w:eastAsia="仿宋_GB2312" w:cs="仿宋_GB2312"/>
          <w:color w:val="auto"/>
          <w:sz w:val="32"/>
          <w:szCs w:val="32"/>
          <w:highlight w:val="none"/>
          <w:lang w:val="en-US" w:eastAsia="zh-CN"/>
        </w:rPr>
        <w:t>办</w:t>
      </w:r>
      <w:r>
        <w:rPr>
          <w:rFonts w:hint="eastAsia" w:ascii="仿宋_GB2312" w:hAnsi="仿宋_GB2312" w:eastAsia="仿宋_GB2312" w:cs="仿宋_GB2312"/>
          <w:color w:val="auto"/>
          <w:sz w:val="32"/>
          <w:szCs w:val="32"/>
          <w:highlight w:val="none"/>
        </w:rPr>
        <w:t>主任核实，交分管专卖领导审核后，封存数据。</w:t>
      </w:r>
    </w:p>
    <w:p>
      <w:pPr>
        <w:numPr>
          <w:ilvl w:val="2"/>
          <w:numId w:val="0"/>
        </w:numPr>
        <w:spacing w:line="360" w:lineRule="auto"/>
        <w:ind w:left="0" w:leftChars="0" w:firstLine="402" w:firstLineChars="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黑体" w:cs="仿宋_GB2312"/>
          <w:color w:val="auto"/>
          <w:kern w:val="2"/>
          <w:sz w:val="32"/>
          <w:szCs w:val="32"/>
          <w:highlight w:val="none"/>
          <w:lang w:val="en-US" w:eastAsia="zh-CN" w:bidi="ar-SA"/>
        </w:rPr>
        <w:t>第六条　</w:t>
      </w:r>
      <w:r>
        <w:rPr>
          <w:rFonts w:hint="eastAsia" w:ascii="仿宋_GB2312" w:hAnsi="仿宋_GB2312" w:eastAsia="仿宋_GB2312" w:cs="仿宋_GB2312"/>
          <w:color w:val="auto"/>
          <w:sz w:val="32"/>
          <w:szCs w:val="32"/>
          <w:highlight w:val="none"/>
        </w:rPr>
        <w:t>根据现有零售点数量，计算辖区内合理容量变化情况，将本季度辖区零售点合理布局</w:t>
      </w:r>
      <w:r>
        <w:rPr>
          <w:rFonts w:hint="eastAsia" w:ascii="仿宋_GB2312" w:hAnsi="仿宋_GB2312" w:eastAsia="仿宋_GB2312" w:cs="仿宋_GB2312"/>
          <w:color w:val="auto"/>
          <w:sz w:val="32"/>
          <w:szCs w:val="32"/>
          <w:highlight w:val="none"/>
          <w:lang w:val="en-US" w:eastAsia="zh-CN"/>
        </w:rPr>
        <w:t>的最小单元网格划分情况、</w:t>
      </w:r>
      <w:r>
        <w:rPr>
          <w:rFonts w:hint="eastAsia" w:ascii="仿宋_GB2312" w:hAnsi="仿宋_GB2312" w:eastAsia="仿宋_GB2312" w:cs="仿宋_GB2312"/>
          <w:color w:val="auto"/>
          <w:sz w:val="32"/>
          <w:szCs w:val="32"/>
          <w:highlight w:val="none"/>
        </w:rPr>
        <w:t>容量测算结果形成会议议题报</w:t>
      </w:r>
      <w:r>
        <w:rPr>
          <w:rFonts w:hint="eastAsia" w:ascii="仿宋_GB2312" w:hAnsi="仿宋_GB2312" w:eastAsia="仿宋_GB2312" w:cs="仿宋_GB2312"/>
          <w:color w:val="auto"/>
          <w:sz w:val="32"/>
          <w:szCs w:val="32"/>
          <w:highlight w:val="none"/>
          <w:lang w:val="en-US" w:eastAsia="zh-CN"/>
        </w:rPr>
        <w:t>区局</w:t>
      </w:r>
      <w:r>
        <w:rPr>
          <w:rFonts w:hint="eastAsia" w:ascii="仿宋_GB2312" w:hAnsi="仿宋_GB2312" w:eastAsia="仿宋_GB2312" w:cs="仿宋_GB2312"/>
          <w:color w:val="auto"/>
          <w:sz w:val="32"/>
          <w:szCs w:val="32"/>
          <w:highlight w:val="none"/>
        </w:rPr>
        <w:t>总支委员会。经总支委员会集体讨论后，审批确定本季度</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云南省昆明市官渡区烟草专卖局烟草制品单元网格零售点合理布局公示表</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云南省昆明市官渡区烟草专卖局烟草专卖局特殊区域零售点合理布局公示表</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及《</w:t>
      </w:r>
      <w:r>
        <w:rPr>
          <w:rFonts w:hint="eastAsia" w:ascii="仿宋_GB2312" w:hAnsi="仿宋_GB2312" w:eastAsia="仿宋_GB2312" w:cs="仿宋_GB2312"/>
          <w:color w:val="auto"/>
          <w:sz w:val="32"/>
          <w:szCs w:val="32"/>
          <w:highlight w:val="none"/>
        </w:rPr>
        <w:t>云南省昆明市官渡区烟草专卖局雪茄烟专营店零售点合理布局公示表</w:t>
      </w:r>
      <w:r>
        <w:rPr>
          <w:rFonts w:hint="eastAsia" w:ascii="仿宋_GB2312" w:hAnsi="仿宋_GB2312" w:eastAsia="仿宋_GB2312" w:cs="仿宋_GB2312"/>
          <w:color w:val="auto"/>
          <w:sz w:val="32"/>
          <w:szCs w:val="32"/>
          <w:highlight w:val="none"/>
          <w:lang w:val="en-US" w:eastAsia="zh-CN"/>
        </w:rPr>
        <w:t>》。</w:t>
      </w:r>
    </w:p>
    <w:p>
      <w:pPr>
        <w:numPr>
          <w:ilvl w:val="2"/>
          <w:numId w:val="0"/>
        </w:numPr>
        <w:spacing w:line="360" w:lineRule="auto"/>
        <w:ind w:left="0" w:leftChars="0" w:firstLine="402" w:firstLineChars="0"/>
        <w:rPr>
          <w:rFonts w:ascii="仿宋_GB2312" w:hAnsi="仿宋_GB2312" w:eastAsia="仿宋_GB2312" w:cs="仿宋_GB2312"/>
          <w:color w:val="auto"/>
          <w:sz w:val="32"/>
          <w:szCs w:val="32"/>
          <w:highlight w:val="none"/>
        </w:rPr>
      </w:pPr>
      <w:r>
        <w:rPr>
          <w:rFonts w:hint="eastAsia" w:ascii="仿宋_GB2312" w:hAnsi="仿宋_GB2312" w:eastAsia="黑体" w:cs="仿宋_GB2312"/>
          <w:color w:val="auto"/>
          <w:kern w:val="2"/>
          <w:sz w:val="32"/>
          <w:szCs w:val="32"/>
          <w:highlight w:val="none"/>
          <w:lang w:val="en-US" w:eastAsia="zh-CN" w:bidi="ar-SA"/>
        </w:rPr>
        <w:t>第七条　</w:t>
      </w:r>
      <w:r>
        <w:rPr>
          <w:rFonts w:hint="eastAsia" w:ascii="仿宋_GB2312" w:hAnsi="仿宋_GB2312" w:eastAsia="仿宋_GB2312" w:cs="仿宋_GB2312"/>
          <w:color w:val="auto"/>
          <w:sz w:val="32"/>
          <w:szCs w:val="32"/>
          <w:highlight w:val="none"/>
        </w:rPr>
        <w:t>审批通过后当日，</w:t>
      </w:r>
      <w:r>
        <w:rPr>
          <w:rFonts w:hint="eastAsia" w:ascii="仿宋_GB2312" w:hAnsi="仿宋_GB2312" w:eastAsia="仿宋_GB2312" w:cs="仿宋_GB2312"/>
          <w:color w:val="auto"/>
          <w:sz w:val="32"/>
          <w:szCs w:val="32"/>
          <w:highlight w:val="none"/>
          <w:lang w:val="en-US" w:eastAsia="zh-CN"/>
        </w:rPr>
        <w:t>区局</w:t>
      </w:r>
      <w:r>
        <w:rPr>
          <w:rFonts w:hint="eastAsia" w:ascii="仿宋_GB2312" w:hAnsi="仿宋_GB2312" w:eastAsia="仿宋_GB2312" w:cs="仿宋_GB2312"/>
          <w:color w:val="auto"/>
          <w:sz w:val="32"/>
          <w:szCs w:val="32"/>
          <w:highlight w:val="none"/>
        </w:rPr>
        <w:t>及时将本季度《云南省昆明市官渡区烟草专卖局烟草制品单元网格零售点合理布局公示表》、《云南省昆明市官渡区烟草专卖局烟草专卖局特殊区域零售点合理布局公示表》及《云南省昆明市官渡区烟草专卖局雪茄烟专营店零售点合理布局公示表》报上一级烟草专卖局备案。</w:t>
      </w:r>
    </w:p>
    <w:p>
      <w:pPr>
        <w:numPr>
          <w:ilvl w:val="2"/>
          <w:numId w:val="0"/>
        </w:numPr>
        <w:spacing w:line="360" w:lineRule="auto"/>
        <w:ind w:left="0" w:leftChars="0" w:firstLine="402" w:firstLineChars="0"/>
        <w:rPr>
          <w:rFonts w:hint="eastAsia" w:ascii="仿宋_GB2312" w:hAnsi="仿宋_GB2312" w:eastAsia="仿宋_GB2312" w:cs="仿宋_GB2312"/>
          <w:color w:val="auto"/>
          <w:sz w:val="32"/>
          <w:szCs w:val="32"/>
          <w:highlight w:val="none"/>
          <w:lang w:eastAsia="zh-CN"/>
        </w:rPr>
      </w:pPr>
      <w:r>
        <w:rPr>
          <w:rFonts w:hint="eastAsia" w:ascii="仿宋_GB2312" w:hAnsi="仿宋_GB2312" w:eastAsia="黑体" w:cs="仿宋_GB2312"/>
          <w:color w:val="auto"/>
          <w:kern w:val="2"/>
          <w:sz w:val="32"/>
          <w:szCs w:val="32"/>
          <w:highlight w:val="none"/>
          <w:lang w:val="en-US" w:eastAsia="zh-CN" w:bidi="ar-SA"/>
        </w:rPr>
        <w:t>第八条　</w:t>
      </w:r>
      <w:r>
        <w:rPr>
          <w:rFonts w:hint="eastAsia" w:ascii="仿宋_GB2312" w:hAnsi="仿宋_GB2312" w:eastAsia="仿宋_GB2312" w:cs="仿宋_GB2312"/>
          <w:color w:val="auto"/>
          <w:sz w:val="32"/>
          <w:szCs w:val="32"/>
          <w:highlight w:val="none"/>
        </w:rPr>
        <w:t>审批通过后三日内，</w:t>
      </w:r>
      <w:r>
        <w:rPr>
          <w:rFonts w:hint="eastAsia" w:ascii="仿宋_GB2312" w:hAnsi="仿宋_GB2312" w:eastAsia="仿宋_GB2312" w:cs="仿宋_GB2312"/>
          <w:color w:val="auto"/>
          <w:sz w:val="32"/>
          <w:szCs w:val="32"/>
          <w:highlight w:val="none"/>
          <w:lang w:val="en-US" w:eastAsia="zh-CN"/>
        </w:rPr>
        <w:t>区</w:t>
      </w:r>
      <w:r>
        <w:rPr>
          <w:rFonts w:hint="eastAsia" w:ascii="仿宋_GB2312" w:hAnsi="仿宋_GB2312" w:eastAsia="仿宋_GB2312" w:cs="仿宋_GB2312"/>
          <w:color w:val="auto"/>
          <w:sz w:val="32"/>
          <w:szCs w:val="32"/>
          <w:highlight w:val="none"/>
        </w:rPr>
        <w:t>局通过政府网站平台、行业网站平台及政务服务大厅</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烟草证件大厅</w:t>
      </w:r>
      <w:r>
        <w:rPr>
          <w:rFonts w:hint="eastAsia" w:ascii="仿宋_GB2312" w:hAnsi="仿宋_GB2312" w:eastAsia="仿宋_GB2312" w:cs="仿宋_GB2312"/>
          <w:color w:val="auto"/>
          <w:sz w:val="32"/>
          <w:szCs w:val="32"/>
          <w:highlight w:val="none"/>
        </w:rPr>
        <w:t>等平台公示《云南省昆明市官渡区烟草专卖局烟草制品单元网格零售点合理布局公示表》、《云南省昆明市官渡区烟草专卖局烟草专卖局特殊区域零售点合理布局公示表》及《云南省昆明市官渡区烟草专卖局雪茄烟专营店零售点合理布局公示表》</w:t>
      </w:r>
      <w:r>
        <w:rPr>
          <w:rFonts w:hint="eastAsia" w:ascii="仿宋_GB2312" w:hAnsi="仿宋_GB2312" w:eastAsia="仿宋_GB2312" w:cs="仿宋_GB2312"/>
          <w:color w:val="auto"/>
          <w:sz w:val="32"/>
          <w:szCs w:val="32"/>
          <w:highlight w:val="none"/>
          <w:lang w:eastAsia="zh-CN"/>
        </w:rPr>
        <w:t>。</w:t>
      </w:r>
    </w:p>
    <w:p>
      <w:pPr>
        <w:numPr>
          <w:ilvl w:val="0"/>
          <w:numId w:val="0"/>
        </w:numPr>
        <w:spacing w:before="312" w:beforeLines="100" w:after="312" w:afterLines="100" w:line="360" w:lineRule="auto"/>
        <w:ind w:left="0" w:leftChars="0" w:firstLine="403" w:firstLineChars="0"/>
        <w:jc w:val="center"/>
        <w:rPr>
          <w:rFonts w:ascii="黑体" w:hAnsi="黑体" w:eastAsia="黑体" w:cs="黑体"/>
          <w:color w:val="auto"/>
          <w:sz w:val="32"/>
          <w:szCs w:val="32"/>
          <w:highlight w:val="none"/>
        </w:rPr>
      </w:pPr>
      <w:r>
        <w:rPr>
          <w:rFonts w:hint="eastAsia" w:ascii="黑体" w:hAnsi="黑体" w:eastAsia="黑体" w:cs="黑体"/>
          <w:color w:val="auto"/>
          <w:kern w:val="2"/>
          <w:sz w:val="32"/>
          <w:szCs w:val="32"/>
          <w:highlight w:val="none"/>
          <w:lang w:val="en-US" w:eastAsia="zh-CN" w:bidi="ar-SA"/>
        </w:rPr>
        <w:t xml:space="preserve">第三章 </w:t>
      </w:r>
      <w:r>
        <w:rPr>
          <w:rFonts w:hint="eastAsia" w:ascii="黑体" w:hAnsi="黑体" w:eastAsia="黑体" w:cs="黑体"/>
          <w:color w:val="auto"/>
          <w:sz w:val="32"/>
          <w:szCs w:val="32"/>
          <w:highlight w:val="none"/>
        </w:rPr>
        <w:t>附则</w:t>
      </w:r>
    </w:p>
    <w:p>
      <w:pPr>
        <w:numPr>
          <w:ilvl w:val="2"/>
          <w:numId w:val="0"/>
        </w:numPr>
        <w:spacing w:line="360" w:lineRule="auto"/>
        <w:ind w:left="0" w:leftChars="0" w:firstLine="402" w:firstLineChars="0"/>
        <w:rPr>
          <w:rFonts w:ascii="楷体" w:hAnsi="楷体" w:eastAsia="楷体" w:cs="楷体"/>
          <w:color w:val="auto"/>
          <w:sz w:val="32"/>
          <w:szCs w:val="32"/>
          <w:highlight w:val="none"/>
        </w:rPr>
      </w:pPr>
      <w:r>
        <w:rPr>
          <w:rFonts w:hint="eastAsia" w:ascii="楷体" w:hAnsi="楷体" w:eastAsia="黑体" w:cs="楷体"/>
          <w:color w:val="auto"/>
          <w:kern w:val="2"/>
          <w:sz w:val="32"/>
          <w:szCs w:val="32"/>
          <w:highlight w:val="none"/>
          <w:lang w:val="en-US" w:eastAsia="zh-CN" w:bidi="ar-SA"/>
        </w:rPr>
        <w:t>第九条　</w:t>
      </w:r>
      <w:r>
        <w:rPr>
          <w:rFonts w:hint="eastAsia" w:ascii="仿宋_GB2312" w:hAnsi="仿宋_GB2312" w:eastAsia="仿宋_GB2312" w:cs="仿宋_GB2312"/>
          <w:color w:val="auto"/>
          <w:sz w:val="32"/>
          <w:szCs w:val="32"/>
          <w:highlight w:val="none"/>
          <w:lang w:val="en-US" w:eastAsia="zh-CN"/>
        </w:rPr>
        <w:t>昆明市</w:t>
      </w:r>
      <w:r>
        <w:rPr>
          <w:rFonts w:hint="eastAsia" w:ascii="仿宋_GB2312" w:hAnsi="仿宋_GB2312" w:eastAsia="仿宋_GB2312" w:cs="仿宋_GB2312"/>
          <w:color w:val="auto"/>
          <w:sz w:val="32"/>
          <w:szCs w:val="32"/>
          <w:highlight w:val="none"/>
        </w:rPr>
        <w:t>烟草专卖局负责监督管理</w:t>
      </w:r>
      <w:r>
        <w:rPr>
          <w:rFonts w:hint="eastAsia" w:ascii="仿宋_GB2312" w:hAnsi="仿宋_GB2312" w:eastAsia="仿宋_GB2312" w:cs="仿宋_GB2312"/>
          <w:color w:val="auto"/>
          <w:sz w:val="32"/>
          <w:szCs w:val="32"/>
          <w:highlight w:val="none"/>
          <w:lang w:val="en-US" w:eastAsia="zh-CN"/>
        </w:rPr>
        <w:t>官渡区</w:t>
      </w:r>
      <w:r>
        <w:rPr>
          <w:rFonts w:hint="eastAsia" w:ascii="仿宋_GB2312" w:hAnsi="仿宋_GB2312" w:eastAsia="仿宋_GB2312" w:cs="仿宋_GB2312"/>
          <w:color w:val="auto"/>
          <w:sz w:val="32"/>
          <w:szCs w:val="32"/>
          <w:highlight w:val="none"/>
        </w:rPr>
        <w:t>烟草专卖局动态调整过程及公示结果的规范性、公正性。每年检查一次</w:t>
      </w:r>
      <w:r>
        <w:rPr>
          <w:rFonts w:hint="eastAsia" w:ascii="仿宋_GB2312" w:hAnsi="仿宋_GB2312" w:eastAsia="仿宋_GB2312" w:cs="仿宋_GB2312"/>
          <w:color w:val="auto"/>
          <w:sz w:val="32"/>
          <w:szCs w:val="32"/>
          <w:highlight w:val="none"/>
          <w:lang w:val="en-US" w:eastAsia="zh-CN"/>
        </w:rPr>
        <w:t>区局</w:t>
      </w:r>
      <w:r>
        <w:rPr>
          <w:rFonts w:hint="eastAsia" w:ascii="仿宋_GB2312" w:hAnsi="仿宋_GB2312" w:eastAsia="仿宋_GB2312" w:cs="仿宋_GB2312"/>
          <w:color w:val="auto"/>
          <w:sz w:val="32"/>
          <w:szCs w:val="32"/>
          <w:highlight w:val="none"/>
        </w:rPr>
        <w:t>的动态调整执行情况。通过核实动态调整的过程性记录信息以及公开公示信息，加强零售点合理布局规划数动态调整的全过程监督。</w:t>
      </w:r>
    </w:p>
    <w:p>
      <w:pPr>
        <w:numPr>
          <w:ilvl w:val="2"/>
          <w:numId w:val="0"/>
        </w:numPr>
        <w:spacing w:line="360" w:lineRule="auto"/>
        <w:ind w:left="0" w:leftChars="0" w:firstLine="402" w:firstLineChars="0"/>
        <w:rPr>
          <w:rFonts w:ascii="仿宋_GB2312" w:hAnsi="仿宋_GB2312" w:eastAsia="仿宋_GB2312" w:cs="仿宋_GB2312"/>
          <w:color w:val="auto"/>
          <w:sz w:val="32"/>
          <w:szCs w:val="32"/>
          <w:highlight w:val="none"/>
        </w:rPr>
      </w:pPr>
      <w:r>
        <w:rPr>
          <w:rFonts w:hint="eastAsia" w:ascii="仿宋_GB2312" w:hAnsi="仿宋_GB2312" w:eastAsia="黑体" w:cs="仿宋_GB2312"/>
          <w:color w:val="auto"/>
          <w:kern w:val="2"/>
          <w:sz w:val="32"/>
          <w:szCs w:val="32"/>
          <w:highlight w:val="none"/>
          <w:lang w:val="en-US" w:eastAsia="zh-CN" w:bidi="ar-SA"/>
        </w:rPr>
        <w:t>第十条　</w:t>
      </w:r>
      <w:r>
        <w:rPr>
          <w:rFonts w:hint="eastAsia" w:ascii="仿宋_GB2312" w:hAnsi="仿宋_GB2312" w:eastAsia="仿宋_GB2312" w:cs="仿宋_GB2312"/>
          <w:color w:val="auto"/>
          <w:sz w:val="32"/>
          <w:szCs w:val="32"/>
          <w:highlight w:val="none"/>
        </w:rPr>
        <w:t>本制度中按照年、月、日计算期间的，开始的当日不计入，自下一日开始计算。均以工作日计算，不含法定节假日。</w:t>
      </w:r>
    </w:p>
    <w:p>
      <w:pPr>
        <w:numPr>
          <w:ilvl w:val="2"/>
          <w:numId w:val="0"/>
        </w:numPr>
        <w:spacing w:line="360" w:lineRule="auto"/>
        <w:ind w:left="0" w:leftChars="0" w:firstLine="402" w:firstLineChars="0"/>
        <w:rPr>
          <w:rFonts w:ascii="仿宋_GB2312" w:hAnsi="仿宋_GB2312" w:eastAsia="仿宋_GB2312" w:cs="仿宋_GB2312"/>
          <w:color w:val="auto"/>
          <w:sz w:val="32"/>
          <w:szCs w:val="32"/>
          <w:highlight w:val="none"/>
        </w:rPr>
      </w:pPr>
      <w:r>
        <w:rPr>
          <w:rFonts w:hint="eastAsia" w:ascii="仿宋_GB2312" w:hAnsi="仿宋_GB2312" w:eastAsia="黑体" w:cs="仿宋_GB2312"/>
          <w:color w:val="auto"/>
          <w:kern w:val="2"/>
          <w:sz w:val="32"/>
          <w:szCs w:val="32"/>
          <w:highlight w:val="none"/>
          <w:lang w:val="en-US" w:eastAsia="zh-CN" w:bidi="ar-SA"/>
        </w:rPr>
        <w:t>第十一条　</w:t>
      </w:r>
      <w:r>
        <w:rPr>
          <w:rFonts w:hint="eastAsia" w:ascii="仿宋_GB2312" w:hAnsi="仿宋_GB2312" w:eastAsia="仿宋_GB2312" w:cs="仿宋_GB2312"/>
          <w:color w:val="auto"/>
          <w:sz w:val="32"/>
          <w:szCs w:val="32"/>
          <w:highlight w:val="none"/>
        </w:rPr>
        <w:t>本制度由云南省</w:t>
      </w:r>
      <w:r>
        <w:rPr>
          <w:rFonts w:hint="eastAsia" w:ascii="仿宋_GB2312" w:hAnsi="仿宋_GB2312" w:eastAsia="仿宋_GB2312" w:cs="仿宋_GB2312"/>
          <w:color w:val="auto"/>
          <w:sz w:val="32"/>
          <w:szCs w:val="32"/>
          <w:highlight w:val="none"/>
          <w:lang w:val="en-US" w:eastAsia="zh-CN"/>
        </w:rPr>
        <w:t>昆明市官渡区</w:t>
      </w:r>
      <w:r>
        <w:rPr>
          <w:rFonts w:hint="eastAsia" w:ascii="仿宋_GB2312" w:hAnsi="仿宋_GB2312" w:eastAsia="仿宋_GB2312" w:cs="仿宋_GB2312"/>
          <w:color w:val="auto"/>
          <w:sz w:val="32"/>
          <w:szCs w:val="32"/>
          <w:highlight w:val="none"/>
        </w:rPr>
        <w:t>烟草专卖局负责解释。</w:t>
      </w:r>
    </w:p>
    <w:p>
      <w:pPr>
        <w:ind w:firstLine="640" w:firstLineChars="200"/>
        <w:rPr>
          <w:rFonts w:ascii="仿宋_GB2312" w:hAnsi="仿宋_GB2312" w:eastAsia="仿宋_GB2312" w:cs="仿宋_GB2312"/>
          <w:color w:val="auto"/>
          <w:spacing w:val="10"/>
          <w:sz w:val="32"/>
          <w:szCs w:val="32"/>
          <w:highlight w:val="none"/>
        </w:rPr>
      </w:pPr>
      <w:r>
        <w:rPr>
          <w:rFonts w:hint="eastAsia" w:ascii="仿宋_GB2312" w:hAnsi="仿宋_GB2312" w:eastAsia="仿宋_GB2312" w:cs="仿宋_GB2312"/>
          <w:color w:val="auto"/>
          <w:sz w:val="32"/>
          <w:szCs w:val="32"/>
          <w:highlight w:val="none"/>
        </w:rPr>
        <w:t>本制度自《云南省</w:t>
      </w:r>
      <w:r>
        <w:rPr>
          <w:rFonts w:hint="eastAsia" w:ascii="仿宋_GB2312" w:hAnsi="仿宋_GB2312" w:eastAsia="仿宋_GB2312" w:cs="仿宋_GB2312"/>
          <w:color w:val="auto"/>
          <w:sz w:val="32"/>
          <w:szCs w:val="32"/>
          <w:highlight w:val="none"/>
          <w:lang w:val="en-US" w:eastAsia="zh-CN"/>
        </w:rPr>
        <w:t>昆明市官渡区烟草专卖局</w:t>
      </w:r>
      <w:r>
        <w:rPr>
          <w:rFonts w:hint="eastAsia" w:ascii="仿宋_GB2312" w:hAnsi="仿宋_GB2312" w:eastAsia="仿宋_GB2312" w:cs="仿宋_GB2312"/>
          <w:color w:val="auto"/>
          <w:sz w:val="32"/>
          <w:szCs w:val="32"/>
          <w:highlight w:val="none"/>
        </w:rPr>
        <w:t>烟草制品零售点合理布局规划》实施之日起同时施行。</w:t>
      </w:r>
    </w:p>
    <w:p>
      <w:pPr>
        <w:rPr>
          <w:color w:val="auto"/>
          <w:highlight w:val="none"/>
        </w:rPr>
      </w:pPr>
    </w:p>
    <w:p>
      <w:pPr>
        <w:pStyle w:val="19"/>
        <w:rPr>
          <w:rFonts w:eastAsiaTheme="minorEastAsia"/>
          <w:color w:val="auto"/>
          <w:highlight w:val="none"/>
        </w:rPr>
      </w:pPr>
    </w:p>
    <w:p>
      <w:pPr>
        <w:rPr>
          <w:color w:val="auto"/>
          <w:highlight w:val="none"/>
        </w:rPr>
      </w:pPr>
    </w:p>
    <w:p>
      <w:pPr>
        <w:pStyle w:val="19"/>
        <w:rPr>
          <w:color w:val="auto"/>
          <w:highlight w:val="none"/>
        </w:rPr>
      </w:pPr>
    </w:p>
    <w:bookmarkEnd w:id="2"/>
    <w:sectPr>
      <w:pgSz w:w="11906" w:h="16838"/>
      <w:pgMar w:top="1985" w:right="1531" w:bottom="1985"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534035" cy="23050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534035" cy="230505"/>
                      </a:xfrm>
                      <a:prstGeom prst="rect">
                        <a:avLst/>
                      </a:prstGeom>
                      <a:noFill/>
                      <a:ln w="6350">
                        <a:noFill/>
                      </a:ln>
                    </wps:spPr>
                    <wps:txbx>
                      <w:txbxContent>
                        <w:p>
                          <w:pPr>
                            <w:pStyle w:val="13"/>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29</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8.15pt;width:42.05pt;mso-position-horizontal:right;mso-position-horizontal-relative:margin;mso-wrap-style:none;z-index:251660288;mso-width-relative:page;mso-height-relative:page;" filled="f" stroked="f" coordsize="21600,21600" o:gfxdata="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z1NB0gAAAAMBAAAPAAAAAAAAAAEAIAAAACIAAABkcnMvZG93bnJldi54bWxQSwECFAAU&#10;AAAACACHTuJATxIdWzACAABVBAAADgAAAAAAAAABACAAAAAhAQAAZHJzL2Uyb0RvYy54bWxQSwUG&#10;AAAAAAYABgBZAQAAwwUAAAAA&#10;">
              <v:fill on="f" focussize="0,0"/>
              <v:stroke on="f" weight="0.5pt"/>
              <v:imagedata o:title=""/>
              <o:lock v:ext="edit" aspectratio="f"/>
              <v:textbox inset="0mm,0mm,0mm,0mm" style="mso-fit-shape-to-text:t;">
                <w:txbxContent>
                  <w:p>
                    <w:pPr>
                      <w:pStyle w:val="13"/>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29</w:t>
                    </w:r>
                    <w:r>
                      <w:rPr>
                        <w:rFonts w:hint="eastAsia" w:ascii="宋体" w:hAnsi="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0</wp:posOffset>
              </wp:positionV>
              <wp:extent cx="445135" cy="230505"/>
              <wp:effectExtent l="0" t="0" r="0" b="0"/>
              <wp:wrapNone/>
              <wp:docPr id="1" name="矩形 1"/>
              <wp:cNvGraphicFramePr/>
              <a:graphic xmlns:a="http://schemas.openxmlformats.org/drawingml/2006/main">
                <a:graphicData uri="http://schemas.microsoft.com/office/word/2010/wordprocessingShape">
                  <wps:wsp>
                    <wps:cNvSpPr/>
                    <wps:spPr>
                      <a:xfrm>
                        <a:off x="0" y="0"/>
                        <a:ext cx="445135" cy="230505"/>
                      </a:xfrm>
                      <a:prstGeom prst="rect">
                        <a:avLst/>
                      </a:prstGeom>
                      <a:ln>
                        <a:noFill/>
                      </a:ln>
                    </wps:spPr>
                    <wps:txbx>
                      <w:txbxContent>
                        <w:p>
                          <w:pPr>
                            <w:pStyle w:val="13"/>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- 8 -</w:t>
                          </w:r>
                          <w:r>
                            <w:rPr>
                              <w:rFonts w:hint="eastAsia" w:ascii="仿宋_GB2312" w:hAnsi="仿宋_GB2312" w:eastAsia="仿宋_GB2312" w:cs="仿宋_GB2312"/>
                              <w:sz w:val="28"/>
                              <w:szCs w:val="28"/>
                            </w:rP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8.15pt;width:35.05pt;mso-position-horizontal:outside;mso-position-horizontal-relative:margin;mso-wrap-style:none;z-index:251659264;mso-width-relative:page;mso-height-relative:page;" filled="f" stroked="f" coordsize="21600,21600" o:gfxdata="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slI2s0gAAAAMBAAAPAAAAAAAAAAEAIAAAACIAAABkcnMvZG93bnJldi54&#10;bWxQSwECFAAUAAAACACHTuJA3ItDhccBAACKAwAADgAAAAAAAAABACAAAAAhAQAAZHJzL2Uyb0Rv&#10;Yy54bWxQSwUGAAAAAAYABgBZAQAAWgUAAAAA&#10;">
              <v:fill on="f" focussize="0,0"/>
              <v:stroke on="f"/>
              <v:imagedata o:title=""/>
              <o:lock v:ext="edit" aspectratio="f"/>
              <v:textbox inset="0mm,0mm,0mm,0mm" style="mso-fit-shape-to-text:t;">
                <w:txbxContent>
                  <w:p>
                    <w:pPr>
                      <w:pStyle w:val="13"/>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- 8 -</w:t>
                    </w:r>
                    <w:r>
                      <w:rPr>
                        <w:rFonts w:hint="eastAsia" w:ascii="仿宋_GB2312" w:hAnsi="仿宋_GB2312" w:eastAsia="仿宋_GB2312" w:cs="仿宋_GB2312"/>
                        <w:sz w:val="28"/>
                        <w:szCs w:val="28"/>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0</wp:posOffset>
              </wp:positionV>
              <wp:extent cx="445135" cy="230505"/>
              <wp:effectExtent l="0" t="0" r="0" b="0"/>
              <wp:wrapNone/>
              <wp:docPr id="22" name="矩形 22"/>
              <wp:cNvGraphicFramePr/>
              <a:graphic xmlns:a="http://schemas.openxmlformats.org/drawingml/2006/main">
                <a:graphicData uri="http://schemas.microsoft.com/office/word/2010/wordprocessingShape">
                  <wps:wsp>
                    <wps:cNvSpPr/>
                    <wps:spPr>
                      <a:xfrm>
                        <a:off x="0" y="0"/>
                        <a:ext cx="445135" cy="230505"/>
                      </a:xfrm>
                      <a:prstGeom prst="rect">
                        <a:avLst/>
                      </a:prstGeom>
                      <a:ln>
                        <a:noFill/>
                      </a:ln>
                    </wps:spPr>
                    <wps:txbx>
                      <w:txbxContent>
                        <w:p>
                          <w:pPr>
                            <w:pStyle w:val="13"/>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- 8 -</w:t>
                          </w:r>
                          <w:r>
                            <w:rPr>
                              <w:rFonts w:hint="eastAsia" w:ascii="仿宋_GB2312" w:hAnsi="仿宋_GB2312" w:eastAsia="仿宋_GB2312" w:cs="仿宋_GB2312"/>
                              <w:sz w:val="28"/>
                              <w:szCs w:val="28"/>
                            </w:rP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8.15pt;width:35.05pt;mso-position-horizontal:outside;mso-position-horizontal-relative:margin;mso-wrap-style:none;z-index:251659264;mso-width-relative:page;mso-height-relative:page;" filled="f" stroked="f" coordsize="21600,21600" o:gfxdata="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7JSNrNIAAAADAQAADwAAAAAAAAABACAAAAAiAAAAZHJzL2Rvd25yZXYu&#10;eG1sUEsBAhQAFAAAAAgAh07iQDsTWMfIAQAAjAMAAA4AAAAAAAAAAQAgAAAAIQEAAGRycy9lMm9E&#10;b2MueG1sUEsFBgAAAAAGAAYAWQEAAFsFAAAAAA==&#10;">
              <v:fill on="f" focussize="0,0"/>
              <v:stroke on="f"/>
              <v:imagedata o:title=""/>
              <o:lock v:ext="edit" aspectratio="f"/>
              <v:textbox inset="0mm,0mm,0mm,0mm" style="mso-fit-shape-to-text:t;">
                <w:txbxContent>
                  <w:p>
                    <w:pPr>
                      <w:pStyle w:val="13"/>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- 8 -</w:t>
                    </w:r>
                    <w:r>
                      <w:rPr>
                        <w:rFonts w:hint="eastAsia" w:ascii="仿宋_GB2312" w:hAnsi="仿宋_GB2312" w:eastAsia="仿宋_GB2312" w:cs="仿宋_GB2312"/>
                        <w:sz w:val="28"/>
                        <w:szCs w:val="28"/>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0</wp:posOffset>
              </wp:positionV>
              <wp:extent cx="445135" cy="230505"/>
              <wp:effectExtent l="0" t="0" r="0" b="0"/>
              <wp:wrapNone/>
              <wp:docPr id="4097" name="矩形 4097"/>
              <wp:cNvGraphicFramePr/>
              <a:graphic xmlns:a="http://schemas.openxmlformats.org/drawingml/2006/main">
                <a:graphicData uri="http://schemas.microsoft.com/office/word/2010/wordprocessingShape">
                  <wps:wsp>
                    <wps:cNvSpPr/>
                    <wps:spPr>
                      <a:xfrm>
                        <a:off x="0" y="0"/>
                        <a:ext cx="445135" cy="230505"/>
                      </a:xfrm>
                      <a:prstGeom prst="rect">
                        <a:avLst/>
                      </a:prstGeom>
                      <a:ln>
                        <a:noFill/>
                      </a:ln>
                    </wps:spPr>
                    <wps:txbx>
                      <w:txbxContent>
                        <w:p>
                          <w:pPr>
                            <w:pStyle w:val="13"/>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- 8 -</w:t>
                          </w:r>
                          <w:r>
                            <w:rPr>
                              <w:rFonts w:hint="eastAsia" w:ascii="仿宋_GB2312" w:hAnsi="仿宋_GB2312" w:eastAsia="仿宋_GB2312" w:cs="仿宋_GB2312"/>
                              <w:sz w:val="28"/>
                              <w:szCs w:val="28"/>
                            </w:rP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8.15pt;width:35.05pt;mso-position-horizontal:outside;mso-position-horizontal-relative:margin;mso-wrap-style:none;z-index:251659264;mso-width-relative:page;mso-height-relative:page;" filled="f" stroked="f" coordsize="21600,21600" o:gfxdata="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7JSNrNIAAAADAQAADwAAAAAAAAABACAAAAAiAAAAZHJzL2Rvd25y&#10;ZXYueG1sUEsBAhQAFAAAAAgAh07iQAPnkKDLAQAAkAMAAA4AAAAAAAAAAQAgAAAAIQEAAGRycy9l&#10;Mm9Eb2MueG1sUEsFBgAAAAAGAAYAWQEAAF4FAAAAAA==&#10;">
              <v:fill on="f" focussize="0,0"/>
              <v:stroke on="f"/>
              <v:imagedata o:title=""/>
              <o:lock v:ext="edit" aspectratio="f"/>
              <v:textbox inset="0mm,0mm,0mm,0mm" style="mso-fit-shape-to-text:t;">
                <w:txbxContent>
                  <w:p>
                    <w:pPr>
                      <w:pStyle w:val="13"/>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- 8 -</w:t>
                    </w:r>
                    <w:r>
                      <w:rPr>
                        <w:rFonts w:hint="eastAsia" w:ascii="仿宋_GB2312" w:hAnsi="仿宋_GB2312" w:eastAsia="仿宋_GB2312" w:cs="仿宋_GB2312"/>
                        <w:sz w:val="28"/>
                        <w:szCs w:val="28"/>
                      </w:rPr>
                      <w:fldChar w:fldCharType="end"/>
                    </w:r>
                  </w:p>
                </w:txbxContent>
              </v:textbox>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M1OGRiYzljZWVjN2IwMmQ5NmNhNDYzODc1NjhjMzgifQ=="/>
  </w:docVars>
  <w:rsids>
    <w:rsidRoot w:val="00171658"/>
    <w:rsid w:val="000927F4"/>
    <w:rsid w:val="00171658"/>
    <w:rsid w:val="001F7FC6"/>
    <w:rsid w:val="003100E1"/>
    <w:rsid w:val="004946E3"/>
    <w:rsid w:val="00535689"/>
    <w:rsid w:val="005C41A3"/>
    <w:rsid w:val="006947D1"/>
    <w:rsid w:val="00887925"/>
    <w:rsid w:val="00985527"/>
    <w:rsid w:val="00A05E95"/>
    <w:rsid w:val="00A81B05"/>
    <w:rsid w:val="00A97F75"/>
    <w:rsid w:val="00C0392C"/>
    <w:rsid w:val="00C138F6"/>
    <w:rsid w:val="00CB51C5"/>
    <w:rsid w:val="00CF4575"/>
    <w:rsid w:val="00D0656E"/>
    <w:rsid w:val="00FA27EF"/>
    <w:rsid w:val="00FE20F1"/>
    <w:rsid w:val="1215402E"/>
    <w:rsid w:val="2AF60D61"/>
    <w:rsid w:val="31C40F7F"/>
    <w:rsid w:val="34DB137A"/>
    <w:rsid w:val="43C02A48"/>
    <w:rsid w:val="44233331"/>
    <w:rsid w:val="458517FB"/>
    <w:rsid w:val="470B6A19"/>
    <w:rsid w:val="55C801A0"/>
    <w:rsid w:val="65A37618"/>
    <w:rsid w:val="6CB5200D"/>
    <w:rsid w:val="70E705ED"/>
    <w:rsid w:val="74915493"/>
    <w:rsid w:val="794539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uiPriority="99"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before="480" w:after="80"/>
      <w:outlineLvl w:val="0"/>
    </w:pPr>
    <w:rPr>
      <w:rFonts w:asciiTheme="majorHAnsi" w:hAnsiTheme="majorHAnsi" w:eastAsiaTheme="majorEastAsia" w:cstheme="majorBidi"/>
      <w:color w:val="2E75B6" w:themeColor="accent1" w:themeShade="BF"/>
      <w:sz w:val="48"/>
      <w:szCs w:val="48"/>
    </w:rPr>
  </w:style>
  <w:style w:type="paragraph" w:styleId="3">
    <w:name w:val="heading 2"/>
    <w:basedOn w:val="1"/>
    <w:next w:val="1"/>
    <w:link w:val="21"/>
    <w:semiHidden/>
    <w:unhideWhenUsed/>
    <w:qFormat/>
    <w:uiPriority w:val="9"/>
    <w:pPr>
      <w:keepNext/>
      <w:keepLines/>
      <w:spacing w:before="160" w:after="80"/>
      <w:outlineLvl w:val="1"/>
    </w:pPr>
    <w:rPr>
      <w:rFonts w:asciiTheme="majorHAnsi" w:hAnsiTheme="majorHAnsi" w:eastAsiaTheme="majorEastAsia" w:cstheme="majorBidi"/>
      <w:color w:val="2E75B6" w:themeColor="accent1" w:themeShade="BF"/>
      <w:sz w:val="40"/>
      <w:szCs w:val="40"/>
    </w:rPr>
  </w:style>
  <w:style w:type="paragraph" w:styleId="4">
    <w:name w:val="heading 3"/>
    <w:basedOn w:val="1"/>
    <w:next w:val="1"/>
    <w:link w:val="22"/>
    <w:semiHidden/>
    <w:unhideWhenUsed/>
    <w:qFormat/>
    <w:uiPriority w:val="9"/>
    <w:pPr>
      <w:keepNext/>
      <w:keepLines/>
      <w:spacing w:before="160" w:after="80"/>
      <w:outlineLvl w:val="2"/>
    </w:pPr>
    <w:rPr>
      <w:rFonts w:asciiTheme="majorHAnsi" w:hAnsiTheme="majorHAnsi" w:eastAsiaTheme="majorEastAsia" w:cstheme="majorBidi"/>
      <w:color w:val="2E75B6" w:themeColor="accent1" w:themeShade="BF"/>
      <w:sz w:val="32"/>
      <w:szCs w:val="32"/>
    </w:rPr>
  </w:style>
  <w:style w:type="paragraph" w:styleId="5">
    <w:name w:val="heading 4"/>
    <w:basedOn w:val="1"/>
    <w:next w:val="1"/>
    <w:link w:val="23"/>
    <w:semiHidden/>
    <w:unhideWhenUsed/>
    <w:qFormat/>
    <w:uiPriority w:val="9"/>
    <w:pPr>
      <w:keepNext/>
      <w:keepLines/>
      <w:spacing w:before="80" w:after="40"/>
      <w:outlineLvl w:val="3"/>
    </w:pPr>
    <w:rPr>
      <w:rFonts w:cstheme="majorBidi"/>
      <w:color w:val="2E75B6" w:themeColor="accent1" w:themeShade="BF"/>
      <w:sz w:val="28"/>
      <w:szCs w:val="28"/>
    </w:rPr>
  </w:style>
  <w:style w:type="paragraph" w:styleId="6">
    <w:name w:val="heading 5"/>
    <w:basedOn w:val="1"/>
    <w:next w:val="1"/>
    <w:link w:val="24"/>
    <w:semiHidden/>
    <w:unhideWhenUsed/>
    <w:qFormat/>
    <w:uiPriority w:val="9"/>
    <w:pPr>
      <w:keepNext/>
      <w:keepLines/>
      <w:spacing w:before="80" w:after="40"/>
      <w:outlineLvl w:val="4"/>
    </w:pPr>
    <w:rPr>
      <w:rFonts w:cstheme="majorBidi"/>
      <w:color w:val="2E75B6" w:themeColor="accent1" w:themeShade="BF"/>
      <w:sz w:val="24"/>
      <w:szCs w:val="24"/>
    </w:rPr>
  </w:style>
  <w:style w:type="paragraph" w:styleId="7">
    <w:name w:val="heading 6"/>
    <w:basedOn w:val="1"/>
    <w:next w:val="1"/>
    <w:link w:val="25"/>
    <w:semiHidden/>
    <w:unhideWhenUsed/>
    <w:qFormat/>
    <w:uiPriority w:val="9"/>
    <w:pPr>
      <w:keepNext/>
      <w:keepLines/>
      <w:spacing w:before="40"/>
      <w:outlineLvl w:val="5"/>
    </w:pPr>
    <w:rPr>
      <w:rFonts w:cstheme="majorBidi"/>
      <w:b/>
      <w:bCs/>
      <w:color w:val="2E75B6" w:themeColor="accent1" w:themeShade="BF"/>
    </w:rPr>
  </w:style>
  <w:style w:type="paragraph" w:styleId="8">
    <w:name w:val="heading 7"/>
    <w:basedOn w:val="1"/>
    <w:next w:val="1"/>
    <w:link w:val="26"/>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7"/>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8"/>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8">
    <w:name w:val="Default Paragraph Font"/>
    <w:semiHidden/>
    <w:unhideWhenUsed/>
    <w:qFormat/>
    <w:uiPriority w:val="1"/>
  </w:style>
  <w:style w:type="table" w:default="1" w:styleId="1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annotation text"/>
    <w:basedOn w:val="1"/>
    <w:unhideWhenUsed/>
    <w:qFormat/>
    <w:uiPriority w:val="99"/>
    <w:pPr>
      <w:jc w:val="left"/>
    </w:pPr>
  </w:style>
  <w:style w:type="paragraph" w:styleId="12">
    <w:name w:val="Body Text"/>
    <w:basedOn w:val="1"/>
    <w:unhideWhenUsed/>
    <w:qFormat/>
    <w:uiPriority w:val="0"/>
    <w:pPr>
      <w:spacing w:after="120"/>
    </w:pPr>
  </w:style>
  <w:style w:type="paragraph" w:styleId="13">
    <w:name w:val="footer"/>
    <w:basedOn w:val="1"/>
    <w:qFormat/>
    <w:uiPriority w:val="0"/>
    <w:pPr>
      <w:tabs>
        <w:tab w:val="center" w:pos="4153"/>
        <w:tab w:val="right" w:pos="8306"/>
      </w:tabs>
      <w:snapToGrid w:val="0"/>
      <w:jc w:val="left"/>
    </w:pPr>
    <w:rPr>
      <w:sz w:val="18"/>
    </w:rPr>
  </w:style>
  <w:style w:type="paragraph" w:styleId="14">
    <w:name w:val="Subtitle"/>
    <w:basedOn w:val="1"/>
    <w:next w:val="1"/>
    <w:link w:val="30"/>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HTML Preformatted"/>
    <w:basedOn w:val="1"/>
    <w:link w:val="38"/>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16">
    <w:name w:val="Title"/>
    <w:basedOn w:val="1"/>
    <w:next w:val="1"/>
    <w:link w:val="29"/>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customStyle="1" w:styleId="19">
    <w:name w:val="Default"/>
    <w:qFormat/>
    <w:uiPriority w:val="0"/>
    <w:pPr>
      <w:widowControl w:val="0"/>
      <w:autoSpaceDE w:val="0"/>
      <w:autoSpaceDN w:val="0"/>
      <w:adjustRightInd w:val="0"/>
    </w:pPr>
    <w:rPr>
      <w:rFonts w:ascii="宋体" w:hAnsi="Times New Roman" w:eastAsia="Times New Roman" w:cs="宋体"/>
      <w:color w:val="000000"/>
      <w:kern w:val="0"/>
      <w:sz w:val="24"/>
      <w:szCs w:val="24"/>
      <w:lang w:val="en-US" w:eastAsia="zh-CN" w:bidi="ar-SA"/>
    </w:rPr>
  </w:style>
  <w:style w:type="character" w:customStyle="1" w:styleId="20">
    <w:name w:val="标题 1 字符"/>
    <w:basedOn w:val="18"/>
    <w:link w:val="2"/>
    <w:qFormat/>
    <w:uiPriority w:val="9"/>
    <w:rPr>
      <w:rFonts w:asciiTheme="majorHAnsi" w:hAnsiTheme="majorHAnsi" w:eastAsiaTheme="majorEastAsia" w:cstheme="majorBidi"/>
      <w:color w:val="2E75B6" w:themeColor="accent1" w:themeShade="BF"/>
      <w:sz w:val="48"/>
      <w:szCs w:val="48"/>
    </w:rPr>
  </w:style>
  <w:style w:type="character" w:customStyle="1" w:styleId="21">
    <w:name w:val="标题 2 字符"/>
    <w:basedOn w:val="18"/>
    <w:link w:val="3"/>
    <w:semiHidden/>
    <w:qFormat/>
    <w:uiPriority w:val="9"/>
    <w:rPr>
      <w:rFonts w:asciiTheme="majorHAnsi" w:hAnsiTheme="majorHAnsi" w:eastAsiaTheme="majorEastAsia" w:cstheme="majorBidi"/>
      <w:color w:val="2E75B6" w:themeColor="accent1" w:themeShade="BF"/>
      <w:sz w:val="40"/>
      <w:szCs w:val="40"/>
    </w:rPr>
  </w:style>
  <w:style w:type="character" w:customStyle="1" w:styleId="22">
    <w:name w:val="标题 3 字符"/>
    <w:basedOn w:val="18"/>
    <w:link w:val="4"/>
    <w:semiHidden/>
    <w:qFormat/>
    <w:uiPriority w:val="9"/>
    <w:rPr>
      <w:rFonts w:asciiTheme="majorHAnsi" w:hAnsiTheme="majorHAnsi" w:eastAsiaTheme="majorEastAsia" w:cstheme="majorBidi"/>
      <w:color w:val="2E75B6" w:themeColor="accent1" w:themeShade="BF"/>
      <w:sz w:val="32"/>
      <w:szCs w:val="32"/>
    </w:rPr>
  </w:style>
  <w:style w:type="character" w:customStyle="1" w:styleId="23">
    <w:name w:val="标题 4 字符"/>
    <w:basedOn w:val="18"/>
    <w:link w:val="5"/>
    <w:semiHidden/>
    <w:qFormat/>
    <w:uiPriority w:val="9"/>
    <w:rPr>
      <w:rFonts w:cstheme="majorBidi"/>
      <w:color w:val="2E75B6" w:themeColor="accent1" w:themeShade="BF"/>
      <w:sz w:val="28"/>
      <w:szCs w:val="28"/>
    </w:rPr>
  </w:style>
  <w:style w:type="character" w:customStyle="1" w:styleId="24">
    <w:name w:val="标题 5 字符"/>
    <w:basedOn w:val="18"/>
    <w:link w:val="6"/>
    <w:semiHidden/>
    <w:qFormat/>
    <w:uiPriority w:val="9"/>
    <w:rPr>
      <w:rFonts w:cstheme="majorBidi"/>
      <w:color w:val="2E75B6" w:themeColor="accent1" w:themeShade="BF"/>
      <w:sz w:val="24"/>
      <w:szCs w:val="24"/>
    </w:rPr>
  </w:style>
  <w:style w:type="character" w:customStyle="1" w:styleId="25">
    <w:name w:val="标题 6 字符"/>
    <w:basedOn w:val="18"/>
    <w:link w:val="7"/>
    <w:semiHidden/>
    <w:qFormat/>
    <w:uiPriority w:val="9"/>
    <w:rPr>
      <w:rFonts w:cstheme="majorBidi"/>
      <w:b/>
      <w:bCs/>
      <w:color w:val="2E75B6" w:themeColor="accent1" w:themeShade="BF"/>
    </w:rPr>
  </w:style>
  <w:style w:type="character" w:customStyle="1" w:styleId="26">
    <w:name w:val="标题 7 字符"/>
    <w:basedOn w:val="18"/>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7">
    <w:name w:val="标题 8 字符"/>
    <w:basedOn w:val="18"/>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8">
    <w:name w:val="标题 9 字符"/>
    <w:basedOn w:val="18"/>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9">
    <w:name w:val="标题 字符"/>
    <w:basedOn w:val="18"/>
    <w:link w:val="16"/>
    <w:qFormat/>
    <w:uiPriority w:val="10"/>
    <w:rPr>
      <w:rFonts w:asciiTheme="majorHAnsi" w:hAnsiTheme="majorHAnsi" w:eastAsiaTheme="majorEastAsia" w:cstheme="majorBidi"/>
      <w:spacing w:val="-10"/>
      <w:kern w:val="28"/>
      <w:sz w:val="56"/>
      <w:szCs w:val="56"/>
    </w:rPr>
  </w:style>
  <w:style w:type="character" w:customStyle="1" w:styleId="30">
    <w:name w:val="副标题 字符"/>
    <w:basedOn w:val="18"/>
    <w:link w:val="14"/>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1">
    <w:name w:val="Quote"/>
    <w:basedOn w:val="1"/>
    <w:next w:val="1"/>
    <w:link w:val="32"/>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2">
    <w:name w:val="引用 字符"/>
    <w:basedOn w:val="18"/>
    <w:link w:val="31"/>
    <w:qFormat/>
    <w:uiPriority w:val="29"/>
    <w:rPr>
      <w:i/>
      <w:iCs/>
      <w:color w:val="404040" w:themeColor="text1" w:themeTint="BF"/>
      <w14:textFill>
        <w14:solidFill>
          <w14:schemeClr w14:val="tx1">
            <w14:lumMod w14:val="75000"/>
            <w14:lumOff w14:val="25000"/>
          </w14:schemeClr>
        </w14:solidFill>
      </w14:textFill>
    </w:rPr>
  </w:style>
  <w:style w:type="paragraph" w:styleId="33">
    <w:name w:val="List Paragraph"/>
    <w:basedOn w:val="1"/>
    <w:qFormat/>
    <w:uiPriority w:val="34"/>
    <w:pPr>
      <w:ind w:left="720"/>
      <w:contextualSpacing/>
    </w:pPr>
  </w:style>
  <w:style w:type="character" w:customStyle="1" w:styleId="34">
    <w:name w:val="Intense Emphasis"/>
    <w:basedOn w:val="18"/>
    <w:qFormat/>
    <w:uiPriority w:val="21"/>
    <w:rPr>
      <w:i/>
      <w:iCs/>
      <w:color w:val="2E75B6" w:themeColor="accent1" w:themeShade="BF"/>
    </w:rPr>
  </w:style>
  <w:style w:type="paragraph" w:styleId="35">
    <w:name w:val="Intense Quote"/>
    <w:basedOn w:val="1"/>
    <w:next w:val="1"/>
    <w:link w:val="36"/>
    <w:qFormat/>
    <w:uiPriority w:val="30"/>
    <w:pPr>
      <w:pBdr>
        <w:top w:val="single" w:color="2E75B5" w:themeColor="accent1" w:themeShade="BF" w:sz="4" w:space="10"/>
        <w:bottom w:val="single" w:color="2E75B5" w:themeColor="accent1" w:themeShade="BF" w:sz="4" w:space="10"/>
      </w:pBdr>
      <w:spacing w:before="360" w:after="360"/>
      <w:ind w:left="864" w:right="864"/>
      <w:jc w:val="center"/>
    </w:pPr>
    <w:rPr>
      <w:i/>
      <w:iCs/>
      <w:color w:val="2E75B6" w:themeColor="accent1" w:themeShade="BF"/>
    </w:rPr>
  </w:style>
  <w:style w:type="character" w:customStyle="1" w:styleId="36">
    <w:name w:val="明显引用 字符"/>
    <w:basedOn w:val="18"/>
    <w:link w:val="35"/>
    <w:qFormat/>
    <w:uiPriority w:val="30"/>
    <w:rPr>
      <w:i/>
      <w:iCs/>
      <w:color w:val="2E75B6" w:themeColor="accent1" w:themeShade="BF"/>
    </w:rPr>
  </w:style>
  <w:style w:type="character" w:customStyle="1" w:styleId="37">
    <w:name w:val="Intense Reference"/>
    <w:basedOn w:val="18"/>
    <w:qFormat/>
    <w:uiPriority w:val="32"/>
    <w:rPr>
      <w:b/>
      <w:bCs/>
      <w:smallCaps/>
      <w:color w:val="2E75B6" w:themeColor="accent1" w:themeShade="BF"/>
      <w:spacing w:val="5"/>
    </w:rPr>
  </w:style>
  <w:style w:type="character" w:customStyle="1" w:styleId="38">
    <w:name w:val="HTML 预设格式 字符"/>
    <w:basedOn w:val="18"/>
    <w:link w:val="15"/>
    <w:semiHidden/>
    <w:qFormat/>
    <w:uiPriority w:val="99"/>
    <w:rPr>
      <w:rFonts w:ascii="宋体" w:hAnsi="宋体" w:eastAsia="宋体" w:cs="宋体"/>
      <w:kern w:val="0"/>
      <w:sz w:val="24"/>
      <w:szCs w:val="24"/>
    </w:rPr>
  </w:style>
  <w:style w:type="character" w:customStyle="1" w:styleId="39">
    <w:name w:val="font11"/>
    <w:basedOn w:val="18"/>
    <w:autoRedefine/>
    <w:qFormat/>
    <w:uiPriority w:val="0"/>
    <w:rPr>
      <w:rFonts w:hint="eastAsia" w:ascii="宋体" w:hAnsi="宋体" w:eastAsia="宋体" w:cs="宋体"/>
      <w:b/>
      <w:bCs/>
      <w:color w:val="000000"/>
      <w:sz w:val="24"/>
      <w:szCs w:val="24"/>
      <w:u w:val="none"/>
    </w:rPr>
  </w:style>
  <w:style w:type="character" w:customStyle="1" w:styleId="40">
    <w:name w:val="font21"/>
    <w:basedOn w:val="18"/>
    <w:autoRedefine/>
    <w:qFormat/>
    <w:uiPriority w:val="0"/>
    <w:rPr>
      <w:rFonts w:hint="eastAsia" w:ascii="宋体" w:hAnsi="宋体" w:eastAsia="宋体" w:cs="宋体"/>
      <w:b/>
      <w:bCs/>
      <w:color w:val="000000"/>
      <w:sz w:val="24"/>
      <w:szCs w:val="24"/>
      <w:u w:val="single"/>
    </w:rPr>
  </w:style>
  <w:style w:type="character" w:customStyle="1" w:styleId="41">
    <w:name w:val="16"/>
    <w:basedOn w:val="18"/>
    <w:uiPriority w:val="0"/>
    <w:rPr>
      <w:rFonts w:hint="eastAsia" w:ascii="宋体" w:hAnsi="宋体" w:eastAsia="宋体" w:cs="宋体"/>
      <w:b/>
      <w:bCs/>
      <w:color w:val="000000"/>
      <w:sz w:val="24"/>
      <w:szCs w:val="24"/>
    </w:rPr>
  </w:style>
  <w:style w:type="character" w:customStyle="1" w:styleId="42">
    <w:name w:val="15"/>
    <w:basedOn w:val="18"/>
    <w:uiPriority w:val="0"/>
    <w:rPr>
      <w:rFonts w:hint="eastAsia" w:ascii="宋体" w:hAnsi="宋体" w:eastAsia="宋体" w:cs="宋体"/>
      <w:b/>
      <w:bCs/>
      <w:color w:val="000000"/>
      <w:sz w:val="24"/>
      <w:szCs w:val="24"/>
      <w:u w:val="single"/>
    </w:rPr>
  </w:style>
  <w:style w:type="character" w:customStyle="1" w:styleId="43">
    <w:name w:val="10"/>
    <w:basedOn w:val="18"/>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40</Pages>
  <Words>12691</Words>
  <Characters>12879</Characters>
  <Lines>1</Lines>
  <Paragraphs>1</Paragraphs>
  <TotalTime>7</TotalTime>
  <ScaleCrop>false</ScaleCrop>
  <LinksUpToDate>false</LinksUpToDate>
  <CharactersWithSpaces>13304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2024-05-30T06:01:00Z</dcterms:created>
  <dc:creator>联迪</dc:creator>
  <cp:lastModifiedBy>清风</cp:lastModifiedBy>
  <cp:lastPrinted>2024-06-12T03:49:00Z</cp:lastPrinted>
  <dcterms:modified xsi:type="dcterms:W3CDTF">2024-07-03T02:49:05Z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BB3161B2CE5B4B7289892C82B3B13654_13</vt:lpwstr>
  </property>
</Properties>
</file>