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昆明市官渡区医疗保障局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lang w:val="en-US" w:eastAsia="zh-CN"/>
        </w:rPr>
      </w:pPr>
      <w:bookmarkStart w:id="0" w:name="_GoBack"/>
      <w:r>
        <w:rPr>
          <w:rFonts w:hint="eastAsia" w:ascii="方正小标宋_GBK" w:hAnsi="方正小标宋_GBK" w:eastAsia="方正小标宋_GBK" w:cs="方正小标宋_GBK"/>
          <w:sz w:val="44"/>
          <w:szCs w:val="44"/>
          <w:lang w:val="en-US" w:eastAsia="zh-CN"/>
        </w:rPr>
        <w:t>涉企行政检查事项清单</w:t>
      </w:r>
    </w:p>
    <w:bookmarkEnd w:id="0"/>
    <w:tbl>
      <w:tblPr>
        <w:tblStyle w:val="3"/>
        <w:tblpPr w:leftFromText="180" w:rightFromText="180" w:vertAnchor="text" w:horzAnchor="page" w:tblpXSpec="center" w:tblpY="645"/>
        <w:tblOverlap w:val="never"/>
        <w:tblW w:w="13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0"/>
        <w:gridCol w:w="1453"/>
        <w:gridCol w:w="1303"/>
        <w:gridCol w:w="6672"/>
        <w:gridCol w:w="1099"/>
        <w:gridCol w:w="1099"/>
        <w:gridCol w:w="10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460" w:type="dxa"/>
            <w:vAlign w:val="center"/>
          </w:tcPr>
          <w:p>
            <w:pPr>
              <w:rPr>
                <w:rFonts w:hint="default"/>
                <w:vertAlign w:val="baseline"/>
                <w:lang w:val="en-US" w:eastAsia="zh-CN"/>
              </w:rPr>
            </w:pPr>
            <w:r>
              <w:rPr>
                <w:rFonts w:hint="eastAsia"/>
                <w:vertAlign w:val="baseline"/>
                <w:lang w:val="en-US" w:eastAsia="zh-CN"/>
              </w:rPr>
              <w:t>序号</w:t>
            </w:r>
          </w:p>
        </w:tc>
        <w:tc>
          <w:tcPr>
            <w:tcW w:w="1453" w:type="dxa"/>
            <w:vAlign w:val="center"/>
          </w:tcPr>
          <w:p>
            <w:pPr>
              <w:rPr>
                <w:rFonts w:hint="default"/>
                <w:vertAlign w:val="baseline"/>
                <w:lang w:val="en-US" w:eastAsia="zh-CN"/>
              </w:rPr>
            </w:pPr>
            <w:r>
              <w:rPr>
                <w:rFonts w:hint="eastAsia"/>
                <w:vertAlign w:val="baseline"/>
                <w:lang w:val="en-US" w:eastAsia="zh-CN"/>
              </w:rPr>
              <w:t>检查事项</w:t>
            </w:r>
          </w:p>
        </w:tc>
        <w:tc>
          <w:tcPr>
            <w:tcW w:w="1303" w:type="dxa"/>
            <w:vAlign w:val="center"/>
          </w:tcPr>
          <w:p>
            <w:pPr>
              <w:jc w:val="left"/>
              <w:rPr>
                <w:rFonts w:hint="default"/>
                <w:vertAlign w:val="baseline"/>
                <w:lang w:val="en-US" w:eastAsia="zh-CN"/>
              </w:rPr>
            </w:pPr>
            <w:r>
              <w:rPr>
                <w:rFonts w:hint="eastAsia"/>
                <w:vertAlign w:val="baseline"/>
                <w:lang w:val="en-US" w:eastAsia="zh-CN"/>
              </w:rPr>
              <w:t>检查对象</w:t>
            </w:r>
          </w:p>
        </w:tc>
        <w:tc>
          <w:tcPr>
            <w:tcW w:w="6672" w:type="dxa"/>
            <w:vAlign w:val="center"/>
          </w:tcPr>
          <w:p>
            <w:pPr>
              <w:jc w:val="center"/>
              <w:rPr>
                <w:rFonts w:hint="default"/>
                <w:vertAlign w:val="baseline"/>
                <w:lang w:val="en-US" w:eastAsia="zh-CN"/>
              </w:rPr>
            </w:pPr>
            <w:r>
              <w:rPr>
                <w:rFonts w:hint="eastAsia"/>
                <w:vertAlign w:val="baseline"/>
                <w:lang w:val="en-US" w:eastAsia="zh-CN"/>
              </w:rPr>
              <w:t>检查依据</w:t>
            </w:r>
          </w:p>
        </w:tc>
        <w:tc>
          <w:tcPr>
            <w:tcW w:w="1099" w:type="dxa"/>
            <w:vAlign w:val="center"/>
          </w:tcPr>
          <w:p>
            <w:pPr>
              <w:rPr>
                <w:rFonts w:hint="default"/>
                <w:vertAlign w:val="baseline"/>
                <w:lang w:val="en-US" w:eastAsia="zh-CN"/>
              </w:rPr>
            </w:pPr>
            <w:r>
              <w:rPr>
                <w:rFonts w:hint="eastAsia"/>
                <w:vertAlign w:val="baseline"/>
                <w:lang w:val="en-US" w:eastAsia="zh-CN"/>
              </w:rPr>
              <w:t>法定实施主体</w:t>
            </w:r>
          </w:p>
        </w:tc>
        <w:tc>
          <w:tcPr>
            <w:tcW w:w="1099" w:type="dxa"/>
            <w:vAlign w:val="center"/>
          </w:tcPr>
          <w:p>
            <w:pPr>
              <w:rPr>
                <w:rFonts w:hint="default"/>
                <w:vertAlign w:val="baseline"/>
                <w:lang w:val="en-US" w:eastAsia="zh-CN"/>
              </w:rPr>
            </w:pPr>
            <w:r>
              <w:rPr>
                <w:rFonts w:hint="eastAsia"/>
                <w:vertAlign w:val="baseline"/>
                <w:lang w:val="en-US" w:eastAsia="zh-CN"/>
              </w:rPr>
              <w:t>法定行使层级</w:t>
            </w:r>
          </w:p>
        </w:tc>
        <w:tc>
          <w:tcPr>
            <w:tcW w:w="1099" w:type="dxa"/>
            <w:vAlign w:val="center"/>
          </w:tcPr>
          <w:p>
            <w:pPr>
              <w:rPr>
                <w:rFonts w:hint="default"/>
                <w:vertAlign w:val="baseline"/>
                <w:lang w:val="en-US" w:eastAsia="zh-CN"/>
              </w:rPr>
            </w:pPr>
            <w:r>
              <w:rPr>
                <w:rFonts w:hint="eastAsia"/>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0" w:type="dxa"/>
            <w:vAlign w:val="center"/>
          </w:tcPr>
          <w:p>
            <w:pPr>
              <w:rPr>
                <w:rFonts w:hint="default"/>
                <w:vertAlign w:val="baseline"/>
                <w:lang w:val="en-US" w:eastAsia="zh-CN"/>
              </w:rPr>
            </w:pPr>
            <w:r>
              <w:rPr>
                <w:rFonts w:hint="eastAsia"/>
                <w:vertAlign w:val="baseline"/>
                <w:lang w:val="en-US" w:eastAsia="zh-CN"/>
              </w:rPr>
              <w:t>1</w:t>
            </w:r>
          </w:p>
        </w:tc>
        <w:tc>
          <w:tcPr>
            <w:tcW w:w="1453" w:type="dxa"/>
            <w:vAlign w:val="center"/>
          </w:tcPr>
          <w:p>
            <w:pPr>
              <w:rPr>
                <w:rFonts w:hint="eastAsia" w:eastAsiaTheme="minorEastAsia"/>
                <w:vertAlign w:val="baseline"/>
                <w:lang w:val="en-US" w:eastAsia="zh-CN"/>
              </w:rPr>
            </w:pPr>
            <w:r>
              <w:rPr>
                <w:rFonts w:hint="eastAsia"/>
                <w:vertAlign w:val="baseline"/>
                <w:lang w:val="en-US" w:eastAsia="zh-CN"/>
              </w:rPr>
              <w:t>对用人单位和个人遵守医疗保险法律、法规情况进行监督检查</w:t>
            </w:r>
          </w:p>
        </w:tc>
        <w:tc>
          <w:tcPr>
            <w:tcW w:w="1303" w:type="dxa"/>
            <w:vAlign w:val="center"/>
          </w:tcPr>
          <w:p>
            <w:pPr>
              <w:rPr>
                <w:rFonts w:hint="eastAsia"/>
                <w:vertAlign w:val="baseline"/>
                <w:lang w:val="en-US" w:eastAsia="zh-CN"/>
              </w:rPr>
            </w:pPr>
            <w:r>
              <w:rPr>
                <w:rFonts w:hint="eastAsia"/>
                <w:vertAlign w:val="baseline"/>
                <w:lang w:val="en-US" w:eastAsia="zh-CN"/>
              </w:rPr>
              <w:t>用人单位和个人</w:t>
            </w:r>
          </w:p>
        </w:tc>
        <w:tc>
          <w:tcPr>
            <w:tcW w:w="6672" w:type="dxa"/>
            <w:vAlign w:val="center"/>
          </w:tcPr>
          <w:p>
            <w:pPr>
              <w:rPr>
                <w:rFonts w:hint="eastAsia"/>
                <w:vertAlign w:val="baseline"/>
                <w:lang w:val="en-US" w:eastAsia="zh-CN"/>
              </w:rPr>
            </w:pPr>
            <w:r>
              <w:rPr>
                <w:rFonts w:hint="eastAsia"/>
                <w:vertAlign w:val="baseline"/>
                <w:lang w:val="en-US" w:eastAsia="zh-CN"/>
              </w:rPr>
              <w:t>《中华人民共和国社会保险法》第七条：县级以上地方人民政府社会保险行政部门负责本行政区域的社会保险管理工作,县级以上地方人民政府其他有关部门在各自的职责范围内负责有关的社会保险工作。第七十七条：县级以上人民政府社会保险行政部门应当加强对用人单位和个人遵守社会保险法律、法规情况的监督检查。</w:t>
            </w:r>
          </w:p>
          <w:p>
            <w:pPr>
              <w:rPr>
                <w:rFonts w:hint="default"/>
                <w:vertAlign w:val="baseline"/>
                <w:lang w:val="en-US" w:eastAsia="zh-CN"/>
              </w:rPr>
            </w:pPr>
            <w:r>
              <w:rPr>
                <w:rFonts w:hint="eastAsia"/>
                <w:vertAlign w:val="baseline"/>
                <w:lang w:val="en-US" w:eastAsia="zh-CN"/>
              </w:rPr>
              <w:t>社会保险行政部门实施监督检查时,被检查的用人单位和个人应当如实提供与社会保险有关的资料,不得拒绝检查或者谎报、瞒报。</w:t>
            </w:r>
          </w:p>
        </w:tc>
        <w:tc>
          <w:tcPr>
            <w:tcW w:w="1099" w:type="dxa"/>
            <w:vAlign w:val="center"/>
          </w:tcPr>
          <w:p>
            <w:pPr>
              <w:rPr>
                <w:rFonts w:hint="default"/>
                <w:vertAlign w:val="baseline"/>
                <w:lang w:val="en-US" w:eastAsia="zh-CN"/>
              </w:rPr>
            </w:pPr>
            <w:r>
              <w:rPr>
                <w:rFonts w:hint="eastAsia"/>
                <w:vertAlign w:val="baseline"/>
                <w:lang w:val="en-US" w:eastAsia="zh-CN"/>
              </w:rPr>
              <w:t>昆明市官渡区医疗保障局</w:t>
            </w:r>
          </w:p>
        </w:tc>
        <w:tc>
          <w:tcPr>
            <w:tcW w:w="1099" w:type="dxa"/>
            <w:vAlign w:val="center"/>
          </w:tcPr>
          <w:p>
            <w:pPr>
              <w:rPr>
                <w:rFonts w:hint="default"/>
                <w:vertAlign w:val="baseline"/>
                <w:lang w:val="en-US" w:eastAsia="zh-CN"/>
              </w:rPr>
            </w:pPr>
            <w:r>
              <w:rPr>
                <w:rFonts w:hint="eastAsia"/>
                <w:vertAlign w:val="baseline"/>
                <w:lang w:val="en-US" w:eastAsia="zh-CN"/>
              </w:rPr>
              <w:t>区级</w:t>
            </w:r>
          </w:p>
        </w:tc>
        <w:tc>
          <w:tcPr>
            <w:tcW w:w="1099" w:type="dxa"/>
            <w:vAlign w:val="center"/>
          </w:tcPr>
          <w:p>
            <w:pPr>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0" w:type="dxa"/>
            <w:vAlign w:val="center"/>
          </w:tcPr>
          <w:p>
            <w:pPr>
              <w:rPr>
                <w:rFonts w:hint="default"/>
                <w:vertAlign w:val="baseline"/>
                <w:lang w:val="en-US" w:eastAsia="zh-CN"/>
              </w:rPr>
            </w:pPr>
            <w:r>
              <w:rPr>
                <w:rFonts w:hint="eastAsia"/>
                <w:vertAlign w:val="baseline"/>
                <w:lang w:val="en-US" w:eastAsia="zh-CN"/>
              </w:rPr>
              <w:t>2</w:t>
            </w:r>
          </w:p>
        </w:tc>
        <w:tc>
          <w:tcPr>
            <w:tcW w:w="1453" w:type="dxa"/>
            <w:vAlign w:val="center"/>
          </w:tcPr>
          <w:p>
            <w:pPr>
              <w:rPr>
                <w:rFonts w:hint="default"/>
                <w:vertAlign w:val="baseline"/>
                <w:lang w:val="en-US" w:eastAsia="zh-CN"/>
              </w:rPr>
            </w:pPr>
            <w:r>
              <w:rPr>
                <w:rFonts w:hint="eastAsia"/>
                <w:vertAlign w:val="baseline"/>
                <w:lang w:val="en-US" w:eastAsia="zh-CN"/>
              </w:rPr>
              <w:t>对纳入医疗保障基金支付范围的医疗服务行为和医疗费用进行监督管理</w:t>
            </w:r>
          </w:p>
        </w:tc>
        <w:tc>
          <w:tcPr>
            <w:tcW w:w="1303" w:type="dxa"/>
            <w:vAlign w:val="center"/>
          </w:tcPr>
          <w:p>
            <w:pPr>
              <w:rPr>
                <w:rFonts w:hint="eastAsia"/>
                <w:vertAlign w:val="baseline"/>
                <w:lang w:val="en-US" w:eastAsia="zh-CN"/>
              </w:rPr>
            </w:pPr>
            <w:r>
              <w:rPr>
                <w:rFonts w:hint="eastAsia"/>
                <w:vertAlign w:val="baseline"/>
                <w:lang w:val="en-US" w:eastAsia="zh-CN"/>
              </w:rPr>
              <w:t>定点医药机构、参保人</w:t>
            </w:r>
          </w:p>
        </w:tc>
        <w:tc>
          <w:tcPr>
            <w:tcW w:w="6672" w:type="dxa"/>
            <w:vAlign w:val="center"/>
          </w:tcPr>
          <w:p>
            <w:pPr>
              <w:numPr>
                <w:ilvl w:val="0"/>
                <w:numId w:val="1"/>
              </w:numPr>
              <w:rPr>
                <w:rFonts w:hint="eastAsia"/>
                <w:vertAlign w:val="baseline"/>
                <w:lang w:val="en-US" w:eastAsia="zh-CN"/>
              </w:rPr>
            </w:pPr>
            <w:r>
              <w:rPr>
                <w:rFonts w:hint="eastAsia"/>
                <w:vertAlign w:val="baseline"/>
                <w:lang w:val="en-US" w:eastAsia="zh-CN"/>
              </w:rPr>
              <w:t>《中华人民共和国基本医疗卫生与健康促进法》第八十七条：县级以上人民政府医疗保障主管部门应当提高医疗保障监管能力和水平，对纳入基本医疗保险基金支付范围的医疗服务行为和医疗费用加强监督管理，确保基本医疗保险基金合理使用、安全可控。</w:t>
            </w:r>
          </w:p>
          <w:p>
            <w:pPr>
              <w:numPr>
                <w:ilvl w:val="0"/>
                <w:numId w:val="1"/>
              </w:numPr>
              <w:rPr>
                <w:rFonts w:hint="default"/>
                <w:vertAlign w:val="baseline"/>
                <w:lang w:val="en-US" w:eastAsia="zh-CN"/>
              </w:rPr>
            </w:pPr>
            <w:r>
              <w:rPr>
                <w:rFonts w:hint="eastAsia"/>
                <w:vertAlign w:val="baseline"/>
                <w:lang w:val="en-US" w:eastAsia="zh-CN"/>
              </w:rPr>
              <w:t>《医疗保障基金使用监督管理条例》第二十二条：医疗保障行政部门应当加强对纳入医疗保障基金支付范围的医疗服务行为和医疗费用的监督，规范医疗保障经办业务，依法查处违法使用医疗保障基金的行为。</w:t>
            </w:r>
          </w:p>
          <w:p>
            <w:pPr>
              <w:numPr>
                <w:ilvl w:val="0"/>
                <w:numId w:val="1"/>
              </w:numPr>
              <w:rPr>
                <w:rFonts w:hint="default"/>
                <w:vertAlign w:val="baseline"/>
                <w:lang w:val="en-US" w:eastAsia="zh-CN"/>
              </w:rPr>
            </w:pPr>
            <w:r>
              <w:rPr>
                <w:rFonts w:hint="eastAsia"/>
                <w:vertAlign w:val="baseline"/>
                <w:lang w:val="en-US" w:eastAsia="zh-CN"/>
              </w:rPr>
              <w:t>《医疗机构医疗保障定点管理暂行办法》（国家医保局令第2号）第四十七条第二款：医疗保障行政部门依法依规通过实地检查、抽查、智能监控、大数据分析等方式对定点医疗机构的协议履行情况、医疗保障基金使用情况、医疗服务行为、购买涉及医疗保障基金使用的第三方服务等进行监管。</w:t>
            </w:r>
          </w:p>
          <w:p>
            <w:pPr>
              <w:numPr>
                <w:ilvl w:val="0"/>
                <w:numId w:val="1"/>
              </w:numPr>
              <w:rPr>
                <w:rFonts w:hint="default"/>
                <w:vertAlign w:val="baseline"/>
                <w:lang w:val="en-US" w:eastAsia="zh-CN"/>
              </w:rPr>
            </w:pPr>
            <w:r>
              <w:rPr>
                <w:rFonts w:hint="eastAsia"/>
                <w:vertAlign w:val="baseline"/>
                <w:lang w:val="en-US" w:eastAsia="zh-CN"/>
              </w:rPr>
              <w:t>《零售药店医疗保障定点管理暂行办法》（国家医保局令第3号）第四十七条第二款：医疗保障行政部门依法依规通过实地检查、抽查、智能监控、大数据分析等方式对定点零售药店的协议履行情况、医疗保障基金使用情况、医疗服务行为、购买涉及医疗保障基金使用的第三方服务等进行监管。</w:t>
            </w:r>
          </w:p>
        </w:tc>
        <w:tc>
          <w:tcPr>
            <w:tcW w:w="1099" w:type="dxa"/>
            <w:vAlign w:val="center"/>
          </w:tcPr>
          <w:p>
            <w:pPr>
              <w:rPr>
                <w:rFonts w:hint="default"/>
                <w:vertAlign w:val="baseline"/>
                <w:lang w:val="en-US" w:eastAsia="zh-CN"/>
              </w:rPr>
            </w:pPr>
            <w:r>
              <w:rPr>
                <w:rFonts w:hint="eastAsia"/>
                <w:vertAlign w:val="baseline"/>
                <w:lang w:val="en-US" w:eastAsia="zh-CN"/>
              </w:rPr>
              <w:t>昆明市官渡区医疗保障局</w:t>
            </w:r>
          </w:p>
        </w:tc>
        <w:tc>
          <w:tcPr>
            <w:tcW w:w="1099" w:type="dxa"/>
            <w:vAlign w:val="center"/>
          </w:tcPr>
          <w:p>
            <w:pPr>
              <w:rPr>
                <w:rFonts w:hint="default"/>
                <w:vertAlign w:val="baseline"/>
                <w:lang w:val="en-US" w:eastAsia="zh-CN"/>
              </w:rPr>
            </w:pPr>
            <w:r>
              <w:rPr>
                <w:rFonts w:hint="eastAsia"/>
                <w:vertAlign w:val="baseline"/>
                <w:lang w:val="en-US" w:eastAsia="zh-CN"/>
              </w:rPr>
              <w:t>区级</w:t>
            </w:r>
          </w:p>
        </w:tc>
        <w:tc>
          <w:tcPr>
            <w:tcW w:w="1099" w:type="dxa"/>
            <w:vAlign w:val="center"/>
          </w:tcPr>
          <w:p>
            <w:pPr>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0" w:type="dxa"/>
            <w:vAlign w:val="center"/>
          </w:tcPr>
          <w:p>
            <w:pPr>
              <w:rPr>
                <w:rFonts w:hint="eastAsia"/>
                <w:vertAlign w:val="baseline"/>
                <w:lang w:val="en-US" w:eastAsia="zh-CN"/>
              </w:rPr>
            </w:pPr>
            <w:r>
              <w:rPr>
                <w:rFonts w:hint="eastAsia"/>
                <w:vertAlign w:val="baseline"/>
                <w:lang w:val="en-US" w:eastAsia="zh-CN"/>
              </w:rPr>
              <w:t>3</w:t>
            </w:r>
          </w:p>
        </w:tc>
        <w:tc>
          <w:tcPr>
            <w:tcW w:w="1453" w:type="dxa"/>
            <w:vAlign w:val="center"/>
          </w:tcPr>
          <w:p>
            <w:pPr>
              <w:rPr>
                <w:rFonts w:hint="eastAsia"/>
                <w:vertAlign w:val="baseline"/>
                <w:lang w:val="en-US" w:eastAsia="zh-CN"/>
              </w:rPr>
            </w:pPr>
            <w:r>
              <w:rPr>
                <w:rFonts w:hint="eastAsia"/>
                <w:vertAlign w:val="baseline"/>
                <w:lang w:val="en-US" w:eastAsia="zh-CN"/>
              </w:rPr>
              <w:t>对医疗救助的监督检查</w:t>
            </w:r>
          </w:p>
        </w:tc>
        <w:tc>
          <w:tcPr>
            <w:tcW w:w="1303" w:type="dxa"/>
            <w:vAlign w:val="center"/>
          </w:tcPr>
          <w:p>
            <w:pPr>
              <w:rPr>
                <w:rFonts w:hint="eastAsia"/>
                <w:vertAlign w:val="baseline"/>
                <w:lang w:val="en-US" w:eastAsia="zh-CN"/>
              </w:rPr>
            </w:pPr>
            <w:r>
              <w:rPr>
                <w:rFonts w:hint="eastAsia"/>
                <w:vertAlign w:val="baseline"/>
                <w:lang w:val="en-US" w:eastAsia="zh-CN"/>
              </w:rPr>
              <w:t>定点医药机构、参保人</w:t>
            </w:r>
          </w:p>
        </w:tc>
        <w:tc>
          <w:tcPr>
            <w:tcW w:w="6672" w:type="dxa"/>
            <w:vAlign w:val="center"/>
          </w:tcPr>
          <w:p>
            <w:pPr>
              <w:numPr>
                <w:ilvl w:val="0"/>
                <w:numId w:val="2"/>
              </w:numPr>
              <w:rPr>
                <w:rFonts w:hint="eastAsia"/>
                <w:vertAlign w:val="baseline"/>
                <w:lang w:val="en-US" w:eastAsia="zh-CN"/>
              </w:rPr>
            </w:pPr>
            <w:r>
              <w:rPr>
                <w:rFonts w:hint="eastAsia"/>
                <w:vertAlign w:val="baseline"/>
                <w:lang w:val="en-US" w:eastAsia="zh-CN"/>
              </w:rPr>
              <w:t>《中华人民共和国基本医疗卫生与健康促进法》第八十三条：国家建立以基本医疗保险为主体，商业健康保险、医疗救助、职工互助医疗和医疗慈善服务等为补充的、多层次的医疗保障体系......国家完善医疗救助制度，保障符合条件的困难群众获得基本医疗服务。</w:t>
            </w:r>
          </w:p>
          <w:p>
            <w:pPr>
              <w:numPr>
                <w:ilvl w:val="0"/>
                <w:numId w:val="0"/>
              </w:numPr>
              <w:rPr>
                <w:rFonts w:hint="eastAsia"/>
                <w:vertAlign w:val="baseline"/>
                <w:lang w:val="en-US" w:eastAsia="zh-CN"/>
              </w:rPr>
            </w:pPr>
            <w:r>
              <w:rPr>
                <w:rFonts w:hint="eastAsia"/>
                <w:vertAlign w:val="baseline"/>
                <w:lang w:val="en-US" w:eastAsia="zh-CN"/>
              </w:rPr>
              <w:t>《医疗保障基金使用监督管理条例》第二条：本条例适用于中华人民共和国境内基本医疗保险（含生育保险）基金、医疗救助基金等医疗保障基金使用及其监督管理。第六条：县级以上地方人民政府医疗保障行政部门负责本行政区域的医疗保障基金使用监督管理工作。县级以上地方人民政府其他有关部门在各自职责范围内负责有关的医疗保障基金使用监督管理工作。第二十二条：医疗保障行政部门应当加强对纳入医疗保障基金支付范围的医疗服务行为和医疗费用的监督，规范医疗保障经办业务，依法查处违法使用医疗保障基金的行为。</w:t>
            </w:r>
          </w:p>
          <w:p>
            <w:pPr>
              <w:numPr>
                <w:ilvl w:val="0"/>
                <w:numId w:val="0"/>
              </w:numPr>
              <w:ind w:left="0" w:leftChars="0" w:firstLine="0" w:firstLineChars="0"/>
              <w:rPr>
                <w:rFonts w:hint="eastAsia"/>
                <w:vertAlign w:val="baseline"/>
                <w:lang w:val="en-US" w:eastAsia="zh-CN"/>
              </w:rPr>
            </w:pPr>
            <w:r>
              <w:rPr>
                <w:rFonts w:hint="eastAsia"/>
                <w:vertAlign w:val="baseline"/>
                <w:lang w:val="en-US" w:eastAsia="zh-CN"/>
              </w:rPr>
              <w:t>2.《社会救助暂行办法》第五十七条：县级以上人民政府及其社会救助管理部门应当加强对社会救助工作的监督检查，完善相关监督管理制度。</w:t>
            </w:r>
          </w:p>
        </w:tc>
        <w:tc>
          <w:tcPr>
            <w:tcW w:w="1099" w:type="dxa"/>
            <w:vAlign w:val="center"/>
          </w:tcPr>
          <w:p>
            <w:pPr>
              <w:rPr>
                <w:rFonts w:hint="eastAsia"/>
                <w:vertAlign w:val="baseline"/>
                <w:lang w:val="en-US" w:eastAsia="zh-CN"/>
              </w:rPr>
            </w:pPr>
            <w:r>
              <w:rPr>
                <w:rFonts w:hint="eastAsia"/>
                <w:vertAlign w:val="baseline"/>
                <w:lang w:val="en-US" w:eastAsia="zh-CN"/>
              </w:rPr>
              <w:t>昆明市官渡区医疗保障局</w:t>
            </w:r>
          </w:p>
        </w:tc>
        <w:tc>
          <w:tcPr>
            <w:tcW w:w="1099" w:type="dxa"/>
            <w:vAlign w:val="center"/>
          </w:tcPr>
          <w:p>
            <w:pPr>
              <w:rPr>
                <w:rFonts w:hint="default"/>
                <w:vertAlign w:val="baseline"/>
                <w:lang w:val="en-US" w:eastAsia="zh-CN"/>
              </w:rPr>
            </w:pPr>
            <w:r>
              <w:rPr>
                <w:rFonts w:hint="eastAsia"/>
                <w:vertAlign w:val="baseline"/>
                <w:lang w:val="en-US" w:eastAsia="zh-CN"/>
              </w:rPr>
              <w:t>区级</w:t>
            </w:r>
          </w:p>
        </w:tc>
        <w:tc>
          <w:tcPr>
            <w:tcW w:w="1099" w:type="dxa"/>
            <w:vAlign w:val="center"/>
          </w:tcPr>
          <w:p>
            <w:pPr>
              <w:rPr>
                <w:rFonts w:hint="eastAsia"/>
                <w:vertAlign w:val="baseline"/>
                <w:lang w:val="en-US" w:eastAsia="zh-CN"/>
              </w:rPr>
            </w:pPr>
          </w:p>
        </w:tc>
      </w:tr>
    </w:tbl>
    <w:p>
      <w:pPr>
        <w:rPr>
          <w:rFonts w:hint="default"/>
          <w:color w:val="7F7F7F" w:themeColor="background1" w:themeShade="80"/>
          <w:lang w:val="en-US" w:eastAsia="zh-CN"/>
        </w:rPr>
      </w:pPr>
    </w:p>
    <w:tbl>
      <w:tblPr>
        <w:tblStyle w:val="3"/>
        <w:tblpPr w:leftFromText="180" w:rightFromText="180" w:vertAnchor="text" w:horzAnchor="page" w:tblpX="1436" w:tblpY="31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1565"/>
        <w:gridCol w:w="1064"/>
        <w:gridCol w:w="7542"/>
        <w:gridCol w:w="1168"/>
        <w:gridCol w:w="1168"/>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7" w:hRule="atLeast"/>
        </w:trPr>
        <w:tc>
          <w:tcPr>
            <w:tcW w:w="496" w:type="dxa"/>
            <w:vAlign w:val="center"/>
          </w:tcPr>
          <w:p>
            <w:pPr>
              <w:rPr>
                <w:rFonts w:hint="default"/>
                <w:color w:val="auto"/>
                <w:vertAlign w:val="baseline"/>
                <w:lang w:val="en-US" w:eastAsia="zh-CN"/>
              </w:rPr>
            </w:pPr>
            <w:r>
              <w:rPr>
                <w:rFonts w:hint="eastAsia"/>
                <w:color w:val="auto"/>
                <w:vertAlign w:val="baseline"/>
                <w:lang w:val="en-US" w:eastAsia="zh-CN"/>
              </w:rPr>
              <w:t>4</w:t>
            </w:r>
          </w:p>
        </w:tc>
        <w:tc>
          <w:tcPr>
            <w:tcW w:w="1565" w:type="dxa"/>
            <w:vAlign w:val="center"/>
          </w:tcPr>
          <w:p>
            <w:pPr>
              <w:rPr>
                <w:rFonts w:hint="default"/>
                <w:color w:val="auto"/>
                <w:vertAlign w:val="baseline"/>
                <w:lang w:val="en-US" w:eastAsia="zh-CN"/>
              </w:rPr>
            </w:pPr>
            <w:r>
              <w:rPr>
                <w:rFonts w:hint="eastAsia"/>
                <w:color w:val="auto"/>
                <w:vertAlign w:val="baseline"/>
                <w:lang w:val="en-US" w:eastAsia="zh-CN"/>
              </w:rPr>
              <w:t>对药品、医用耗材价格进行监督检查</w:t>
            </w:r>
          </w:p>
        </w:tc>
        <w:tc>
          <w:tcPr>
            <w:tcW w:w="1064" w:type="dxa"/>
            <w:vAlign w:val="center"/>
          </w:tcPr>
          <w:p>
            <w:pPr>
              <w:rPr>
                <w:rFonts w:hint="default"/>
                <w:color w:val="auto"/>
                <w:vertAlign w:val="baseline"/>
                <w:lang w:val="en-US" w:eastAsia="zh-CN"/>
              </w:rPr>
            </w:pPr>
            <w:r>
              <w:rPr>
                <w:rFonts w:hint="eastAsia"/>
                <w:vertAlign w:val="baseline"/>
                <w:lang w:val="en-US" w:eastAsia="zh-CN"/>
              </w:rPr>
              <w:t>定点医药机构</w:t>
            </w:r>
          </w:p>
        </w:tc>
        <w:tc>
          <w:tcPr>
            <w:tcW w:w="7542" w:type="dxa"/>
            <w:vAlign w:val="center"/>
          </w:tcPr>
          <w:p>
            <w:pPr>
              <w:numPr>
                <w:ilvl w:val="0"/>
                <w:numId w:val="3"/>
              </w:numPr>
              <w:rPr>
                <w:rFonts w:hint="eastAsia"/>
                <w:color w:val="auto"/>
                <w:vertAlign w:val="baseline"/>
                <w:lang w:val="en-US" w:eastAsia="zh-CN"/>
              </w:rPr>
            </w:pPr>
            <w:r>
              <w:rPr>
                <w:rFonts w:hint="eastAsia"/>
                <w:color w:val="auto"/>
                <w:vertAlign w:val="baseline"/>
                <w:lang w:val="en-US" w:eastAsia="zh-CN"/>
              </w:rPr>
              <w:t>《中华人民共和国药品管理法》第八十四条：国家完善药品采购管理制度，对药品价格进行监测，开展成本价格调查，加强药品价格监督检查。第八十六条：药品上市许可持有人、药品生产企业、药品经营企业和医疗机构应当依法向药品价格主管部门提供药品的实际购销价格和购销数量等资料。</w:t>
            </w:r>
          </w:p>
          <w:p>
            <w:pPr>
              <w:numPr>
                <w:ilvl w:val="0"/>
                <w:numId w:val="3"/>
              </w:numPr>
              <w:ind w:left="0" w:leftChars="0" w:firstLine="0" w:firstLineChars="0"/>
              <w:rPr>
                <w:rFonts w:hint="eastAsia"/>
                <w:color w:val="auto"/>
                <w:vertAlign w:val="baseline"/>
                <w:lang w:val="en-US" w:eastAsia="zh-CN"/>
              </w:rPr>
            </w:pPr>
            <w:r>
              <w:rPr>
                <w:rFonts w:hint="eastAsia"/>
                <w:color w:val="auto"/>
                <w:vertAlign w:val="baseline"/>
                <w:lang w:val="en-US" w:eastAsia="zh-CN"/>
              </w:rPr>
              <w:t>《中华人民共和国基本医疗卫生与健康促进法》第六十二条：国家建立健全药品价格监测体系，开展成本价格调查，加强药品价格监督检查。</w:t>
            </w:r>
          </w:p>
          <w:p>
            <w:pPr>
              <w:numPr>
                <w:ilvl w:val="0"/>
                <w:numId w:val="3"/>
              </w:numPr>
              <w:ind w:left="0" w:leftChars="0" w:firstLine="0" w:firstLineChars="0"/>
              <w:rPr>
                <w:rFonts w:hint="default"/>
                <w:color w:val="auto"/>
                <w:vertAlign w:val="baseline"/>
                <w:lang w:val="en-US" w:eastAsia="zh-CN"/>
              </w:rPr>
            </w:pPr>
            <w:r>
              <w:rPr>
                <w:rFonts w:hint="eastAsia"/>
                <w:color w:val="auto"/>
                <w:vertAlign w:val="baseline"/>
                <w:lang w:val="en-US" w:eastAsia="zh-CN"/>
              </w:rPr>
              <w:t>《昆明市官渡区医疗保障局智能配置、内设机构和人员编制规定》（官办通〔2019〕26号）</w:t>
            </w:r>
          </w:p>
        </w:tc>
        <w:tc>
          <w:tcPr>
            <w:tcW w:w="1168" w:type="dxa"/>
            <w:vAlign w:val="center"/>
          </w:tcPr>
          <w:p>
            <w:pPr>
              <w:rPr>
                <w:rFonts w:hint="default"/>
                <w:color w:val="auto"/>
                <w:vertAlign w:val="baseline"/>
                <w:lang w:val="en-US" w:eastAsia="zh-CN"/>
              </w:rPr>
            </w:pPr>
            <w:r>
              <w:rPr>
                <w:rFonts w:hint="eastAsia"/>
                <w:color w:val="auto"/>
                <w:vertAlign w:val="baseline"/>
                <w:lang w:val="en-US" w:eastAsia="zh-CN"/>
              </w:rPr>
              <w:t>昆明市官渡区医疗保障局</w:t>
            </w:r>
          </w:p>
        </w:tc>
        <w:tc>
          <w:tcPr>
            <w:tcW w:w="1168" w:type="dxa"/>
            <w:vAlign w:val="center"/>
          </w:tcPr>
          <w:p>
            <w:pPr>
              <w:rPr>
                <w:rFonts w:hint="eastAsia"/>
                <w:color w:val="auto"/>
                <w:vertAlign w:val="baseline"/>
                <w:lang w:val="en-US" w:eastAsia="zh-CN"/>
              </w:rPr>
            </w:pPr>
            <w:r>
              <w:rPr>
                <w:rFonts w:hint="eastAsia"/>
                <w:vertAlign w:val="baseline"/>
                <w:lang w:val="en-US" w:eastAsia="zh-CN"/>
              </w:rPr>
              <w:t>区级</w:t>
            </w:r>
          </w:p>
        </w:tc>
        <w:tc>
          <w:tcPr>
            <w:tcW w:w="1168" w:type="dxa"/>
            <w:vAlign w:val="center"/>
          </w:tcPr>
          <w:p>
            <w:pPr>
              <w:rPr>
                <w:rFonts w:hint="eastAsia"/>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0" w:hRule="atLeast"/>
        </w:trPr>
        <w:tc>
          <w:tcPr>
            <w:tcW w:w="496" w:type="dxa"/>
            <w:vAlign w:val="center"/>
          </w:tcPr>
          <w:p>
            <w:pPr>
              <w:rPr>
                <w:rFonts w:hint="eastAsia"/>
                <w:color w:val="auto"/>
                <w:vertAlign w:val="baseline"/>
                <w:lang w:val="en-US" w:eastAsia="zh-CN"/>
              </w:rPr>
            </w:pPr>
            <w:r>
              <w:rPr>
                <w:rFonts w:hint="eastAsia"/>
                <w:color w:val="auto"/>
                <w:vertAlign w:val="baseline"/>
                <w:lang w:val="en-US" w:eastAsia="zh-CN"/>
              </w:rPr>
              <w:t>5</w:t>
            </w:r>
          </w:p>
        </w:tc>
        <w:tc>
          <w:tcPr>
            <w:tcW w:w="1565" w:type="dxa"/>
            <w:vAlign w:val="center"/>
          </w:tcPr>
          <w:p>
            <w:pPr>
              <w:rPr>
                <w:rFonts w:hint="eastAsia"/>
                <w:color w:val="auto"/>
                <w:vertAlign w:val="baseline"/>
                <w:lang w:val="en-US" w:eastAsia="zh-CN"/>
              </w:rPr>
            </w:pPr>
            <w:r>
              <w:rPr>
                <w:rFonts w:hint="eastAsia"/>
                <w:color w:val="auto"/>
                <w:vertAlign w:val="baseline"/>
                <w:lang w:val="en-US" w:eastAsia="zh-CN"/>
              </w:rPr>
              <w:t>对药品上市许可持有人、药品生产企业、药品经营企业和医疗机构应当依法向药品价格主管部门提供药品的实际购销价格和购销数量等资料的监督检查</w:t>
            </w:r>
          </w:p>
        </w:tc>
        <w:tc>
          <w:tcPr>
            <w:tcW w:w="1064" w:type="dxa"/>
            <w:vAlign w:val="center"/>
          </w:tcPr>
          <w:p>
            <w:pPr>
              <w:rPr>
                <w:rFonts w:hint="eastAsia"/>
                <w:color w:val="auto"/>
                <w:vertAlign w:val="baseline"/>
                <w:lang w:val="en-US" w:eastAsia="zh-CN"/>
              </w:rPr>
            </w:pPr>
            <w:r>
              <w:rPr>
                <w:rFonts w:hint="eastAsia"/>
                <w:vertAlign w:val="baseline"/>
                <w:lang w:val="en-US" w:eastAsia="zh-CN"/>
              </w:rPr>
              <w:t>定点医药机构</w:t>
            </w:r>
          </w:p>
        </w:tc>
        <w:tc>
          <w:tcPr>
            <w:tcW w:w="7542" w:type="dxa"/>
            <w:vAlign w:val="center"/>
          </w:tcPr>
          <w:p>
            <w:pPr>
              <w:numPr>
                <w:ilvl w:val="0"/>
                <w:numId w:val="4"/>
              </w:numPr>
              <w:rPr>
                <w:rFonts w:hint="eastAsia"/>
                <w:color w:val="auto"/>
                <w:vertAlign w:val="baseline"/>
                <w:lang w:val="en-US" w:eastAsia="zh-CN"/>
              </w:rPr>
            </w:pPr>
            <w:r>
              <w:rPr>
                <w:rFonts w:hint="eastAsia"/>
                <w:color w:val="auto"/>
                <w:vertAlign w:val="baseline"/>
                <w:lang w:val="en-US" w:eastAsia="zh-CN"/>
              </w:rPr>
              <w:t>《中华人民共和国药品管理法》第八十六条：药品上市许可持有人、药品生产企业、药品经营企业和医疗机构应当依法向药品价格主管部门提供药品的实际购销价格和购销数量等资料。</w:t>
            </w:r>
          </w:p>
          <w:p>
            <w:pPr>
              <w:numPr>
                <w:ilvl w:val="0"/>
                <w:numId w:val="4"/>
              </w:numPr>
              <w:rPr>
                <w:rFonts w:hint="eastAsia"/>
                <w:color w:val="auto"/>
                <w:vertAlign w:val="baseline"/>
                <w:lang w:val="en-US" w:eastAsia="zh-CN"/>
              </w:rPr>
            </w:pPr>
            <w:r>
              <w:rPr>
                <w:rFonts w:hint="eastAsia"/>
                <w:color w:val="auto"/>
                <w:vertAlign w:val="baseline"/>
                <w:lang w:val="en-US" w:eastAsia="zh-CN"/>
              </w:rPr>
              <w:t>《医疗保障基金使用监督管理条例》第十六条：定点医药机构应当按照规定保管财务账目、会计凭证、处方、病历、治疗检查记录、费用明细、药品和医用耗材出入库记录等资料，及时通过医疗保障信息系统全面准确传送医疗保障基金使用有关数据，向医疗保障行政部门报告医疗保障基金使用监督管理所需信息，向社会公开医药费用、费用结构等信息，接受社会监督。</w:t>
            </w:r>
          </w:p>
          <w:p>
            <w:pPr>
              <w:numPr>
                <w:ilvl w:val="0"/>
                <w:numId w:val="0"/>
              </w:numPr>
              <w:rPr>
                <w:rFonts w:hint="eastAsia"/>
                <w:color w:val="auto"/>
                <w:vertAlign w:val="baseline"/>
                <w:lang w:val="en-US" w:eastAsia="zh-CN"/>
              </w:rPr>
            </w:pPr>
            <w:r>
              <w:rPr>
                <w:rFonts w:hint="eastAsia"/>
                <w:color w:val="auto"/>
                <w:vertAlign w:val="baseline"/>
                <w:lang w:val="en-US" w:eastAsia="zh-CN"/>
              </w:rPr>
              <w:t>3.《昆明市官渡区医疗保障局智能配置、内设机构和人员编制规定》（官办通〔2019〕26号）</w:t>
            </w:r>
          </w:p>
        </w:tc>
        <w:tc>
          <w:tcPr>
            <w:tcW w:w="1168" w:type="dxa"/>
            <w:vAlign w:val="center"/>
          </w:tcPr>
          <w:p>
            <w:pPr>
              <w:rPr>
                <w:rFonts w:hint="eastAsia"/>
                <w:color w:val="auto"/>
                <w:vertAlign w:val="baseline"/>
                <w:lang w:val="en-US" w:eastAsia="zh-CN"/>
              </w:rPr>
            </w:pPr>
            <w:r>
              <w:rPr>
                <w:rFonts w:hint="eastAsia"/>
                <w:color w:val="auto"/>
                <w:vertAlign w:val="baseline"/>
                <w:lang w:val="en-US" w:eastAsia="zh-CN"/>
              </w:rPr>
              <w:t>昆明市官渡区医疗保障局</w:t>
            </w:r>
          </w:p>
        </w:tc>
        <w:tc>
          <w:tcPr>
            <w:tcW w:w="1168" w:type="dxa"/>
            <w:vAlign w:val="center"/>
          </w:tcPr>
          <w:p>
            <w:pPr>
              <w:rPr>
                <w:rFonts w:hint="eastAsia"/>
                <w:color w:val="auto"/>
                <w:vertAlign w:val="baseline"/>
                <w:lang w:val="en-US" w:eastAsia="zh-CN"/>
              </w:rPr>
            </w:pPr>
            <w:r>
              <w:rPr>
                <w:rFonts w:hint="eastAsia"/>
                <w:vertAlign w:val="baseline"/>
                <w:lang w:val="en-US" w:eastAsia="zh-CN"/>
              </w:rPr>
              <w:t>区级</w:t>
            </w:r>
          </w:p>
        </w:tc>
        <w:tc>
          <w:tcPr>
            <w:tcW w:w="1168" w:type="dxa"/>
            <w:vAlign w:val="center"/>
          </w:tcPr>
          <w:p>
            <w:pPr>
              <w:rPr>
                <w:rFonts w:hint="eastAsia"/>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 w:type="dxa"/>
            <w:vAlign w:val="center"/>
          </w:tcPr>
          <w:p>
            <w:pPr>
              <w:rPr>
                <w:rFonts w:hint="eastAsia"/>
                <w:color w:val="auto"/>
                <w:vertAlign w:val="baseline"/>
                <w:lang w:val="en-US" w:eastAsia="zh-CN"/>
              </w:rPr>
            </w:pPr>
            <w:r>
              <w:rPr>
                <w:rFonts w:hint="eastAsia"/>
                <w:color w:val="auto"/>
                <w:vertAlign w:val="baseline"/>
                <w:lang w:val="en-US" w:eastAsia="zh-CN"/>
              </w:rPr>
              <w:t>6</w:t>
            </w:r>
          </w:p>
        </w:tc>
        <w:tc>
          <w:tcPr>
            <w:tcW w:w="1565" w:type="dxa"/>
            <w:vAlign w:val="center"/>
          </w:tcPr>
          <w:p>
            <w:pPr>
              <w:rPr>
                <w:rFonts w:hint="eastAsia"/>
                <w:color w:val="auto"/>
                <w:vertAlign w:val="baseline"/>
                <w:lang w:val="en-US" w:eastAsia="zh-CN"/>
              </w:rPr>
            </w:pPr>
            <w:r>
              <w:rPr>
                <w:rFonts w:hint="eastAsia"/>
                <w:color w:val="auto"/>
                <w:vertAlign w:val="baseline"/>
                <w:lang w:val="en-US" w:eastAsia="zh-CN"/>
              </w:rPr>
              <w:t>对公立医疗机构和高值医用耗材集中采购行为合规性的监督检查</w:t>
            </w:r>
          </w:p>
        </w:tc>
        <w:tc>
          <w:tcPr>
            <w:tcW w:w="1064" w:type="dxa"/>
            <w:vAlign w:val="center"/>
          </w:tcPr>
          <w:p>
            <w:pPr>
              <w:rPr>
                <w:rFonts w:hint="eastAsia"/>
                <w:color w:val="auto"/>
                <w:vertAlign w:val="baseline"/>
                <w:lang w:val="en-US" w:eastAsia="zh-CN"/>
              </w:rPr>
            </w:pPr>
            <w:r>
              <w:rPr>
                <w:rFonts w:hint="eastAsia"/>
                <w:color w:val="auto"/>
                <w:vertAlign w:val="baseline"/>
                <w:lang w:val="en-US" w:eastAsia="zh-CN"/>
              </w:rPr>
              <w:t>公立定点医疗机构</w:t>
            </w:r>
          </w:p>
        </w:tc>
        <w:tc>
          <w:tcPr>
            <w:tcW w:w="7542" w:type="dxa"/>
            <w:vAlign w:val="center"/>
          </w:tcPr>
          <w:p>
            <w:pPr>
              <w:numPr>
                <w:ilvl w:val="0"/>
                <w:numId w:val="0"/>
              </w:numPr>
              <w:ind w:left="0" w:leftChars="0" w:firstLine="0" w:firstLineChars="0"/>
              <w:rPr>
                <w:rFonts w:hint="eastAsia"/>
                <w:color w:val="auto"/>
                <w:vertAlign w:val="baseline"/>
                <w:lang w:val="en-US" w:eastAsia="zh-CN"/>
              </w:rPr>
            </w:pPr>
            <w:r>
              <w:rPr>
                <w:rFonts w:hint="eastAsia"/>
                <w:color w:val="auto"/>
                <w:vertAlign w:val="baseline"/>
                <w:lang w:val="en-US" w:eastAsia="zh-CN"/>
              </w:rPr>
              <w:t>《昆明市官渡区医疗保障局智能配置、内设机构和人员编制规定》（官办通〔2019〕26号）</w:t>
            </w:r>
          </w:p>
        </w:tc>
        <w:tc>
          <w:tcPr>
            <w:tcW w:w="1168" w:type="dxa"/>
            <w:vAlign w:val="center"/>
          </w:tcPr>
          <w:p>
            <w:pPr>
              <w:rPr>
                <w:rFonts w:hint="eastAsia"/>
                <w:color w:val="auto"/>
                <w:vertAlign w:val="baseline"/>
                <w:lang w:val="en-US" w:eastAsia="zh-CN"/>
              </w:rPr>
            </w:pPr>
            <w:r>
              <w:rPr>
                <w:rFonts w:hint="eastAsia"/>
                <w:color w:val="auto"/>
                <w:vertAlign w:val="baseline"/>
                <w:lang w:val="en-US" w:eastAsia="zh-CN"/>
              </w:rPr>
              <w:t>昆明市官渡区医疗保障局</w:t>
            </w:r>
          </w:p>
        </w:tc>
        <w:tc>
          <w:tcPr>
            <w:tcW w:w="1168" w:type="dxa"/>
            <w:vAlign w:val="center"/>
          </w:tcPr>
          <w:p>
            <w:pPr>
              <w:rPr>
                <w:rFonts w:hint="eastAsia"/>
                <w:color w:val="auto"/>
                <w:vertAlign w:val="baseline"/>
                <w:lang w:val="en-US" w:eastAsia="zh-CN"/>
              </w:rPr>
            </w:pPr>
            <w:r>
              <w:rPr>
                <w:rFonts w:hint="eastAsia"/>
                <w:vertAlign w:val="baseline"/>
                <w:lang w:val="en-US" w:eastAsia="zh-CN"/>
              </w:rPr>
              <w:t>区级</w:t>
            </w:r>
          </w:p>
        </w:tc>
        <w:tc>
          <w:tcPr>
            <w:tcW w:w="1168" w:type="dxa"/>
            <w:vAlign w:val="center"/>
          </w:tcPr>
          <w:p>
            <w:pPr>
              <w:rPr>
                <w:rFonts w:hint="eastAsia"/>
                <w:color w:val="auto"/>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7" w:hRule="atLeast"/>
        </w:trPr>
        <w:tc>
          <w:tcPr>
            <w:tcW w:w="496" w:type="dxa"/>
            <w:vAlign w:val="center"/>
          </w:tcPr>
          <w:p>
            <w:pPr>
              <w:rPr>
                <w:rFonts w:hint="eastAsia"/>
                <w:vertAlign w:val="baseline"/>
                <w:lang w:val="en-US" w:eastAsia="zh-CN"/>
              </w:rPr>
            </w:pPr>
            <w:r>
              <w:rPr>
                <w:rFonts w:hint="eastAsia"/>
                <w:vertAlign w:val="baseline"/>
                <w:lang w:val="en-US" w:eastAsia="zh-CN"/>
              </w:rPr>
              <w:t>7</w:t>
            </w:r>
          </w:p>
        </w:tc>
        <w:tc>
          <w:tcPr>
            <w:tcW w:w="1565" w:type="dxa"/>
            <w:vAlign w:val="center"/>
          </w:tcPr>
          <w:p>
            <w:pPr>
              <w:rPr>
                <w:rFonts w:hint="eastAsia"/>
                <w:vertAlign w:val="baseline"/>
                <w:lang w:val="en-US" w:eastAsia="zh-CN"/>
              </w:rPr>
            </w:pPr>
            <w:r>
              <w:rPr>
                <w:rFonts w:hint="eastAsia"/>
                <w:vertAlign w:val="baseline"/>
                <w:lang w:val="en-US" w:eastAsia="zh-CN"/>
              </w:rPr>
              <w:t>医疗保险稽核</w:t>
            </w:r>
          </w:p>
        </w:tc>
        <w:tc>
          <w:tcPr>
            <w:tcW w:w="1064" w:type="dxa"/>
            <w:vAlign w:val="center"/>
          </w:tcPr>
          <w:p>
            <w:pPr>
              <w:rPr>
                <w:rFonts w:hint="eastAsia"/>
                <w:vertAlign w:val="baseline"/>
                <w:lang w:val="en-US" w:eastAsia="zh-CN"/>
              </w:rPr>
            </w:pPr>
            <w:r>
              <w:rPr>
                <w:rFonts w:hint="eastAsia"/>
                <w:vertAlign w:val="baseline"/>
                <w:lang w:val="en-US" w:eastAsia="zh-CN"/>
              </w:rPr>
              <w:t>定点医药机构、参保人</w:t>
            </w:r>
          </w:p>
        </w:tc>
        <w:tc>
          <w:tcPr>
            <w:tcW w:w="7542" w:type="dxa"/>
            <w:vAlign w:val="center"/>
          </w:tcPr>
          <w:p>
            <w:pPr>
              <w:numPr>
                <w:ilvl w:val="0"/>
                <w:numId w:val="5"/>
              </w:numPr>
              <w:rPr>
                <w:rFonts w:hint="eastAsia"/>
                <w:vertAlign w:val="baseline"/>
                <w:lang w:val="en-US" w:eastAsia="zh-CN"/>
              </w:rPr>
            </w:pPr>
            <w:r>
              <w:rPr>
                <w:rFonts w:hint="eastAsia"/>
                <w:vertAlign w:val="baseline"/>
                <w:lang w:val="en-US" w:eastAsia="zh-CN"/>
              </w:rPr>
              <w:t>《中华人民共和国社会保险法》第三十一条：社会保险经办机构根据管理服务的需要,可以与医疗机构、药品经营单位签订服务协议,规范医疗服务行为。医疗机构应当为参保人员提供合理、必要的医疗服务。</w:t>
            </w:r>
          </w:p>
          <w:p>
            <w:pPr>
              <w:numPr>
                <w:ilvl w:val="0"/>
                <w:numId w:val="0"/>
              </w:numPr>
              <w:rPr>
                <w:rFonts w:hint="eastAsia"/>
                <w:vertAlign w:val="baseline"/>
                <w:lang w:val="en-US" w:eastAsia="zh-CN"/>
              </w:rPr>
            </w:pPr>
            <w:r>
              <w:rPr>
                <w:rFonts w:hint="eastAsia"/>
                <w:vertAlign w:val="baseline"/>
                <w:lang w:val="en-US" w:eastAsia="zh-CN"/>
              </w:rPr>
              <w:t>2.《社会保险稽核办法》(劳动部令第16号）第二条：本办法所称稽核是指社会保险经办机构依法对社会保险费缴纳情况和社会保险待遇领取情况进行的核查。第三条：县级以上社会保险经办机构负责社会保险稽核工作。第五条：社会保险经办机构及社会保险稽核人员开展稽核工作，行使下列职权：(一)要求被稽核单位提供用人情况、工资收入情况、财务报表、统计报表、缴费数据和相关账册、会计凭证等与缴纳社会保险费有关的情况和资料；（二）可以记录、录音、录像、照相和复制与缴纳社会保险费有关的资料，对被稽核对象的参保情况和缴纳社会保险费等方面的情况进行调查、询问；(三)要求被稽核对象提供与稽核事项有关的资料。第十二条：社会保险经办机构应当对参保个人领取社会保险待遇情况进行核查，发现社会保险待遇领取人丧失待遇领取资格后本人或他人继续领取待遇或以其他形式骗取社会保险待遇的，社会保险经办机构应当立即停止待遇的支付并责令退还；拒不退还的，由劳动保障行政部门依法处理，并可对其处以500元以上1000元以下罚款；构成犯罪的，由司法机关依法追究刑事责任。</w:t>
            </w:r>
          </w:p>
          <w:p>
            <w:pPr>
              <w:numPr>
                <w:ilvl w:val="0"/>
                <w:numId w:val="0"/>
              </w:numPr>
              <w:rPr>
                <w:rFonts w:hint="default"/>
                <w:vertAlign w:val="baseline"/>
                <w:lang w:val="en-US" w:eastAsia="zh-CN"/>
              </w:rPr>
            </w:pPr>
            <w:r>
              <w:rPr>
                <w:rFonts w:hint="default"/>
                <w:vertAlign w:val="baseline"/>
                <w:lang w:val="en-US" w:eastAsia="zh-CN"/>
              </w:rPr>
              <w:t>3.《医疗机构医疗保障定点管理暂行办法》（国家医保局令第2号）第三十条</w:t>
            </w:r>
            <w:r>
              <w:rPr>
                <w:rFonts w:hint="eastAsia"/>
                <w:vertAlign w:val="baseline"/>
                <w:lang w:val="en-US" w:eastAsia="zh-CN"/>
              </w:rPr>
              <w:t>：</w:t>
            </w:r>
            <w:r>
              <w:rPr>
                <w:rFonts w:hint="default"/>
                <w:vertAlign w:val="baseline"/>
                <w:lang w:val="en-US" w:eastAsia="zh-CN"/>
              </w:rPr>
              <w:t>经办机构应当加强医疗保障基金支出管理，通过智能审核、实时监控、现场检查等方式及时审核医疗费用。对定点医疗机构进行定期和不定期稽查审核。按协议约定及时足额向定点医疗机构拨付医保费用，原则上应当在定点医疗机构申报后30个工作日内拨付符合规定的医保费用。</w:t>
            </w:r>
          </w:p>
          <w:p>
            <w:pPr>
              <w:numPr>
                <w:ilvl w:val="0"/>
                <w:numId w:val="0"/>
              </w:numPr>
              <w:ind w:left="0" w:leftChars="0" w:firstLine="0" w:firstLineChars="0"/>
              <w:rPr>
                <w:rFonts w:hint="eastAsia"/>
                <w:vertAlign w:val="baseline"/>
                <w:lang w:val="en-US" w:eastAsia="zh-CN"/>
              </w:rPr>
            </w:pPr>
            <w:r>
              <w:rPr>
                <w:rFonts w:hint="eastAsia"/>
                <w:vertAlign w:val="baseline"/>
                <w:lang w:val="en-US" w:eastAsia="zh-CN"/>
              </w:rPr>
              <w:t>4.</w:t>
            </w:r>
            <w:r>
              <w:rPr>
                <w:rFonts w:hint="default"/>
                <w:vertAlign w:val="baseline"/>
                <w:lang w:val="en-US" w:eastAsia="zh-CN"/>
              </w:rPr>
              <w:t>《零售药店医疗保障定点管理暂行办法》（国家医保局令第3号）第二十九条</w:t>
            </w:r>
            <w:r>
              <w:rPr>
                <w:rFonts w:hint="eastAsia"/>
                <w:vertAlign w:val="baseline"/>
                <w:lang w:val="en-US" w:eastAsia="zh-CN"/>
              </w:rPr>
              <w:t>：</w:t>
            </w:r>
            <w:r>
              <w:rPr>
                <w:rFonts w:hint="default"/>
                <w:vertAlign w:val="baseline"/>
                <w:lang w:val="en-US" w:eastAsia="zh-CN"/>
              </w:rPr>
              <w:t>经办机构应当加强医疗保障基金支出管理，通过智能审核、实时监控、现场检查等方式及时审核医保药品费用。对定点零售药店进行定期和不定期稽查审核，按医保协议约定及时足额向定点零售药店拨付医保费用。原则上，应当在定点零售药店申报后30个工作日内拨付符合规定的医保费用。</w:t>
            </w:r>
          </w:p>
        </w:tc>
        <w:tc>
          <w:tcPr>
            <w:tcW w:w="1168" w:type="dxa"/>
            <w:vAlign w:val="center"/>
          </w:tcPr>
          <w:p>
            <w:pPr>
              <w:jc w:val="center"/>
              <w:rPr>
                <w:rFonts w:hint="eastAsia"/>
                <w:vertAlign w:val="baseline"/>
                <w:lang w:val="en-US" w:eastAsia="zh-CN"/>
              </w:rPr>
            </w:pPr>
            <w:r>
              <w:rPr>
                <w:rFonts w:hint="eastAsia"/>
                <w:vertAlign w:val="baseline"/>
                <w:lang w:val="en-US" w:eastAsia="zh-CN"/>
              </w:rPr>
              <w:t>昆明市官渡区医疗保障局</w:t>
            </w:r>
          </w:p>
        </w:tc>
        <w:tc>
          <w:tcPr>
            <w:tcW w:w="1168" w:type="dxa"/>
            <w:vAlign w:val="center"/>
          </w:tcPr>
          <w:p>
            <w:pPr>
              <w:jc w:val="center"/>
              <w:rPr>
                <w:rFonts w:hint="eastAsia"/>
                <w:vertAlign w:val="baseline"/>
                <w:lang w:val="en-US" w:eastAsia="zh-CN"/>
              </w:rPr>
            </w:pPr>
            <w:r>
              <w:rPr>
                <w:rFonts w:hint="eastAsia"/>
                <w:vertAlign w:val="baseline"/>
                <w:lang w:val="en-US" w:eastAsia="zh-CN"/>
              </w:rPr>
              <w:t>区级</w:t>
            </w:r>
          </w:p>
        </w:tc>
        <w:tc>
          <w:tcPr>
            <w:tcW w:w="1168" w:type="dxa"/>
            <w:vAlign w:val="center"/>
          </w:tcPr>
          <w:p>
            <w:pPr>
              <w:jc w:val="center"/>
              <w:rPr>
                <w:rFonts w:hint="eastAsia"/>
                <w:vertAlign w:val="baseline"/>
                <w:lang w:val="en-US" w:eastAsia="zh-CN"/>
              </w:rPr>
            </w:pPr>
          </w:p>
        </w:tc>
      </w:tr>
    </w:tbl>
    <w:p>
      <w:pPr>
        <w:rPr>
          <w:rFonts w:hint="default"/>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4F1B6"/>
    <w:multiLevelType w:val="singleLevel"/>
    <w:tmpl w:val="0024F1B6"/>
    <w:lvl w:ilvl="0" w:tentative="0">
      <w:start w:val="1"/>
      <w:numFmt w:val="decimal"/>
      <w:lvlText w:val="%1."/>
      <w:lvlJc w:val="left"/>
      <w:pPr>
        <w:tabs>
          <w:tab w:val="left" w:pos="312"/>
        </w:tabs>
      </w:pPr>
    </w:lvl>
  </w:abstractNum>
  <w:abstractNum w:abstractNumId="1">
    <w:nsid w:val="0141F1A5"/>
    <w:multiLevelType w:val="singleLevel"/>
    <w:tmpl w:val="0141F1A5"/>
    <w:lvl w:ilvl="0" w:tentative="0">
      <w:start w:val="1"/>
      <w:numFmt w:val="decimal"/>
      <w:lvlText w:val="%1."/>
      <w:lvlJc w:val="left"/>
      <w:pPr>
        <w:tabs>
          <w:tab w:val="left" w:pos="312"/>
        </w:tabs>
      </w:pPr>
    </w:lvl>
  </w:abstractNum>
  <w:abstractNum w:abstractNumId="2">
    <w:nsid w:val="1A8ADFA0"/>
    <w:multiLevelType w:val="singleLevel"/>
    <w:tmpl w:val="1A8ADFA0"/>
    <w:lvl w:ilvl="0" w:tentative="0">
      <w:start w:val="1"/>
      <w:numFmt w:val="decimal"/>
      <w:lvlText w:val="%1."/>
      <w:lvlJc w:val="left"/>
      <w:pPr>
        <w:tabs>
          <w:tab w:val="left" w:pos="312"/>
        </w:tabs>
      </w:pPr>
    </w:lvl>
  </w:abstractNum>
  <w:abstractNum w:abstractNumId="3">
    <w:nsid w:val="322AB36C"/>
    <w:multiLevelType w:val="singleLevel"/>
    <w:tmpl w:val="322AB36C"/>
    <w:lvl w:ilvl="0" w:tentative="0">
      <w:start w:val="1"/>
      <w:numFmt w:val="decimal"/>
      <w:lvlText w:val="%1."/>
      <w:lvlJc w:val="left"/>
      <w:pPr>
        <w:tabs>
          <w:tab w:val="left" w:pos="312"/>
        </w:tabs>
      </w:pPr>
    </w:lvl>
  </w:abstractNum>
  <w:abstractNum w:abstractNumId="4">
    <w:nsid w:val="6EB79790"/>
    <w:multiLevelType w:val="singleLevel"/>
    <w:tmpl w:val="6EB79790"/>
    <w:lvl w:ilvl="0" w:tentative="0">
      <w:start w:val="1"/>
      <w:numFmt w:val="decimal"/>
      <w:lvlText w:val="%1."/>
      <w:lvlJc w:val="left"/>
      <w:pPr>
        <w:tabs>
          <w:tab w:val="left" w:pos="312"/>
        </w:tabs>
      </w:p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194D53"/>
    <w:rsid w:val="05FB3225"/>
    <w:rsid w:val="0D690564"/>
    <w:rsid w:val="10567BF2"/>
    <w:rsid w:val="11862DE4"/>
    <w:rsid w:val="290437D8"/>
    <w:rsid w:val="2FDC2D0E"/>
    <w:rsid w:val="3E194D53"/>
    <w:rsid w:val="6E670CAD"/>
    <w:rsid w:val="70895277"/>
    <w:rsid w:val="72D71A51"/>
    <w:rsid w:val="779B24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昆明市直属党政机关单位</Company>
  <Pages>1</Pages>
  <Words>0</Words>
  <Characters>0</Characters>
  <Lines>0</Lines>
  <Paragraphs>0</Paragraphs>
  <TotalTime>1</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2022-08-29T02:21:00Z</dcterms:created>
  <dc:creator>ASUS</dc:creator>
  <cp:lastModifiedBy>Administrator</cp:lastModifiedBy>
  <dcterms:modified xsi:type="dcterms:W3CDTF">2025-04-21T08:44:56Z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