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50846">
      <w:pPr>
        <w:keepNext w:val="0"/>
        <w:keepLines w:val="0"/>
        <w:pageBreakBefore w:val="0"/>
        <w:wordWrap/>
        <w:topLinePunct w:val="0"/>
        <w:bidi w:val="0"/>
        <w:spacing w:line="480" w:lineRule="exact"/>
        <w:textAlignment w:val="auto"/>
        <w:rPr>
          <w:sz w:val="44"/>
          <w:szCs w:val="44"/>
        </w:rPr>
      </w:pPr>
      <w:r>
        <w:rPr>
          <w:sz w:val="44"/>
          <w:szCs w:val="44"/>
        </w:rPr>
        <w:pict>
          <v:shape id="_x0000_s1027" o:spid="_x0000_s1027" o:spt="202" type="#_x0000_t202" style="position:absolute;left:0pt;margin-left:297pt;margin-top:26.7pt;height:56.5pt;width:166.95pt;z-index:251659264;mso-width-relative:page;mso-height-relative:page;" stroked="f" coordsize="21600,21600">
            <v:path/>
            <v:fill focussize="0,0"/>
            <v:stroke on="f" joinstyle="miter"/>
            <v:imagedata o:title=""/>
            <o:lock v:ext="edit"/>
            <v:textbox>
              <w:txbxContent>
                <w:p w14:paraId="7D0C3B6E">
                  <w:pPr>
                    <w:rPr>
                      <w:spacing w:val="-7"/>
                      <w:sz w:val="36"/>
                      <w:szCs w:val="36"/>
                    </w:rPr>
                  </w:pPr>
                  <w:r>
                    <w:rPr>
                      <w:spacing w:val="-7"/>
                      <w:sz w:val="36"/>
                      <w:szCs w:val="36"/>
                    </w:rPr>
                    <w:t>BSZN-</w:t>
                  </w:r>
                  <w:r>
                    <w:rPr>
                      <w:rFonts w:hint="eastAsia"/>
                      <w:spacing w:val="-7"/>
                      <w:sz w:val="36"/>
                      <w:szCs w:val="36"/>
                    </w:rPr>
                    <w:t>110025900</w:t>
                  </w:r>
                  <w:r>
                    <w:rPr>
                      <w:spacing w:val="-7"/>
                      <w:sz w:val="36"/>
                      <w:szCs w:val="36"/>
                    </w:rPr>
                    <w:t>4</w:t>
                  </w:r>
                </w:p>
                <w:p w14:paraId="37D1F41E">
                  <w:pPr>
                    <w:rPr>
                      <w:rFonts w:ascii="黑体" w:eastAsia="黑体"/>
                      <w:color w:val="FF0000"/>
                      <w:spacing w:val="-6"/>
                      <w:szCs w:val="21"/>
                    </w:rPr>
                  </w:pPr>
                </w:p>
              </w:txbxContent>
            </v:textbox>
          </v:shape>
        </w:pict>
      </w:r>
      <w:r>
        <w:rPr>
          <w:sz w:val="44"/>
          <w:szCs w:val="44"/>
        </w:rPr>
        <w:pict>
          <v:shape id="_x0000_s1582" o:spid="_x0000_s1582" o:spt="136" type="#_x0000_t136" style="position:absolute;left:0pt;margin-left:-0.65pt;margin-top:0.7pt;height:42.5pt;width:127.55pt;z-index:251660288;mso-width-relative:page;mso-height-relative:page;" fillcolor="#969696" filled="t" coordsize="21600,21600">
            <v:path/>
            <v:fill on="t" focussize="0,0"/>
            <v:stroke/>
            <v:imagedata o:title=""/>
            <o:lock v:ext="edit" text="f"/>
            <v:textpath on="t" fitshape="t" fitpath="t" trim="t" xscale="f" string="BSZN" style="font-family:方正小标宋简体;font-size:36pt;font-weight:bold;v-text-align:center;"/>
            <v:shadow on="t" color="#000000" offset="2pt,-2pt" offset2="-8pt,8pt"/>
          </v:shape>
        </w:pict>
      </w:r>
    </w:p>
    <w:p w14:paraId="576C02F2">
      <w:pPr>
        <w:keepNext w:val="0"/>
        <w:keepLines w:val="0"/>
        <w:pageBreakBefore w:val="0"/>
        <w:wordWrap/>
        <w:topLinePunct w:val="0"/>
        <w:bidi w:val="0"/>
        <w:spacing w:line="480" w:lineRule="exact"/>
        <w:textAlignment w:val="auto"/>
        <w:rPr>
          <w:sz w:val="44"/>
          <w:szCs w:val="44"/>
        </w:rPr>
      </w:pPr>
    </w:p>
    <w:p w14:paraId="55938C3D">
      <w:pPr>
        <w:keepNext w:val="0"/>
        <w:keepLines w:val="0"/>
        <w:pageBreakBefore w:val="0"/>
        <w:wordWrap/>
        <w:topLinePunct w:val="0"/>
        <w:bidi w:val="0"/>
        <w:spacing w:line="480" w:lineRule="exact"/>
        <w:textAlignment w:val="auto"/>
        <w:rPr>
          <w:sz w:val="44"/>
          <w:szCs w:val="44"/>
        </w:rPr>
      </w:pPr>
    </w:p>
    <w:p w14:paraId="38A12AE5">
      <w:pPr>
        <w:keepNext w:val="0"/>
        <w:keepLines w:val="0"/>
        <w:pageBreakBefore w:val="0"/>
        <w:wordWrap/>
        <w:topLinePunct w:val="0"/>
        <w:bidi w:val="0"/>
        <w:spacing w:line="480" w:lineRule="exact"/>
        <w:textAlignment w:val="auto"/>
        <w:rPr>
          <w:sz w:val="44"/>
          <w:szCs w:val="44"/>
        </w:rPr>
      </w:pPr>
    </w:p>
    <w:p w14:paraId="27A07933">
      <w:pPr>
        <w:keepNext w:val="0"/>
        <w:keepLines w:val="0"/>
        <w:pageBreakBefore w:val="0"/>
        <w:wordWrap/>
        <w:topLinePunct w:val="0"/>
        <w:bidi w:val="0"/>
        <w:spacing w:line="480" w:lineRule="exact"/>
        <w:textAlignment w:val="auto"/>
        <w:rPr>
          <w:sz w:val="44"/>
          <w:szCs w:val="44"/>
        </w:rPr>
      </w:pPr>
    </w:p>
    <w:p w14:paraId="31DC0261">
      <w:pPr>
        <w:keepNext w:val="0"/>
        <w:keepLines w:val="0"/>
        <w:pageBreakBefore w:val="0"/>
        <w:wordWrap/>
        <w:topLinePunct w:val="0"/>
        <w:bidi w:val="0"/>
        <w:spacing w:line="480" w:lineRule="exact"/>
        <w:textAlignment w:val="auto"/>
        <w:rPr>
          <w:sz w:val="44"/>
          <w:szCs w:val="44"/>
        </w:rPr>
      </w:pPr>
      <w:r>
        <w:rPr>
          <w:rFonts w:ascii="黑体" w:hAnsi="黑体" w:eastAsia="黑体"/>
          <w:sz w:val="32"/>
          <w:szCs w:val="32"/>
        </w:rPr>
        <w:pict>
          <v:shape id="_x0000_s1584" o:spid="_x0000_s1584" o:spt="202" type="#_x0000_t202" style="position:absolute;left:0pt;margin-left:14.95pt;margin-top:177.9pt;height:211.75pt;width:412.3pt;mso-position-horizontal-relative:margin;mso-position-vertical-relative:margin;z-index:-251655168;mso-width-relative:margin;mso-height-relative:margin;" fillcolor="#FFFFFF" filled="t" stroked="t" coordsize="21600,21600">
            <v:path/>
            <v:fill on="t" color2="#FFFFFF" focussize="0,0"/>
            <v:stroke color="#FFFFFF" joinstyle="miter"/>
            <v:imagedata o:title=""/>
            <o:lock v:ext="edit" aspectratio="f"/>
            <v:textbox>
              <w:txbxContent>
                <w:p w14:paraId="2FF0D569">
                  <w:pPr>
                    <w:adjustRightInd w:val="0"/>
                    <w:snapToGrid w:val="0"/>
                    <w:spacing w:line="800" w:lineRule="exact"/>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跨越、穿越公路及在公路用地范围内架设、埋设管线、电缆等设施，或者利用公路桥梁、公路隧道、涵洞铺设电缆等设施许可</w:t>
                  </w:r>
                </w:p>
                <w:p w14:paraId="75FD0611">
                  <w:pPr>
                    <w:adjustRightInd w:val="0"/>
                    <w:snapToGrid w:val="0"/>
                    <w:spacing w:line="800" w:lineRule="exact"/>
                    <w:jc w:val="center"/>
                    <w:rPr>
                      <w:rFonts w:hint="eastAsia" w:ascii="方正小标宋简体" w:hAnsi="方正小标宋简体" w:eastAsia="方正小标宋简体" w:cs="方正小标宋简体"/>
                      <w:b/>
                      <w:sz w:val="52"/>
                      <w:szCs w:val="52"/>
                    </w:rPr>
                  </w:pPr>
                  <w:r>
                    <w:rPr>
                      <w:rFonts w:hint="eastAsia" w:ascii="方正小标宋简体" w:hAnsi="方正小标宋简体" w:eastAsia="方正小标宋简体" w:cs="方正小标宋简体"/>
                      <w:b/>
                      <w:sz w:val="52"/>
                      <w:szCs w:val="52"/>
                    </w:rPr>
                    <w:t>办事指南</w:t>
                  </w:r>
                </w:p>
                <w:p w14:paraId="1B72A8D4">
                  <w:pPr>
                    <w:rPr>
                      <w:rFonts w:asciiTheme="majorEastAsia" w:hAnsiTheme="majorEastAsia" w:eastAsiaTheme="majorEastAsia"/>
                      <w:b/>
                    </w:rPr>
                  </w:pPr>
                </w:p>
              </w:txbxContent>
            </v:textbox>
          </v:shape>
        </w:pict>
      </w:r>
    </w:p>
    <w:p w14:paraId="428E3B3E">
      <w:pPr>
        <w:keepNext w:val="0"/>
        <w:keepLines w:val="0"/>
        <w:pageBreakBefore w:val="0"/>
        <w:wordWrap/>
        <w:topLinePunct w:val="0"/>
        <w:bidi w:val="0"/>
        <w:adjustRightInd w:val="0"/>
        <w:snapToGrid w:val="0"/>
        <w:spacing w:line="480" w:lineRule="exact"/>
        <w:jc w:val="center"/>
        <w:textAlignment w:val="auto"/>
        <w:rPr>
          <w:rFonts w:ascii="黑体" w:hAnsi="黑体" w:eastAsia="黑体"/>
          <w:sz w:val="32"/>
          <w:szCs w:val="32"/>
        </w:rPr>
      </w:pPr>
      <w:r>
        <w:rPr>
          <w:rFonts w:ascii="黑体" w:hAnsi="黑体" w:eastAsia="黑体"/>
          <w:sz w:val="32"/>
          <w:szCs w:val="32"/>
        </w:rPr>
        <w:t xml:space="preserve"> </w:t>
      </w:r>
    </w:p>
    <w:p w14:paraId="5F4067D7">
      <w:pPr>
        <w:keepNext w:val="0"/>
        <w:keepLines w:val="0"/>
        <w:pageBreakBefore w:val="0"/>
        <w:tabs>
          <w:tab w:val="left" w:pos="3135"/>
        </w:tabs>
        <w:wordWrap/>
        <w:topLinePunct w:val="0"/>
        <w:bidi w:val="0"/>
        <w:spacing w:line="480" w:lineRule="exact"/>
        <w:jc w:val="left"/>
        <w:textAlignment w:val="auto"/>
        <w:rPr>
          <w:rFonts w:ascii="黑体" w:hAnsi="黑体" w:eastAsia="黑体"/>
          <w:sz w:val="32"/>
          <w:szCs w:val="32"/>
        </w:rPr>
      </w:pPr>
    </w:p>
    <w:p w14:paraId="0A94E441">
      <w:pPr>
        <w:keepNext w:val="0"/>
        <w:keepLines w:val="0"/>
        <w:pageBreakBefore w:val="0"/>
        <w:wordWrap/>
        <w:topLinePunct w:val="0"/>
        <w:bidi w:val="0"/>
        <w:spacing w:line="480" w:lineRule="exact"/>
        <w:textAlignment w:val="auto"/>
        <w:rPr>
          <w:rFonts w:ascii="黑体" w:hAnsi="黑体" w:eastAsia="黑体"/>
          <w:sz w:val="32"/>
          <w:szCs w:val="32"/>
        </w:rPr>
      </w:pPr>
    </w:p>
    <w:p w14:paraId="7CEB5523">
      <w:pPr>
        <w:keepNext w:val="0"/>
        <w:keepLines w:val="0"/>
        <w:pageBreakBefore w:val="0"/>
        <w:wordWrap/>
        <w:topLinePunct w:val="0"/>
        <w:bidi w:val="0"/>
        <w:spacing w:line="480" w:lineRule="exact"/>
        <w:textAlignment w:val="auto"/>
        <w:rPr>
          <w:rFonts w:ascii="黑体" w:hAnsi="黑体" w:eastAsia="黑体"/>
          <w:sz w:val="32"/>
          <w:szCs w:val="32"/>
        </w:rPr>
      </w:pPr>
    </w:p>
    <w:p w14:paraId="56AE9634">
      <w:pPr>
        <w:keepNext w:val="0"/>
        <w:keepLines w:val="0"/>
        <w:pageBreakBefore w:val="0"/>
        <w:tabs>
          <w:tab w:val="left" w:pos="6210"/>
        </w:tabs>
        <w:wordWrap/>
        <w:topLinePunct w:val="0"/>
        <w:bidi w:val="0"/>
        <w:spacing w:line="480" w:lineRule="exact"/>
        <w:jc w:val="left"/>
        <w:textAlignment w:val="auto"/>
        <w:rPr>
          <w:rFonts w:ascii="黑体" w:hAnsi="黑体" w:eastAsia="黑体"/>
          <w:sz w:val="32"/>
          <w:szCs w:val="32"/>
        </w:rPr>
      </w:pPr>
      <w:r>
        <w:rPr>
          <w:rFonts w:ascii="黑体" w:hAnsi="黑体" w:eastAsia="黑体"/>
          <w:sz w:val="32"/>
          <w:szCs w:val="32"/>
        </w:rPr>
        <w:tab/>
      </w:r>
    </w:p>
    <w:p w14:paraId="02F4B503">
      <w:pPr>
        <w:keepNext w:val="0"/>
        <w:keepLines w:val="0"/>
        <w:pageBreakBefore w:val="0"/>
        <w:wordWrap/>
        <w:topLinePunct w:val="0"/>
        <w:bidi w:val="0"/>
        <w:spacing w:line="480" w:lineRule="exact"/>
        <w:jc w:val="center"/>
        <w:textAlignment w:val="auto"/>
        <w:rPr>
          <w:rFonts w:ascii="黑体" w:hAnsi="黑体" w:eastAsia="黑体"/>
          <w:sz w:val="32"/>
          <w:szCs w:val="32"/>
        </w:rPr>
      </w:pPr>
    </w:p>
    <w:p w14:paraId="324A6935">
      <w:pPr>
        <w:keepNext w:val="0"/>
        <w:keepLines w:val="0"/>
        <w:pageBreakBefore w:val="0"/>
        <w:wordWrap/>
        <w:topLinePunct w:val="0"/>
        <w:bidi w:val="0"/>
        <w:spacing w:line="480" w:lineRule="exact"/>
        <w:textAlignment w:val="auto"/>
        <w:rPr>
          <w:rFonts w:ascii="黑体" w:hAnsi="黑体" w:eastAsia="黑体"/>
          <w:sz w:val="32"/>
          <w:szCs w:val="32"/>
        </w:rPr>
      </w:pPr>
    </w:p>
    <w:p w14:paraId="320F3EEE">
      <w:pPr>
        <w:keepNext w:val="0"/>
        <w:keepLines w:val="0"/>
        <w:pageBreakBefore w:val="0"/>
        <w:wordWrap/>
        <w:topLinePunct w:val="0"/>
        <w:bidi w:val="0"/>
        <w:spacing w:line="480" w:lineRule="exact"/>
        <w:jc w:val="center"/>
        <w:textAlignment w:val="auto"/>
        <w:rPr>
          <w:rFonts w:ascii="黑体" w:hAnsi="黑体" w:eastAsia="黑体"/>
          <w:szCs w:val="21"/>
        </w:rPr>
      </w:pPr>
    </w:p>
    <w:p w14:paraId="7EC56C37">
      <w:pPr>
        <w:keepNext w:val="0"/>
        <w:keepLines w:val="0"/>
        <w:pageBreakBefore w:val="0"/>
        <w:wordWrap/>
        <w:topLinePunct w:val="0"/>
        <w:bidi w:val="0"/>
        <w:spacing w:line="480" w:lineRule="exact"/>
        <w:jc w:val="center"/>
        <w:textAlignment w:val="auto"/>
        <w:rPr>
          <w:rFonts w:ascii="黑体" w:hAnsi="黑体" w:eastAsia="黑体"/>
          <w:szCs w:val="21"/>
        </w:rPr>
      </w:pPr>
    </w:p>
    <w:p w14:paraId="5ED8F2F9">
      <w:pPr>
        <w:keepNext w:val="0"/>
        <w:keepLines w:val="0"/>
        <w:pageBreakBefore w:val="0"/>
        <w:wordWrap/>
        <w:topLinePunct w:val="0"/>
        <w:bidi w:val="0"/>
        <w:spacing w:line="480" w:lineRule="exact"/>
        <w:jc w:val="center"/>
        <w:textAlignment w:val="auto"/>
        <w:rPr>
          <w:rFonts w:ascii="黑体" w:hAnsi="黑体" w:eastAsia="黑体"/>
          <w:szCs w:val="21"/>
        </w:rPr>
      </w:pPr>
    </w:p>
    <w:p w14:paraId="1F501D5D">
      <w:pPr>
        <w:keepNext w:val="0"/>
        <w:keepLines w:val="0"/>
        <w:pageBreakBefore w:val="0"/>
        <w:wordWrap/>
        <w:topLinePunct w:val="0"/>
        <w:bidi w:val="0"/>
        <w:spacing w:line="480" w:lineRule="exact"/>
        <w:jc w:val="center"/>
        <w:textAlignment w:val="auto"/>
        <w:rPr>
          <w:rFonts w:ascii="黑体" w:hAnsi="黑体" w:eastAsia="黑体"/>
          <w:szCs w:val="21"/>
        </w:rPr>
      </w:pPr>
    </w:p>
    <w:p w14:paraId="61D0F761">
      <w:pPr>
        <w:keepNext w:val="0"/>
        <w:keepLines w:val="0"/>
        <w:pageBreakBefore w:val="0"/>
        <w:wordWrap/>
        <w:topLinePunct w:val="0"/>
        <w:bidi w:val="0"/>
        <w:spacing w:line="480" w:lineRule="exact"/>
        <w:jc w:val="center"/>
        <w:textAlignment w:val="auto"/>
        <w:rPr>
          <w:rFonts w:ascii="黑体" w:hAnsi="黑体" w:eastAsia="黑体"/>
          <w:szCs w:val="21"/>
        </w:rPr>
      </w:pPr>
    </w:p>
    <w:p w14:paraId="535D0890">
      <w:pPr>
        <w:keepNext w:val="0"/>
        <w:keepLines w:val="0"/>
        <w:pageBreakBefore w:val="0"/>
        <w:wordWrap/>
        <w:topLinePunct w:val="0"/>
        <w:bidi w:val="0"/>
        <w:spacing w:line="480" w:lineRule="exact"/>
        <w:jc w:val="center"/>
        <w:textAlignment w:val="auto"/>
        <w:rPr>
          <w:rFonts w:ascii="黑体" w:hAnsi="黑体" w:eastAsia="黑体"/>
          <w:szCs w:val="21"/>
        </w:rPr>
      </w:pPr>
    </w:p>
    <w:p w14:paraId="507058FF">
      <w:pPr>
        <w:keepNext w:val="0"/>
        <w:keepLines w:val="0"/>
        <w:pageBreakBefore w:val="0"/>
        <w:wordWrap/>
        <w:topLinePunct w:val="0"/>
        <w:bidi w:val="0"/>
        <w:spacing w:line="480" w:lineRule="exact"/>
        <w:jc w:val="center"/>
        <w:textAlignment w:val="auto"/>
        <w:rPr>
          <w:rFonts w:ascii="黑体" w:hAnsi="黑体" w:eastAsia="黑体"/>
          <w:szCs w:val="21"/>
        </w:rPr>
      </w:pPr>
    </w:p>
    <w:p w14:paraId="4C4BB1AD">
      <w:pPr>
        <w:keepNext w:val="0"/>
        <w:keepLines w:val="0"/>
        <w:pageBreakBefore w:val="0"/>
        <w:wordWrap/>
        <w:topLinePunct w:val="0"/>
        <w:bidi w:val="0"/>
        <w:spacing w:line="480" w:lineRule="exact"/>
        <w:jc w:val="both"/>
        <w:textAlignment w:val="auto"/>
        <w:rPr>
          <w:rFonts w:ascii="黑体" w:hAnsi="黑体" w:eastAsia="黑体"/>
          <w:szCs w:val="21"/>
        </w:rPr>
      </w:pPr>
    </w:p>
    <w:p w14:paraId="5CB2D3CE">
      <w:pPr>
        <w:keepNext w:val="0"/>
        <w:keepLines w:val="0"/>
        <w:pageBreakBefore w:val="0"/>
        <w:wordWrap/>
        <w:topLinePunct w:val="0"/>
        <w:bidi w:val="0"/>
        <w:spacing w:line="480" w:lineRule="exact"/>
        <w:jc w:val="center"/>
        <w:textAlignment w:val="auto"/>
        <w:rPr>
          <w:rFonts w:ascii="黑体" w:hAnsi="黑体" w:eastAsia="黑体"/>
          <w:szCs w:val="21"/>
        </w:rPr>
      </w:pPr>
    </w:p>
    <w:p w14:paraId="427C26DE">
      <w:pPr>
        <w:keepNext w:val="0"/>
        <w:keepLines w:val="0"/>
        <w:pageBreakBefore w:val="0"/>
        <w:wordWrap/>
        <w:topLinePunct w:val="0"/>
        <w:bidi w:val="0"/>
        <w:spacing w:line="480" w:lineRule="exact"/>
        <w:jc w:val="center"/>
        <w:textAlignment w:val="auto"/>
        <w:rPr>
          <w:rFonts w:ascii="黑体" w:hAnsi="黑体" w:eastAsia="黑体"/>
          <w:color w:val="FF0000"/>
          <w:szCs w:val="21"/>
        </w:rPr>
      </w:pPr>
    </w:p>
    <w:p w14:paraId="61CE783F">
      <w:pPr>
        <w:keepNext w:val="0"/>
        <w:keepLines w:val="0"/>
        <w:pageBreakBefore w:val="0"/>
        <w:wordWrap/>
        <w:topLinePunct w:val="0"/>
        <w:bidi w:val="0"/>
        <w:adjustRightInd w:val="0"/>
        <w:snapToGrid w:val="0"/>
        <w:spacing w:before="100" w:beforeAutospacing="1" w:after="100" w:afterAutospacing="1" w:line="480" w:lineRule="exact"/>
        <w:jc w:val="center"/>
        <w:textAlignment w:val="auto"/>
        <w:rPr>
          <w:rFonts w:hint="eastAsia" w:ascii="黑体" w:hAnsi="黑体" w:eastAsia="黑体"/>
          <w:sz w:val="32"/>
          <w:szCs w:val="32"/>
        </w:rPr>
      </w:pPr>
      <w:r>
        <w:rPr>
          <w:rFonts w:hint="eastAsia" w:ascii="黑体" w:hAnsi="黑体" w:eastAsia="黑体"/>
          <w:sz w:val="32"/>
          <w:szCs w:val="32"/>
        </w:rPr>
        <w:t>昆明市官渡区行政审批局</w:t>
      </w:r>
    </w:p>
    <w:p w14:paraId="6D81373E">
      <w:pPr>
        <w:keepNext w:val="0"/>
        <w:keepLines w:val="0"/>
        <w:pageBreakBefore w:val="0"/>
        <w:wordWrap/>
        <w:topLinePunct w:val="0"/>
        <w:bidi w:val="0"/>
        <w:spacing w:line="480" w:lineRule="exact"/>
        <w:ind w:firstLine="2880" w:firstLineChars="900"/>
        <w:textAlignment w:val="auto"/>
        <w:rPr>
          <w:sz w:val="44"/>
          <w:szCs w:val="44"/>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992" w:gutter="0"/>
          <w:pgNumType w:fmt="numberInDash" w:start="1"/>
          <w:cols w:space="720" w:num="1"/>
          <w:titlePg/>
          <w:docGrid w:type="lines" w:linePitch="312" w:charSpace="0"/>
        </w:sectPr>
      </w:pPr>
      <w:r>
        <w:rPr>
          <w:rFonts w:hint="eastAsia" w:ascii="黑体" w:hAnsi="黑体" w:eastAsia="黑体"/>
          <w:sz w:val="32"/>
          <w:szCs w:val="32"/>
        </w:rPr>
        <w:t>20</w:t>
      </w:r>
      <w:r>
        <w:rPr>
          <w:rFonts w:hint="eastAsia" w:ascii="黑体" w:hAnsi="黑体" w:eastAsia="黑体"/>
          <w:sz w:val="32"/>
          <w:szCs w:val="32"/>
          <w:lang w:val="en-US" w:eastAsia="zh-CN"/>
        </w:rPr>
        <w:t>25</w:t>
      </w:r>
      <w:bookmarkStart w:id="0" w:name="_GoBack"/>
      <w:bookmarkEnd w:id="0"/>
      <w:r>
        <w:rPr>
          <w:rFonts w:hint="eastAsia" w:ascii="黑体" w:hAnsi="黑体" w:eastAsia="黑体"/>
          <w:sz w:val="32"/>
          <w:szCs w:val="32"/>
        </w:rPr>
        <w:t>年</w:t>
      </w:r>
      <w:r>
        <w:rPr>
          <w:rFonts w:hint="eastAsia" w:ascii="黑体" w:hAnsi="黑体" w:eastAsia="黑体"/>
          <w:sz w:val="32"/>
          <w:szCs w:val="32"/>
          <w:lang w:val="en-US" w:eastAsia="zh-CN"/>
        </w:rPr>
        <w:t>12</w:t>
      </w:r>
      <w:r>
        <w:rPr>
          <w:rFonts w:hint="eastAsia" w:ascii="黑体" w:hAnsi="黑体" w:eastAsia="黑体"/>
          <w:sz w:val="32"/>
          <w:szCs w:val="32"/>
        </w:rPr>
        <w:t>月</w:t>
      </w:r>
      <w:r>
        <w:rPr>
          <w:rFonts w:hint="eastAsia" w:ascii="黑体" w:hAnsi="黑体" w:eastAsia="黑体"/>
          <w:sz w:val="32"/>
          <w:szCs w:val="32"/>
          <w:lang w:val="en-US" w:eastAsia="zh-CN"/>
        </w:rPr>
        <w:t>1日</w:t>
      </w:r>
      <w:r>
        <w:rPr>
          <w:rFonts w:hint="eastAsia" w:ascii="黑体" w:hAnsi="黑体" w:eastAsia="黑体"/>
          <w:sz w:val="32"/>
          <w:szCs w:val="32"/>
        </w:rPr>
        <w:t>发布</w:t>
      </w:r>
    </w:p>
    <w:p w14:paraId="600DFF8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color w:val="000000" w:themeColor="text1"/>
          <w:sz w:val="36"/>
          <w:szCs w:val="36"/>
        </w:rPr>
      </w:pPr>
      <w:r>
        <w:rPr>
          <w:rFonts w:hint="eastAsia" w:ascii="黑体" w:hAnsi="黑体" w:eastAsia="黑体" w:cs="黑体"/>
          <w:color w:val="000000" w:themeColor="text1"/>
          <w:sz w:val="36"/>
          <w:szCs w:val="36"/>
        </w:rPr>
        <w:t>跨越、穿越公路及在公路用地范围内架设、埋设管线、</w:t>
      </w:r>
    </w:p>
    <w:p w14:paraId="3D45744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color w:val="000000" w:themeColor="text1"/>
          <w:sz w:val="36"/>
          <w:szCs w:val="36"/>
        </w:rPr>
      </w:pPr>
      <w:r>
        <w:rPr>
          <w:rFonts w:hint="eastAsia" w:ascii="黑体" w:hAnsi="黑体" w:eastAsia="黑体" w:cs="黑体"/>
          <w:color w:val="000000" w:themeColor="text1"/>
          <w:sz w:val="36"/>
          <w:szCs w:val="36"/>
        </w:rPr>
        <w:t>电缆等设施，或者利用公路桥梁、公路隧道、涵洞</w:t>
      </w:r>
    </w:p>
    <w:p w14:paraId="1197D00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黑体" w:hAnsi="黑体" w:eastAsia="黑体" w:cs="黑体"/>
          <w:color w:val="000000" w:themeColor="text1"/>
          <w:sz w:val="36"/>
          <w:szCs w:val="36"/>
        </w:rPr>
      </w:pPr>
      <w:r>
        <w:rPr>
          <w:rFonts w:hint="eastAsia" w:ascii="黑体" w:hAnsi="黑体" w:eastAsia="黑体" w:cs="黑体"/>
          <w:color w:val="000000" w:themeColor="text1"/>
          <w:sz w:val="36"/>
          <w:szCs w:val="36"/>
        </w:rPr>
        <w:t>铺设电缆等设施许可</w:t>
      </w:r>
      <w:r>
        <w:rPr>
          <w:rFonts w:hint="eastAsia" w:ascii="黑体" w:hAnsi="黑体" w:eastAsia="黑体" w:cs="黑体"/>
          <w:color w:val="000000" w:themeColor="text1"/>
          <w:sz w:val="36"/>
          <w:szCs w:val="36"/>
          <w:lang w:val="en-US" w:eastAsia="zh-CN"/>
        </w:rPr>
        <w:t>办事指南</w:t>
      </w:r>
    </w:p>
    <w:p w14:paraId="12495144">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themeColor="text1"/>
          <w:sz w:val="32"/>
          <w:szCs w:val="32"/>
        </w:rPr>
      </w:pPr>
    </w:p>
    <w:p w14:paraId="1B569EA8">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一、受理范围</w:t>
      </w:r>
    </w:p>
    <w:p w14:paraId="2672EEE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1.申请内容：跨越、穿越公路及在公路用地范围内架设、埋设管线、电缆等设施，或者利用公路桥梁、公路隧道、涵洞铺设电缆等设施许可申请。 </w:t>
      </w:r>
    </w:p>
    <w:p w14:paraId="4325331C">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lang w:val="en-US" w:eastAsia="zh-CN"/>
        </w:rPr>
        <w:t>.</w:t>
      </w:r>
      <w:r>
        <w:rPr>
          <w:rFonts w:hint="eastAsia" w:ascii="仿宋_GB2312" w:hAnsi="仿宋_GB2312" w:eastAsia="仿宋_GB2312" w:cs="仿宋_GB2312"/>
          <w:color w:val="000000" w:themeColor="text1"/>
          <w:sz w:val="32"/>
          <w:szCs w:val="32"/>
        </w:rPr>
        <w:t>申请人范围：公民、法人或其他组织</w:t>
      </w:r>
    </w:p>
    <w:p w14:paraId="7A836C01">
      <w:pPr>
        <w:keepNext w:val="0"/>
        <w:keepLines w:val="0"/>
        <w:pageBreakBefore w:val="0"/>
        <w:widowControl w:val="0"/>
        <w:kinsoku/>
        <w:wordWrap/>
        <w:overflowPunct/>
        <w:topLinePunct w:val="0"/>
        <w:autoSpaceDE/>
        <w:autoSpaceDN/>
        <w:bidi w:val="0"/>
        <w:spacing w:line="480" w:lineRule="exact"/>
        <w:ind w:firstLine="640" w:firstLineChars="200"/>
        <w:jc w:val="left"/>
        <w:textAlignment w:val="auto"/>
        <w:rPr>
          <w:rFonts w:hint="eastAsia" w:ascii="仿宋_GB2312" w:hAnsi="仿宋_GB2312" w:eastAsia="仿宋_GB2312" w:cs="仿宋_GB2312"/>
          <w:color w:val="000000" w:themeColor="text1"/>
          <w:sz w:val="32"/>
          <w:szCs w:val="32"/>
          <w:highlight w:val="yellow"/>
        </w:rPr>
      </w:pPr>
      <w:r>
        <w:rPr>
          <w:rFonts w:hint="eastAsia" w:ascii="仿宋_GB2312" w:hAnsi="仿宋_GB2312" w:eastAsia="仿宋_GB2312" w:cs="仿宋_GB2312"/>
          <w:color w:val="000000" w:themeColor="text1"/>
          <w:sz w:val="32"/>
          <w:szCs w:val="32"/>
        </w:rPr>
        <w:t>3.申请条件：跨（穿）越公路修建桥梁、渡槽或者架设、埋设管线以及在公路建筑控制区内埋设管道、电缆等设施的，申请人应当按照《公路法》、《公路安全保护条例》规定，</w:t>
      </w:r>
      <w:r>
        <w:rPr>
          <w:rFonts w:hint="eastAsia" w:ascii="仿宋_GB2312" w:hAnsi="仿宋_GB2312" w:eastAsia="仿宋_GB2312" w:cs="仿宋_GB2312"/>
          <w:color w:val="000000" w:themeColor="text1"/>
          <w:sz w:val="32"/>
          <w:szCs w:val="32"/>
          <w:highlight w:val="yellow"/>
        </w:rPr>
        <w:t>事先向路政许可主体提交申请。</w:t>
      </w:r>
    </w:p>
    <w:p w14:paraId="7AFC16B5">
      <w:pPr>
        <w:keepNext w:val="0"/>
        <w:keepLines w:val="0"/>
        <w:pageBreakBefore w:val="0"/>
        <w:kinsoku/>
        <w:wordWrap/>
        <w:overflowPunct/>
        <w:topLinePunct w:val="0"/>
        <w:autoSpaceDE/>
        <w:autoSpaceDN/>
        <w:bidi w:val="0"/>
        <w:spacing w:line="480" w:lineRule="exact"/>
        <w:ind w:firstLine="640" w:firstLineChars="200"/>
        <w:jc w:val="left"/>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4.不予受理的法定情形：</w:t>
      </w:r>
    </w:p>
    <w:p w14:paraId="78F79B87">
      <w:pPr>
        <w:pStyle w:val="13"/>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（1）申请事项依法不需要取得行政许可的。</w:t>
      </w:r>
    </w:p>
    <w:p w14:paraId="7312A5C9">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480" w:lineRule="exact"/>
        <w:ind w:firstLine="480" w:firstLineChars="15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（2）申请事项依法不属于本</w:t>
      </w:r>
      <w:r>
        <w:rPr>
          <w:rFonts w:hint="eastAsia" w:ascii="仿宋_GB2312" w:hAnsi="仿宋_GB2312" w:eastAsia="仿宋_GB2312" w:cs="仿宋_GB2312"/>
          <w:color w:val="000000" w:themeColor="text1"/>
          <w:kern w:val="0"/>
          <w:sz w:val="32"/>
          <w:szCs w:val="32"/>
          <w:lang w:val="en-US" w:eastAsia="zh-CN"/>
        </w:rPr>
        <w:t>单位</w:t>
      </w:r>
      <w:r>
        <w:rPr>
          <w:rFonts w:hint="eastAsia" w:ascii="仿宋_GB2312" w:hAnsi="仿宋_GB2312" w:eastAsia="仿宋_GB2312" w:cs="仿宋_GB2312"/>
          <w:color w:val="000000" w:themeColor="text1"/>
          <w:kern w:val="0"/>
          <w:sz w:val="32"/>
          <w:szCs w:val="32"/>
        </w:rPr>
        <w:t>职权范围的。</w:t>
      </w:r>
    </w:p>
    <w:p w14:paraId="2076E4E7">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spacing w:line="480" w:lineRule="exact"/>
        <w:ind w:firstLine="480" w:firstLineChars="15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（3）申请材料不齐全或者不符合法定形式的。</w:t>
      </w:r>
    </w:p>
    <w:p w14:paraId="64C52F4D">
      <w:pPr>
        <w:keepNext w:val="0"/>
        <w:keepLines w:val="0"/>
        <w:pageBreakBefore w:val="0"/>
        <w:kinsoku/>
        <w:wordWrap/>
        <w:overflowPunct/>
        <w:topLinePunct w:val="0"/>
        <w:autoSpaceDE/>
        <w:bidi w:val="0"/>
        <w:adjustRightInd w:val="0"/>
        <w:snapToGrid w:val="0"/>
        <w:spacing w:line="480" w:lineRule="exact"/>
        <w:ind w:firstLine="640" w:firstLineChars="200"/>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二、</w:t>
      </w:r>
      <w:r>
        <w:rPr>
          <w:rFonts w:hint="eastAsia" w:ascii="黑体" w:hAnsi="黑体" w:eastAsia="黑体"/>
          <w:color w:val="000000" w:themeColor="text1"/>
          <w:sz w:val="32"/>
          <w:szCs w:val="32"/>
          <w:lang w:val="en-US" w:eastAsia="zh-CN"/>
        </w:rPr>
        <w:t>设定</w:t>
      </w:r>
      <w:r>
        <w:rPr>
          <w:rFonts w:hint="eastAsia" w:ascii="黑体" w:hAnsi="黑体" w:eastAsia="黑体"/>
          <w:color w:val="000000" w:themeColor="text1"/>
          <w:sz w:val="32"/>
          <w:szCs w:val="32"/>
        </w:rPr>
        <w:t>依据</w:t>
      </w:r>
    </w:p>
    <w:p w14:paraId="5A06B24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《中华人民共和国公路法》第四十五条 跨越、穿越公路修建桥梁、渡槽或者架设、埋设管线等设施的，以及在公路用地范围内架设、埋设管线、电缆等设施的，应当事先经有关交通主管部门同意，影响交通安全的，还须征得有关公安机关的同意。</w:t>
      </w:r>
    </w:p>
    <w:p w14:paraId="6482C0A5">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 xml:space="preserve"> 《公路安全保护条例》第二十七条　进行下列涉路施工活动，建设单位应当向公路管理机构提出申请：（二）跨越、穿越公路修建桥梁、渡槽或者架设、埋设管道、电缆等设施；（三）在公路用地范围内架设、埋设管道、电缆等设施；（四）利用公路桥梁、公路隧道、涵洞铺设电缆等设施。 </w:t>
      </w:r>
    </w:p>
    <w:p w14:paraId="2CAEA585">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i w:val="0"/>
          <w:iCs w:val="0"/>
          <w:caps w:val="0"/>
          <w:color w:val="000000" w:themeColor="text1"/>
          <w:spacing w:val="0"/>
          <w:sz w:val="32"/>
          <w:szCs w:val="32"/>
          <w:shd w:val="clear" w:fill="FFFFFF"/>
        </w:rPr>
      </w:pPr>
      <w:r>
        <w:rPr>
          <w:rFonts w:hint="eastAsia" w:ascii="仿宋_GB2312" w:hAnsi="仿宋_GB2312" w:eastAsia="仿宋_GB2312" w:cs="仿宋_GB2312"/>
          <w:i w:val="0"/>
          <w:iCs w:val="0"/>
          <w:caps w:val="0"/>
          <w:color w:val="000000" w:themeColor="text1"/>
          <w:spacing w:val="0"/>
          <w:sz w:val="32"/>
          <w:szCs w:val="32"/>
          <w:shd w:val="clear" w:fill="FFFFFF"/>
        </w:rPr>
        <w:t>《云南省人民政府关于授予滇中新区管委会行使部分省级行政职权等事项的决定》（云政发〔2016〕39号）附件1第24项 跨越、穿越公路修建桥梁、渡槽或者架设、埋设管道、电缆等设施（国道、省道一级公路。高速公路网上的一级公路除外）；第25项 输电线路跨越高等级公路审批；第26项 跨越、穿越公路修建桥梁、渡槽或者架设、埋设管道、电缆等设施（国道、省道二级和二级以下公路。高速公路网上的二级公路除外）；第27项 跨越、穿越高等级公路修建桥梁、埋设管线等设施以及在高等级公路用地范围内架设、埋设管线、电缆等审批。</w:t>
      </w:r>
    </w:p>
    <w:p w14:paraId="33FC68FA">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outlineLvl w:val="0"/>
        <w:rPr>
          <w:rFonts w:ascii="宋体"/>
          <w:color w:val="000000" w:themeColor="text1"/>
          <w:sz w:val="24"/>
        </w:rPr>
      </w:pPr>
      <w:r>
        <w:rPr>
          <w:rFonts w:hint="eastAsia" w:ascii="黑体" w:hAnsi="黑体" w:eastAsia="黑体"/>
          <w:color w:val="000000" w:themeColor="text1"/>
          <w:sz w:val="32"/>
          <w:szCs w:val="32"/>
        </w:rPr>
        <w:t>三、实施机关</w:t>
      </w:r>
    </w:p>
    <w:p w14:paraId="3E43CA6E">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昆明市官渡区行政审批局，是办理该行政许可事项的法定机构</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rPr>
        <w:t>负责该行政许可事项的审查并作出行政许可决定。</w:t>
      </w:r>
    </w:p>
    <w:p w14:paraId="26BCBB85">
      <w:pPr>
        <w:keepNext w:val="0"/>
        <w:keepLines w:val="0"/>
        <w:pageBreakBefore w:val="0"/>
        <w:kinsoku/>
        <w:wordWrap/>
        <w:overflowPunct/>
        <w:topLinePunct w:val="0"/>
        <w:autoSpaceDE/>
        <w:bidi w:val="0"/>
        <w:adjustRightInd w:val="0"/>
        <w:snapToGrid w:val="0"/>
        <w:spacing w:line="480" w:lineRule="exact"/>
        <w:ind w:firstLine="640" w:firstLineChars="200"/>
        <w:textAlignment w:val="auto"/>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四、许可条件</w:t>
      </w:r>
    </w:p>
    <w:p w14:paraId="1669027B">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（一）予以批准的条件：</w:t>
      </w:r>
    </w:p>
    <w:p w14:paraId="78E2A744">
      <w:pPr>
        <w:pStyle w:val="13"/>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1.申请事项依法需要取得行政许可的。</w:t>
      </w:r>
    </w:p>
    <w:p w14:paraId="624D57E2">
      <w:pPr>
        <w:pStyle w:val="13"/>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2.申请事项依法属于本</w:t>
      </w:r>
      <w:r>
        <w:rPr>
          <w:rFonts w:hint="eastAsia" w:ascii="仿宋_GB2312" w:hAnsi="仿宋_GB2312" w:eastAsia="仿宋_GB2312" w:cs="仿宋_GB2312"/>
          <w:b w:val="0"/>
          <w:bCs/>
          <w:color w:val="000000" w:themeColor="text1"/>
          <w:sz w:val="32"/>
          <w:szCs w:val="32"/>
          <w:lang w:val="en-US" w:eastAsia="zh-CN"/>
        </w:rPr>
        <w:t>单位</w:t>
      </w:r>
      <w:r>
        <w:rPr>
          <w:rFonts w:hint="eastAsia" w:ascii="仿宋_GB2312" w:hAnsi="仿宋_GB2312" w:eastAsia="仿宋_GB2312" w:cs="仿宋_GB2312"/>
          <w:b w:val="0"/>
          <w:bCs/>
          <w:color w:val="000000" w:themeColor="text1"/>
          <w:sz w:val="32"/>
          <w:szCs w:val="32"/>
        </w:rPr>
        <w:t>职权范围的。</w:t>
      </w:r>
    </w:p>
    <w:p w14:paraId="12A67624">
      <w:pPr>
        <w:pStyle w:val="13"/>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3.申请材料齐全或者符合法定形式的。</w:t>
      </w:r>
    </w:p>
    <w:p w14:paraId="3358F58C">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outlineLvl w:val="0"/>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（二）不予批准的情形：</w:t>
      </w:r>
    </w:p>
    <w:p w14:paraId="677F394E">
      <w:pPr>
        <w:pStyle w:val="13"/>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1.申请事项依法不需要取得行政许可的。</w:t>
      </w:r>
    </w:p>
    <w:p w14:paraId="0126BB3F">
      <w:pPr>
        <w:pStyle w:val="13"/>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2.申请事项依法不属于本</w:t>
      </w:r>
      <w:r>
        <w:rPr>
          <w:rFonts w:hint="eastAsia" w:ascii="仿宋_GB2312" w:hAnsi="仿宋_GB2312" w:eastAsia="仿宋_GB2312" w:cs="仿宋_GB2312"/>
          <w:b w:val="0"/>
          <w:bCs/>
          <w:color w:val="000000" w:themeColor="text1"/>
          <w:sz w:val="32"/>
          <w:szCs w:val="32"/>
          <w:lang w:val="en-US" w:eastAsia="zh-CN"/>
        </w:rPr>
        <w:t>单位</w:t>
      </w:r>
      <w:r>
        <w:rPr>
          <w:rFonts w:hint="eastAsia" w:ascii="仿宋_GB2312" w:hAnsi="仿宋_GB2312" w:eastAsia="仿宋_GB2312" w:cs="仿宋_GB2312"/>
          <w:b w:val="0"/>
          <w:bCs/>
          <w:color w:val="000000" w:themeColor="text1"/>
          <w:sz w:val="32"/>
          <w:szCs w:val="32"/>
        </w:rPr>
        <w:t>职权范围的。</w:t>
      </w:r>
    </w:p>
    <w:p w14:paraId="57D486C8">
      <w:pPr>
        <w:pStyle w:val="13"/>
        <w:keepNext w:val="0"/>
        <w:keepLines w:val="0"/>
        <w:pageBreakBefore w:val="0"/>
        <w:shd w:val="clear" w:color="auto" w:fill="FFFFFF"/>
        <w:kinsoku/>
        <w:wordWrap/>
        <w:overflowPunct/>
        <w:topLinePunct w:val="0"/>
        <w:autoSpaceDE/>
        <w:autoSpaceDN/>
        <w:bidi w:val="0"/>
        <w:spacing w:line="480" w:lineRule="exact"/>
        <w:ind w:firstLine="480" w:firstLineChars="15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3.申请材料不齐全或者不符合法定形式的。</w:t>
      </w:r>
    </w:p>
    <w:p w14:paraId="03026B13">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outlineLvl w:val="0"/>
        <w:rPr>
          <w:rFonts w:ascii="宋体" w:hAnsi="宋体"/>
          <w:color w:val="000000" w:themeColor="text1"/>
          <w:sz w:val="32"/>
          <w:szCs w:val="32"/>
        </w:rPr>
      </w:pPr>
      <w:r>
        <w:rPr>
          <w:rFonts w:hint="eastAsia" w:ascii="黑体" w:hAnsi="黑体" w:eastAsia="黑体"/>
          <w:color w:val="000000" w:themeColor="text1"/>
          <w:sz w:val="32"/>
          <w:szCs w:val="32"/>
        </w:rPr>
        <w:t>五、许可数量</w:t>
      </w:r>
    </w:p>
    <w:p w14:paraId="36E51A8E">
      <w:pPr>
        <w:keepNext w:val="0"/>
        <w:keepLines w:val="0"/>
        <w:pageBreakBefore w:val="0"/>
        <w:kinsoku/>
        <w:wordWrap/>
        <w:overflowPunct/>
        <w:topLinePunct w:val="0"/>
        <w:autoSpaceDE/>
        <w:autoSpaceDN/>
        <w:bidi w:val="0"/>
        <w:adjustRightInd w:val="0"/>
        <w:snapToGrid w:val="0"/>
        <w:spacing w:line="480" w:lineRule="exact"/>
        <w:ind w:firstLine="640" w:firstLineChars="200"/>
        <w:textAlignment w:val="auto"/>
        <w:rPr>
          <w:rFonts w:ascii="宋体" w:hAnsi="宋体"/>
          <w:color w:val="000000" w:themeColor="text1"/>
          <w:sz w:val="24"/>
        </w:rPr>
      </w:pPr>
      <w:r>
        <w:rPr>
          <w:rFonts w:hint="eastAsia" w:ascii="仿宋_GB2312" w:hAnsi="仿宋_GB2312" w:eastAsia="仿宋_GB2312" w:cs="仿宋_GB2312"/>
          <w:color w:val="000000" w:themeColor="text1"/>
          <w:sz w:val="32"/>
          <w:szCs w:val="32"/>
        </w:rPr>
        <w:t>无数量限制。</w:t>
      </w:r>
    </w:p>
    <w:p w14:paraId="56FD3554">
      <w:pPr>
        <w:keepNext w:val="0"/>
        <w:keepLines w:val="0"/>
        <w:pageBreakBefore w:val="0"/>
        <w:widowControl w:val="0"/>
        <w:wordWrap/>
        <w:topLinePunct w:val="0"/>
        <w:bidi w:val="0"/>
        <w:adjustRightInd w:val="0"/>
        <w:snapToGrid w:val="0"/>
        <w:spacing w:line="480" w:lineRule="exact"/>
        <w:ind w:firstLine="640" w:firstLineChars="200"/>
        <w:textAlignment w:val="auto"/>
        <w:outlineLvl w:val="0"/>
        <w:rPr>
          <w:rFonts w:hint="eastAsia" w:ascii="宋体" w:hAnsi="宋体"/>
          <w:color w:val="auto"/>
          <w:sz w:val="32"/>
          <w:szCs w:val="32"/>
        </w:rPr>
      </w:pPr>
      <w:r>
        <w:rPr>
          <w:rFonts w:hint="eastAsia" w:ascii="黑体" w:hAnsi="黑体" w:eastAsia="黑体" w:cs="黑体"/>
          <w:color w:val="auto"/>
          <w:sz w:val="32"/>
          <w:szCs w:val="32"/>
        </w:rPr>
        <w:t>六、受理形式和地点</w:t>
      </w:r>
    </w:p>
    <w:p w14:paraId="1A873A18">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受理形式：窗口和网上均可受理。 </w:t>
      </w:r>
    </w:p>
    <w:p w14:paraId="0C3074DF">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受理地点：官渡区国投大厦4号楼</w:t>
      </w:r>
      <w:r>
        <w:rPr>
          <w:rFonts w:hint="eastAsia" w:ascii="仿宋_GB2312" w:hAnsi="仿宋_GB2312" w:eastAsia="仿宋_GB2312" w:cs="仿宋_GB2312"/>
          <w:color w:val="auto"/>
          <w:sz w:val="32"/>
          <w:szCs w:val="32"/>
          <w:lang w:val="en-US" w:eastAsia="zh-CN"/>
        </w:rPr>
        <w:t>政务</w:t>
      </w:r>
      <w:r>
        <w:rPr>
          <w:rFonts w:hint="eastAsia" w:ascii="仿宋_GB2312" w:hAnsi="仿宋_GB2312" w:eastAsia="仿宋_GB2312" w:cs="仿宋_GB2312"/>
          <w:color w:val="auto"/>
          <w:sz w:val="32"/>
          <w:szCs w:val="32"/>
        </w:rPr>
        <w:t xml:space="preserve">服务中心窗口。 </w:t>
      </w:r>
    </w:p>
    <w:p w14:paraId="271D84A3">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47F369CB">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交通方式：可乘坐第169、174、A12、232、252、253路公交车到达。</w:t>
      </w:r>
    </w:p>
    <w:p w14:paraId="1AAA5DC4">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办理网址：http://zwfw.yn.gov.cn/portal/#/home “云南省政务服务网 ”</w:t>
      </w:r>
    </w:p>
    <w:p w14:paraId="15434C9B">
      <w:pPr>
        <w:keepNext w:val="0"/>
        <w:keepLines w:val="0"/>
        <w:pageBreakBefore w:val="0"/>
        <w:widowControl/>
        <w:kinsoku/>
        <w:wordWrap/>
        <w:overflowPunct/>
        <w:topLinePunct w:val="0"/>
        <w:autoSpaceDE/>
        <w:autoSpaceDN/>
        <w:bidi w:val="0"/>
        <w:adjustRightInd/>
        <w:snapToGrid/>
        <w:spacing w:line="480" w:lineRule="exact"/>
        <w:ind w:firstLine="640" w:firstLineChars="200"/>
        <w:jc w:val="left"/>
        <w:textAlignment w:val="auto"/>
        <w:rPr>
          <w:rFonts w:ascii="黑体" w:hAnsi="黑体" w:eastAsia="黑体"/>
          <w:color w:val="000000" w:themeColor="text1"/>
          <w:sz w:val="32"/>
          <w:szCs w:val="32"/>
        </w:rPr>
      </w:pPr>
      <w:r>
        <w:rPr>
          <w:rFonts w:hint="eastAsia" w:ascii="黑体" w:hAnsi="黑体" w:eastAsia="黑体"/>
          <w:color w:val="000000" w:themeColor="text1"/>
          <w:sz w:val="32"/>
          <w:szCs w:val="32"/>
        </w:rPr>
        <w:t>七、申请材料</w:t>
      </w:r>
    </w:p>
    <w:p w14:paraId="0E0DFC4A">
      <w:pPr>
        <w:keepNext w:val="0"/>
        <w:keepLines w:val="0"/>
        <w:pageBreakBefore w:val="0"/>
        <w:kinsoku/>
        <w:wordWrap/>
        <w:overflowPunct/>
        <w:topLinePunct w:val="0"/>
        <w:autoSpaceDE/>
        <w:autoSpaceDN/>
        <w:bidi w:val="0"/>
        <w:adjustRightInd w:val="0"/>
        <w:snapToGrid w:val="0"/>
        <w:spacing w:line="480" w:lineRule="exact"/>
        <w:jc w:val="center"/>
        <w:textAlignment w:val="auto"/>
        <w:outlineLvl w:val="0"/>
        <w:rPr>
          <w:rFonts w:hint="eastAsia" w:ascii="仿宋_GB2312" w:hAnsi="仿宋_GB2312" w:eastAsia="仿宋_GB2312" w:cs="仿宋_GB2312"/>
          <w:color w:val="000000" w:themeColor="text1"/>
          <w:spacing w:val="-6"/>
          <w:sz w:val="32"/>
          <w:szCs w:val="32"/>
        </w:rPr>
      </w:pPr>
      <w:r>
        <w:rPr>
          <w:rFonts w:hint="eastAsia" w:ascii="仿宋_GB2312" w:hAnsi="仿宋_GB2312" w:eastAsia="仿宋_GB2312" w:cs="仿宋_GB2312"/>
          <w:color w:val="000000" w:themeColor="text1"/>
          <w:sz w:val="30"/>
          <w:szCs w:val="30"/>
        </w:rPr>
        <w:t>跨越、穿越公路及在公路用地范围内架设、埋设管线、电缆等设施，或者利用公路桥梁、公路隧道、涵洞铺设电缆等设施许可申请材料</w:t>
      </w:r>
    </w:p>
    <w:tbl>
      <w:tblPr>
        <w:tblStyle w:val="15"/>
        <w:tblW w:w="9315" w:type="dxa"/>
        <w:tblInd w:w="-199" w:type="dxa"/>
        <w:tblLayout w:type="fixed"/>
        <w:tblCellMar>
          <w:top w:w="0" w:type="dxa"/>
          <w:left w:w="0" w:type="dxa"/>
          <w:bottom w:w="0" w:type="dxa"/>
          <w:right w:w="0" w:type="dxa"/>
        </w:tblCellMar>
      </w:tblPr>
      <w:tblGrid>
        <w:gridCol w:w="683"/>
        <w:gridCol w:w="4987"/>
        <w:gridCol w:w="1320"/>
        <w:gridCol w:w="1050"/>
        <w:gridCol w:w="1275"/>
      </w:tblGrid>
      <w:tr w14:paraId="0B94DBE2">
        <w:tblPrEx>
          <w:tblCellMar>
            <w:top w:w="0" w:type="dxa"/>
            <w:left w:w="0" w:type="dxa"/>
            <w:bottom w:w="0" w:type="dxa"/>
            <w:right w:w="0" w:type="dxa"/>
          </w:tblCellMar>
        </w:tblPrEx>
        <w:trPr>
          <w:trHeight w:val="815" w:hRule="exact"/>
        </w:trPr>
        <w:tc>
          <w:tcPr>
            <w:tcW w:w="683" w:type="dxa"/>
            <w:tcBorders>
              <w:top w:val="single" w:color="000000" w:sz="8" w:space="0"/>
              <w:left w:val="single" w:color="000000" w:sz="8" w:space="0"/>
              <w:bottom w:val="single" w:color="000000" w:sz="8" w:space="0"/>
              <w:right w:val="single" w:color="000000" w:sz="4" w:space="0"/>
            </w:tcBorders>
            <w:vAlign w:val="center"/>
          </w:tcPr>
          <w:p w14:paraId="46F82B1B">
            <w:pPr>
              <w:pStyle w:val="33"/>
              <w:keepNext w:val="0"/>
              <w:keepLines w:val="0"/>
              <w:pageBreakBefore w:val="0"/>
              <w:kinsoku w:val="0"/>
              <w:wordWrap/>
              <w:overflowPunct w:val="0"/>
              <w:topLinePunct w:val="0"/>
              <w:bidi w:val="0"/>
              <w:spacing w:line="480" w:lineRule="exact"/>
              <w:ind w:left="111"/>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pacing w:val="-16"/>
                <w:sz w:val="24"/>
                <w:szCs w:val="24"/>
              </w:rPr>
              <w:t>序</w:t>
            </w:r>
            <w:r>
              <w:rPr>
                <w:rFonts w:hint="eastAsia" w:ascii="仿宋_GB2312" w:hAnsi="仿宋_GB2312" w:eastAsia="仿宋_GB2312" w:cs="仿宋_GB2312"/>
                <w:color w:val="000000" w:themeColor="text1"/>
                <w:sz w:val="24"/>
                <w:szCs w:val="24"/>
              </w:rPr>
              <w:t>号</w:t>
            </w:r>
          </w:p>
        </w:tc>
        <w:tc>
          <w:tcPr>
            <w:tcW w:w="4987" w:type="dxa"/>
            <w:tcBorders>
              <w:top w:val="single" w:color="000000" w:sz="8" w:space="0"/>
              <w:left w:val="single" w:color="000000" w:sz="4" w:space="0"/>
              <w:bottom w:val="single" w:color="000000" w:sz="8" w:space="0"/>
              <w:right w:val="single" w:color="000000" w:sz="4" w:space="0"/>
            </w:tcBorders>
            <w:vAlign w:val="center"/>
          </w:tcPr>
          <w:p w14:paraId="4A3CAFF2">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pacing w:val="1"/>
                <w:sz w:val="24"/>
                <w:szCs w:val="24"/>
              </w:rPr>
              <w:t>材料</w:t>
            </w:r>
            <w:r>
              <w:rPr>
                <w:rFonts w:hint="eastAsia" w:ascii="仿宋_GB2312" w:hAnsi="仿宋_GB2312" w:eastAsia="仿宋_GB2312" w:cs="仿宋_GB2312"/>
                <w:color w:val="000000" w:themeColor="text1"/>
                <w:sz w:val="24"/>
                <w:szCs w:val="24"/>
              </w:rPr>
              <w:t>名称</w:t>
            </w:r>
          </w:p>
        </w:tc>
        <w:tc>
          <w:tcPr>
            <w:tcW w:w="1320" w:type="dxa"/>
            <w:tcBorders>
              <w:top w:val="single" w:color="000000" w:sz="8" w:space="0"/>
              <w:left w:val="single" w:color="000000" w:sz="4" w:space="0"/>
              <w:bottom w:val="single" w:color="000000" w:sz="8" w:space="0"/>
              <w:right w:val="single" w:color="000000" w:sz="4" w:space="0"/>
            </w:tcBorders>
            <w:vAlign w:val="center"/>
          </w:tcPr>
          <w:p w14:paraId="1F8316C4">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pacing w:val="1"/>
                <w:sz w:val="24"/>
                <w:szCs w:val="24"/>
              </w:rPr>
            </w:pPr>
            <w:r>
              <w:rPr>
                <w:rFonts w:hint="eastAsia" w:ascii="仿宋_GB2312" w:hAnsi="仿宋_GB2312" w:eastAsia="仿宋_GB2312" w:cs="仿宋_GB2312"/>
                <w:color w:val="000000" w:themeColor="text1"/>
                <w:spacing w:val="1"/>
                <w:sz w:val="24"/>
                <w:szCs w:val="24"/>
              </w:rPr>
              <w:t>材料形式</w:t>
            </w:r>
          </w:p>
        </w:tc>
        <w:tc>
          <w:tcPr>
            <w:tcW w:w="1050" w:type="dxa"/>
            <w:tcBorders>
              <w:top w:val="single" w:color="000000" w:sz="8" w:space="0"/>
              <w:left w:val="single" w:color="000000" w:sz="4" w:space="0"/>
              <w:bottom w:val="single" w:color="000000" w:sz="8" w:space="0"/>
              <w:right w:val="single" w:color="000000" w:sz="4" w:space="0"/>
            </w:tcBorders>
            <w:vAlign w:val="center"/>
          </w:tcPr>
          <w:p w14:paraId="587C3CC6">
            <w:pPr>
              <w:pStyle w:val="33"/>
              <w:keepNext w:val="0"/>
              <w:keepLines w:val="0"/>
              <w:pageBreakBefore w:val="0"/>
              <w:kinsoku w:val="0"/>
              <w:wordWrap/>
              <w:overflowPunct w:val="0"/>
              <w:topLinePunct w:val="0"/>
              <w:bidi w:val="0"/>
              <w:spacing w:line="480" w:lineRule="exact"/>
              <w:ind w:left="109"/>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pacing w:val="-8"/>
                <w:sz w:val="24"/>
                <w:szCs w:val="24"/>
              </w:rPr>
              <w:t>份</w:t>
            </w:r>
            <w:r>
              <w:rPr>
                <w:rFonts w:hint="eastAsia" w:ascii="仿宋_GB2312" w:hAnsi="仿宋_GB2312" w:eastAsia="仿宋_GB2312" w:cs="仿宋_GB2312"/>
                <w:color w:val="000000" w:themeColor="text1"/>
                <w:sz w:val="24"/>
                <w:szCs w:val="24"/>
              </w:rPr>
              <w:t>数</w:t>
            </w:r>
          </w:p>
        </w:tc>
        <w:tc>
          <w:tcPr>
            <w:tcW w:w="1275" w:type="dxa"/>
            <w:tcBorders>
              <w:top w:val="single" w:color="000000" w:sz="8" w:space="0"/>
              <w:left w:val="single" w:color="000000" w:sz="4" w:space="0"/>
              <w:bottom w:val="single" w:color="000000" w:sz="8" w:space="0"/>
              <w:right w:val="single" w:color="000000" w:sz="8" w:space="0"/>
            </w:tcBorders>
            <w:vAlign w:val="center"/>
          </w:tcPr>
          <w:p w14:paraId="7289B023">
            <w:pPr>
              <w:pStyle w:val="33"/>
              <w:keepNext w:val="0"/>
              <w:keepLines w:val="0"/>
              <w:pageBreakBefore w:val="0"/>
              <w:kinsoku w:val="0"/>
              <w:wordWrap/>
              <w:overflowPunct w:val="0"/>
              <w:topLinePunct w:val="0"/>
              <w:bidi w:val="0"/>
              <w:spacing w:line="480" w:lineRule="exact"/>
              <w:ind w:left="4"/>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pacing w:val="1"/>
                <w:sz w:val="24"/>
                <w:szCs w:val="24"/>
              </w:rPr>
              <w:t>其他</w:t>
            </w:r>
            <w:r>
              <w:rPr>
                <w:rFonts w:hint="eastAsia" w:ascii="仿宋_GB2312" w:hAnsi="仿宋_GB2312" w:eastAsia="仿宋_GB2312" w:cs="仿宋_GB2312"/>
                <w:color w:val="000000" w:themeColor="text1"/>
                <w:sz w:val="24"/>
                <w:szCs w:val="24"/>
              </w:rPr>
              <w:t>要求</w:t>
            </w:r>
          </w:p>
        </w:tc>
      </w:tr>
      <w:tr w14:paraId="7FEA0299">
        <w:tblPrEx>
          <w:tblCellMar>
            <w:top w:w="0" w:type="dxa"/>
            <w:left w:w="0" w:type="dxa"/>
            <w:bottom w:w="0" w:type="dxa"/>
            <w:right w:w="0" w:type="dxa"/>
          </w:tblCellMar>
        </w:tblPrEx>
        <w:trPr>
          <w:trHeight w:val="535" w:hRule="exact"/>
        </w:trPr>
        <w:tc>
          <w:tcPr>
            <w:tcW w:w="683" w:type="dxa"/>
            <w:tcBorders>
              <w:top w:val="single" w:color="000000" w:sz="8" w:space="0"/>
              <w:left w:val="single" w:color="000000" w:sz="8" w:space="0"/>
              <w:bottom w:val="single" w:color="000000" w:sz="4" w:space="0"/>
              <w:right w:val="single" w:color="000000" w:sz="4" w:space="0"/>
            </w:tcBorders>
            <w:vAlign w:val="center"/>
          </w:tcPr>
          <w:p w14:paraId="377711F5">
            <w:pPr>
              <w:pStyle w:val="33"/>
              <w:keepNext w:val="0"/>
              <w:keepLines w:val="0"/>
              <w:pageBreakBefore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000000" w:themeColor="text1"/>
                <w:spacing w:val="-6"/>
                <w:sz w:val="24"/>
                <w:szCs w:val="24"/>
              </w:rPr>
            </w:pPr>
            <w:r>
              <w:rPr>
                <w:rFonts w:hint="eastAsia" w:ascii="仿宋_GB2312" w:hAnsi="仿宋_GB2312" w:eastAsia="仿宋_GB2312" w:cs="仿宋_GB2312"/>
                <w:color w:val="000000" w:themeColor="text1"/>
                <w:spacing w:val="-6"/>
                <w:sz w:val="24"/>
                <w:szCs w:val="24"/>
              </w:rPr>
              <w:t>1</w:t>
            </w:r>
          </w:p>
        </w:tc>
        <w:tc>
          <w:tcPr>
            <w:tcW w:w="4987" w:type="dxa"/>
            <w:tcBorders>
              <w:top w:val="single" w:color="000000" w:sz="8" w:space="0"/>
              <w:left w:val="single" w:color="000000" w:sz="4" w:space="0"/>
              <w:bottom w:val="single" w:color="000000" w:sz="4" w:space="0"/>
              <w:right w:val="single" w:color="000000" w:sz="4" w:space="0"/>
            </w:tcBorders>
            <w:vAlign w:val="center"/>
          </w:tcPr>
          <w:p w14:paraId="495023BB">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lang w:val="en-US" w:eastAsia="zh-CN"/>
              </w:rPr>
              <w:t>交通行政许可</w:t>
            </w:r>
            <w:r>
              <w:rPr>
                <w:rFonts w:hint="eastAsia" w:ascii="仿宋_GB2312" w:hAnsi="仿宋_GB2312" w:eastAsia="仿宋_GB2312" w:cs="仿宋_GB2312"/>
                <w:color w:val="000000" w:themeColor="text1"/>
                <w:sz w:val="24"/>
                <w:szCs w:val="24"/>
              </w:rPr>
              <w:t>申请书</w:t>
            </w:r>
          </w:p>
        </w:tc>
        <w:tc>
          <w:tcPr>
            <w:tcW w:w="1320" w:type="dxa"/>
            <w:tcBorders>
              <w:top w:val="single" w:color="000000" w:sz="8" w:space="0"/>
              <w:left w:val="single" w:color="000000" w:sz="4" w:space="0"/>
              <w:bottom w:val="single" w:color="000000" w:sz="4" w:space="0"/>
              <w:right w:val="single" w:color="000000" w:sz="4" w:space="0"/>
            </w:tcBorders>
            <w:vAlign w:val="center"/>
          </w:tcPr>
          <w:p w14:paraId="7F5988DE">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pacing w:val="1"/>
                <w:sz w:val="24"/>
                <w:szCs w:val="24"/>
              </w:rPr>
            </w:pPr>
            <w:r>
              <w:rPr>
                <w:rFonts w:hint="eastAsia" w:ascii="仿宋_GB2312" w:hAnsi="仿宋_GB2312" w:eastAsia="仿宋_GB2312" w:cs="仿宋_GB2312"/>
                <w:color w:val="000000" w:themeColor="text1"/>
                <w:spacing w:val="1"/>
                <w:sz w:val="24"/>
                <w:szCs w:val="24"/>
              </w:rPr>
              <w:t>原件</w:t>
            </w:r>
          </w:p>
        </w:tc>
        <w:tc>
          <w:tcPr>
            <w:tcW w:w="1050" w:type="dxa"/>
            <w:tcBorders>
              <w:top w:val="single" w:color="000000" w:sz="8" w:space="0"/>
              <w:left w:val="single" w:color="000000" w:sz="4" w:space="0"/>
              <w:bottom w:val="single" w:color="000000" w:sz="4" w:space="0"/>
              <w:right w:val="single" w:color="000000" w:sz="4" w:space="0"/>
            </w:tcBorders>
            <w:vAlign w:val="center"/>
          </w:tcPr>
          <w:p w14:paraId="39E2CAF5">
            <w:pPr>
              <w:pStyle w:val="33"/>
              <w:keepNext w:val="0"/>
              <w:keepLines w:val="0"/>
              <w:pageBreakBefore w:val="0"/>
              <w:kinsoku w:val="0"/>
              <w:wordWrap/>
              <w:overflowPunct w:val="0"/>
              <w:topLinePunct w:val="0"/>
              <w:bidi w:val="0"/>
              <w:spacing w:line="480" w:lineRule="exact"/>
              <w:ind w:left="102"/>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1份</w:t>
            </w:r>
          </w:p>
        </w:tc>
        <w:tc>
          <w:tcPr>
            <w:tcW w:w="1275" w:type="dxa"/>
            <w:vMerge w:val="restart"/>
            <w:tcBorders>
              <w:top w:val="single" w:color="000000" w:sz="8" w:space="0"/>
              <w:left w:val="single" w:color="000000" w:sz="4" w:space="0"/>
              <w:bottom w:val="single" w:color="000000" w:sz="8" w:space="0"/>
              <w:right w:val="single" w:color="000000" w:sz="8" w:space="0"/>
            </w:tcBorders>
            <w:vAlign w:val="center"/>
          </w:tcPr>
          <w:p w14:paraId="71F26DB2">
            <w:pPr>
              <w:pStyle w:val="33"/>
              <w:keepNext w:val="0"/>
              <w:keepLines w:val="0"/>
              <w:pageBreakBefore w:val="0"/>
              <w:kinsoku w:val="0"/>
              <w:wordWrap/>
              <w:overflowPunct w:val="0"/>
              <w:topLinePunct w:val="0"/>
              <w:bidi w:val="0"/>
              <w:spacing w:line="480" w:lineRule="exact"/>
              <w:ind w:left="102"/>
              <w:jc w:val="center"/>
              <w:textAlignment w:val="auto"/>
              <w:rPr>
                <w:rFonts w:hint="eastAsia" w:ascii="仿宋_GB2312" w:hAnsi="仿宋_GB2312" w:eastAsia="仿宋_GB2312" w:cs="仿宋_GB2312"/>
                <w:color w:val="000000" w:themeColor="text1"/>
                <w:sz w:val="24"/>
                <w:szCs w:val="24"/>
              </w:rPr>
            </w:pPr>
          </w:p>
        </w:tc>
      </w:tr>
      <w:tr w14:paraId="54DB4275">
        <w:tblPrEx>
          <w:tblCellMar>
            <w:top w:w="0" w:type="dxa"/>
            <w:left w:w="0" w:type="dxa"/>
            <w:bottom w:w="0" w:type="dxa"/>
            <w:right w:w="0" w:type="dxa"/>
          </w:tblCellMar>
        </w:tblPrEx>
        <w:trPr>
          <w:trHeight w:val="572" w:hRule="exact"/>
        </w:trPr>
        <w:tc>
          <w:tcPr>
            <w:tcW w:w="683" w:type="dxa"/>
            <w:tcBorders>
              <w:top w:val="single" w:color="000000" w:sz="4" w:space="0"/>
              <w:left w:val="single" w:color="000000" w:sz="8" w:space="0"/>
              <w:bottom w:val="single" w:color="000000" w:sz="4" w:space="0"/>
              <w:right w:val="single" w:color="000000" w:sz="4" w:space="0"/>
            </w:tcBorders>
            <w:vAlign w:val="center"/>
          </w:tcPr>
          <w:p w14:paraId="48438ED2">
            <w:pPr>
              <w:pStyle w:val="33"/>
              <w:keepNext w:val="0"/>
              <w:keepLines w:val="0"/>
              <w:pageBreakBefore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000000" w:themeColor="text1"/>
                <w:spacing w:val="-6"/>
                <w:sz w:val="24"/>
                <w:szCs w:val="24"/>
              </w:rPr>
            </w:pPr>
            <w:r>
              <w:rPr>
                <w:rFonts w:hint="eastAsia" w:ascii="仿宋_GB2312" w:hAnsi="仿宋_GB2312" w:eastAsia="仿宋_GB2312" w:cs="仿宋_GB2312"/>
                <w:color w:val="000000" w:themeColor="text1"/>
                <w:spacing w:val="-6"/>
                <w:sz w:val="24"/>
                <w:szCs w:val="24"/>
              </w:rPr>
              <w:t>2</w:t>
            </w:r>
          </w:p>
        </w:tc>
        <w:tc>
          <w:tcPr>
            <w:tcW w:w="4987" w:type="dxa"/>
            <w:tcBorders>
              <w:top w:val="single" w:color="000000" w:sz="4" w:space="0"/>
              <w:left w:val="single" w:color="000000" w:sz="4" w:space="0"/>
              <w:bottom w:val="single" w:color="000000" w:sz="4" w:space="0"/>
              <w:right w:val="single" w:color="000000" w:sz="4" w:space="0"/>
            </w:tcBorders>
            <w:vAlign w:val="center"/>
          </w:tcPr>
          <w:p w14:paraId="24E65540">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设计、施工方案</w:t>
            </w:r>
          </w:p>
        </w:tc>
        <w:tc>
          <w:tcPr>
            <w:tcW w:w="1320" w:type="dxa"/>
            <w:tcBorders>
              <w:top w:val="single" w:color="000000" w:sz="4" w:space="0"/>
              <w:left w:val="single" w:color="000000" w:sz="4" w:space="0"/>
              <w:bottom w:val="single" w:color="000000" w:sz="4" w:space="0"/>
              <w:right w:val="single" w:color="000000" w:sz="4" w:space="0"/>
            </w:tcBorders>
            <w:vAlign w:val="center"/>
          </w:tcPr>
          <w:p w14:paraId="53EF5B84">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pacing w:val="1"/>
                <w:sz w:val="24"/>
                <w:szCs w:val="24"/>
              </w:rPr>
            </w:pPr>
            <w:r>
              <w:rPr>
                <w:rFonts w:hint="eastAsia" w:ascii="仿宋_GB2312" w:hAnsi="仿宋_GB2312" w:eastAsia="仿宋_GB2312" w:cs="仿宋_GB2312"/>
                <w:color w:val="000000" w:themeColor="text1"/>
                <w:spacing w:val="1"/>
                <w:sz w:val="24"/>
                <w:szCs w:val="24"/>
              </w:rPr>
              <w:t>原件</w:t>
            </w:r>
          </w:p>
        </w:tc>
        <w:tc>
          <w:tcPr>
            <w:tcW w:w="1050" w:type="dxa"/>
            <w:tcBorders>
              <w:top w:val="single" w:color="000000" w:sz="4" w:space="0"/>
              <w:left w:val="single" w:color="000000" w:sz="4" w:space="0"/>
              <w:bottom w:val="single" w:color="000000" w:sz="4" w:space="0"/>
              <w:right w:val="single" w:color="000000" w:sz="4" w:space="0"/>
            </w:tcBorders>
            <w:vAlign w:val="center"/>
          </w:tcPr>
          <w:p w14:paraId="0A760CE8">
            <w:pPr>
              <w:pStyle w:val="33"/>
              <w:keepNext w:val="0"/>
              <w:keepLines w:val="0"/>
              <w:pageBreakBefore w:val="0"/>
              <w:kinsoku w:val="0"/>
              <w:wordWrap/>
              <w:overflowPunct w:val="0"/>
              <w:topLinePunct w:val="0"/>
              <w:bidi w:val="0"/>
              <w:spacing w:line="480" w:lineRule="exact"/>
              <w:ind w:left="102" w:leftChars="0"/>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1份</w:t>
            </w:r>
          </w:p>
        </w:tc>
        <w:tc>
          <w:tcPr>
            <w:tcW w:w="1275" w:type="dxa"/>
            <w:vMerge w:val="continue"/>
            <w:tcBorders>
              <w:top w:val="single" w:color="000000" w:sz="8" w:space="0"/>
              <w:left w:val="single" w:color="000000" w:sz="4" w:space="0"/>
              <w:bottom w:val="single" w:color="000000" w:sz="8" w:space="0"/>
              <w:right w:val="single" w:color="000000" w:sz="8" w:space="0"/>
            </w:tcBorders>
            <w:vAlign w:val="center"/>
          </w:tcPr>
          <w:p w14:paraId="56C3EF42">
            <w:pPr>
              <w:pStyle w:val="33"/>
              <w:keepNext w:val="0"/>
              <w:keepLines w:val="0"/>
              <w:pageBreakBefore w:val="0"/>
              <w:kinsoku w:val="0"/>
              <w:wordWrap/>
              <w:overflowPunct w:val="0"/>
              <w:topLinePunct w:val="0"/>
              <w:bidi w:val="0"/>
              <w:spacing w:line="480" w:lineRule="exact"/>
              <w:ind w:left="102"/>
              <w:jc w:val="center"/>
              <w:textAlignment w:val="auto"/>
              <w:rPr>
                <w:rFonts w:hint="eastAsia" w:ascii="仿宋_GB2312" w:hAnsi="仿宋_GB2312" w:eastAsia="仿宋_GB2312" w:cs="仿宋_GB2312"/>
                <w:color w:val="000000" w:themeColor="text1"/>
                <w:sz w:val="24"/>
                <w:szCs w:val="24"/>
              </w:rPr>
            </w:pPr>
          </w:p>
        </w:tc>
      </w:tr>
      <w:tr w14:paraId="5479A5E2">
        <w:tblPrEx>
          <w:tblCellMar>
            <w:top w:w="0" w:type="dxa"/>
            <w:left w:w="0" w:type="dxa"/>
            <w:bottom w:w="0" w:type="dxa"/>
            <w:right w:w="0" w:type="dxa"/>
          </w:tblCellMar>
        </w:tblPrEx>
        <w:trPr>
          <w:trHeight w:val="1147" w:hRule="exact"/>
        </w:trPr>
        <w:tc>
          <w:tcPr>
            <w:tcW w:w="683" w:type="dxa"/>
            <w:tcBorders>
              <w:top w:val="single" w:color="000000" w:sz="4" w:space="0"/>
              <w:left w:val="single" w:color="000000" w:sz="8" w:space="0"/>
              <w:bottom w:val="single" w:color="000000" w:sz="4" w:space="0"/>
              <w:right w:val="single" w:color="000000" w:sz="4" w:space="0"/>
            </w:tcBorders>
            <w:vAlign w:val="center"/>
          </w:tcPr>
          <w:p w14:paraId="0A4F036A">
            <w:pPr>
              <w:pStyle w:val="33"/>
              <w:keepNext w:val="0"/>
              <w:keepLines w:val="0"/>
              <w:pageBreakBefore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000000" w:themeColor="text1"/>
                <w:spacing w:val="-6"/>
                <w:sz w:val="24"/>
                <w:szCs w:val="24"/>
              </w:rPr>
            </w:pPr>
            <w:r>
              <w:rPr>
                <w:rFonts w:hint="eastAsia" w:ascii="仿宋_GB2312" w:hAnsi="仿宋_GB2312" w:eastAsia="仿宋_GB2312" w:cs="仿宋_GB2312"/>
                <w:color w:val="000000" w:themeColor="text1"/>
                <w:spacing w:val="-6"/>
                <w:sz w:val="24"/>
                <w:szCs w:val="24"/>
              </w:rPr>
              <w:t>3</w:t>
            </w:r>
          </w:p>
        </w:tc>
        <w:tc>
          <w:tcPr>
            <w:tcW w:w="4987" w:type="dxa"/>
            <w:tcBorders>
              <w:top w:val="single" w:color="000000" w:sz="4" w:space="0"/>
              <w:left w:val="single" w:color="000000" w:sz="4" w:space="0"/>
              <w:bottom w:val="single" w:color="000000" w:sz="4" w:space="0"/>
              <w:right w:val="single" w:color="000000" w:sz="4" w:space="0"/>
            </w:tcBorders>
            <w:vAlign w:val="center"/>
          </w:tcPr>
          <w:p w14:paraId="4D724A31">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保障公路、公路附属设施质量和安全的技术评价报告（道路工程项目施工恢复承诺书）</w:t>
            </w:r>
          </w:p>
        </w:tc>
        <w:tc>
          <w:tcPr>
            <w:tcW w:w="1320" w:type="dxa"/>
            <w:tcBorders>
              <w:top w:val="single" w:color="000000" w:sz="4" w:space="0"/>
              <w:left w:val="single" w:color="000000" w:sz="4" w:space="0"/>
              <w:bottom w:val="single" w:color="000000" w:sz="4" w:space="0"/>
              <w:right w:val="single" w:color="000000" w:sz="4" w:space="0"/>
            </w:tcBorders>
            <w:vAlign w:val="center"/>
          </w:tcPr>
          <w:p w14:paraId="5FF3025C">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pacing w:val="1"/>
                <w:sz w:val="24"/>
                <w:szCs w:val="24"/>
              </w:rPr>
            </w:pPr>
            <w:r>
              <w:rPr>
                <w:rFonts w:hint="eastAsia" w:ascii="仿宋_GB2312" w:hAnsi="仿宋_GB2312" w:eastAsia="仿宋_GB2312" w:cs="仿宋_GB2312"/>
                <w:color w:val="000000" w:themeColor="text1"/>
                <w:spacing w:val="1"/>
                <w:sz w:val="24"/>
                <w:szCs w:val="24"/>
              </w:rPr>
              <w:t>原件</w:t>
            </w:r>
          </w:p>
        </w:tc>
        <w:tc>
          <w:tcPr>
            <w:tcW w:w="1050" w:type="dxa"/>
            <w:tcBorders>
              <w:top w:val="single" w:color="000000" w:sz="4" w:space="0"/>
              <w:left w:val="single" w:color="000000" w:sz="4" w:space="0"/>
              <w:bottom w:val="single" w:color="000000" w:sz="4" w:space="0"/>
              <w:right w:val="single" w:color="000000" w:sz="4" w:space="0"/>
            </w:tcBorders>
            <w:vAlign w:val="center"/>
          </w:tcPr>
          <w:p w14:paraId="0A222919">
            <w:pPr>
              <w:pStyle w:val="33"/>
              <w:keepNext w:val="0"/>
              <w:keepLines w:val="0"/>
              <w:pageBreakBefore w:val="0"/>
              <w:kinsoku w:val="0"/>
              <w:wordWrap/>
              <w:overflowPunct w:val="0"/>
              <w:topLinePunct w:val="0"/>
              <w:bidi w:val="0"/>
              <w:spacing w:line="480" w:lineRule="exact"/>
              <w:ind w:left="102"/>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1份</w:t>
            </w:r>
          </w:p>
        </w:tc>
        <w:tc>
          <w:tcPr>
            <w:tcW w:w="1275" w:type="dxa"/>
            <w:vMerge w:val="continue"/>
            <w:tcBorders>
              <w:top w:val="single" w:color="000000" w:sz="8" w:space="0"/>
              <w:left w:val="single" w:color="000000" w:sz="4" w:space="0"/>
              <w:bottom w:val="single" w:color="000000" w:sz="8" w:space="0"/>
              <w:right w:val="single" w:color="000000" w:sz="8" w:space="0"/>
            </w:tcBorders>
            <w:vAlign w:val="center"/>
          </w:tcPr>
          <w:p w14:paraId="33D25EAA">
            <w:pPr>
              <w:pStyle w:val="33"/>
              <w:keepNext w:val="0"/>
              <w:keepLines w:val="0"/>
              <w:pageBreakBefore w:val="0"/>
              <w:kinsoku w:val="0"/>
              <w:wordWrap/>
              <w:overflowPunct w:val="0"/>
              <w:topLinePunct w:val="0"/>
              <w:bidi w:val="0"/>
              <w:spacing w:line="480" w:lineRule="exact"/>
              <w:ind w:left="102"/>
              <w:jc w:val="center"/>
              <w:textAlignment w:val="auto"/>
              <w:rPr>
                <w:rFonts w:hint="eastAsia" w:ascii="仿宋_GB2312" w:hAnsi="仿宋_GB2312" w:eastAsia="仿宋_GB2312" w:cs="仿宋_GB2312"/>
                <w:color w:val="000000" w:themeColor="text1"/>
                <w:sz w:val="24"/>
                <w:szCs w:val="24"/>
              </w:rPr>
            </w:pPr>
          </w:p>
        </w:tc>
      </w:tr>
      <w:tr w14:paraId="28014C9E">
        <w:tblPrEx>
          <w:tblCellMar>
            <w:top w:w="0" w:type="dxa"/>
            <w:left w:w="0" w:type="dxa"/>
            <w:bottom w:w="0" w:type="dxa"/>
            <w:right w:w="0" w:type="dxa"/>
          </w:tblCellMar>
        </w:tblPrEx>
        <w:trPr>
          <w:trHeight w:val="596" w:hRule="exact"/>
        </w:trPr>
        <w:tc>
          <w:tcPr>
            <w:tcW w:w="683" w:type="dxa"/>
            <w:tcBorders>
              <w:top w:val="single" w:color="000000" w:sz="4" w:space="0"/>
              <w:left w:val="single" w:color="000000" w:sz="8" w:space="0"/>
              <w:bottom w:val="single" w:color="000000" w:sz="4" w:space="0"/>
              <w:right w:val="single" w:color="000000" w:sz="4" w:space="0"/>
            </w:tcBorders>
            <w:vAlign w:val="center"/>
          </w:tcPr>
          <w:p w14:paraId="0EEC3AEA">
            <w:pPr>
              <w:pStyle w:val="33"/>
              <w:keepNext w:val="0"/>
              <w:keepLines w:val="0"/>
              <w:pageBreakBefore w:val="0"/>
              <w:kinsoku w:val="0"/>
              <w:wordWrap/>
              <w:overflowPunct w:val="0"/>
              <w:topLinePunct w:val="0"/>
              <w:bidi w:val="0"/>
              <w:spacing w:line="480" w:lineRule="exact"/>
              <w:ind w:left="168" w:right="172"/>
              <w:jc w:val="center"/>
              <w:textAlignment w:val="auto"/>
              <w:rPr>
                <w:rFonts w:hint="eastAsia" w:ascii="仿宋_GB2312" w:hAnsi="仿宋_GB2312" w:eastAsia="仿宋_GB2312" w:cs="仿宋_GB2312"/>
                <w:color w:val="000000" w:themeColor="text1"/>
                <w:spacing w:val="-6"/>
                <w:sz w:val="24"/>
                <w:szCs w:val="24"/>
              </w:rPr>
            </w:pPr>
            <w:r>
              <w:rPr>
                <w:rFonts w:hint="eastAsia" w:ascii="仿宋_GB2312" w:hAnsi="仿宋_GB2312" w:eastAsia="仿宋_GB2312" w:cs="仿宋_GB2312"/>
                <w:color w:val="000000" w:themeColor="text1"/>
                <w:spacing w:val="-6"/>
                <w:sz w:val="24"/>
                <w:szCs w:val="24"/>
              </w:rPr>
              <w:t>4</w:t>
            </w:r>
          </w:p>
        </w:tc>
        <w:tc>
          <w:tcPr>
            <w:tcW w:w="4987" w:type="dxa"/>
            <w:tcBorders>
              <w:top w:val="single" w:color="000000" w:sz="4" w:space="0"/>
              <w:left w:val="single" w:color="000000" w:sz="4" w:space="0"/>
              <w:bottom w:val="single" w:color="000000" w:sz="4" w:space="0"/>
              <w:right w:val="single" w:color="000000" w:sz="4" w:space="0"/>
            </w:tcBorders>
            <w:vAlign w:val="center"/>
          </w:tcPr>
          <w:p w14:paraId="1953FD9D">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应急方案</w:t>
            </w:r>
          </w:p>
        </w:tc>
        <w:tc>
          <w:tcPr>
            <w:tcW w:w="1320" w:type="dxa"/>
            <w:tcBorders>
              <w:top w:val="single" w:color="000000" w:sz="4" w:space="0"/>
              <w:left w:val="single" w:color="000000" w:sz="4" w:space="0"/>
              <w:bottom w:val="single" w:color="000000" w:sz="4" w:space="0"/>
              <w:right w:val="single" w:color="000000" w:sz="4" w:space="0"/>
            </w:tcBorders>
            <w:vAlign w:val="center"/>
          </w:tcPr>
          <w:p w14:paraId="4379AF8F">
            <w:pPr>
              <w:pStyle w:val="33"/>
              <w:keepNext w:val="0"/>
              <w:keepLines w:val="0"/>
              <w:pageBreakBefore w:val="0"/>
              <w:kinsoku w:val="0"/>
              <w:wordWrap/>
              <w:overflowPunct w:val="0"/>
              <w:topLinePunct w:val="0"/>
              <w:bidi w:val="0"/>
              <w:spacing w:line="480" w:lineRule="exact"/>
              <w:jc w:val="center"/>
              <w:textAlignment w:val="auto"/>
              <w:rPr>
                <w:rFonts w:hint="eastAsia" w:ascii="仿宋_GB2312" w:hAnsi="仿宋_GB2312" w:eastAsia="仿宋_GB2312" w:cs="仿宋_GB2312"/>
                <w:color w:val="000000" w:themeColor="text1"/>
                <w:spacing w:val="1"/>
                <w:sz w:val="24"/>
                <w:szCs w:val="24"/>
              </w:rPr>
            </w:pPr>
            <w:r>
              <w:rPr>
                <w:rFonts w:hint="eastAsia" w:ascii="仿宋_GB2312" w:hAnsi="仿宋_GB2312" w:eastAsia="仿宋_GB2312" w:cs="仿宋_GB2312"/>
                <w:color w:val="000000" w:themeColor="text1"/>
                <w:spacing w:val="1"/>
                <w:sz w:val="24"/>
                <w:szCs w:val="24"/>
              </w:rPr>
              <w:t>原件</w:t>
            </w:r>
          </w:p>
        </w:tc>
        <w:tc>
          <w:tcPr>
            <w:tcW w:w="1050" w:type="dxa"/>
            <w:tcBorders>
              <w:top w:val="single" w:color="000000" w:sz="4" w:space="0"/>
              <w:left w:val="single" w:color="000000" w:sz="4" w:space="0"/>
              <w:bottom w:val="single" w:color="000000" w:sz="4" w:space="0"/>
              <w:right w:val="single" w:color="000000" w:sz="4" w:space="0"/>
            </w:tcBorders>
            <w:vAlign w:val="center"/>
          </w:tcPr>
          <w:p w14:paraId="1487BF8E">
            <w:pPr>
              <w:pStyle w:val="33"/>
              <w:keepNext w:val="0"/>
              <w:keepLines w:val="0"/>
              <w:pageBreakBefore w:val="0"/>
              <w:kinsoku w:val="0"/>
              <w:wordWrap/>
              <w:overflowPunct w:val="0"/>
              <w:topLinePunct w:val="0"/>
              <w:bidi w:val="0"/>
              <w:spacing w:line="480" w:lineRule="exact"/>
              <w:ind w:left="102" w:leftChars="0"/>
              <w:jc w:val="center"/>
              <w:textAlignment w:val="auto"/>
              <w:rPr>
                <w:rFonts w:hint="eastAsia" w:ascii="仿宋_GB2312" w:hAnsi="仿宋_GB2312" w:eastAsia="仿宋_GB2312" w:cs="仿宋_GB2312"/>
                <w:color w:val="000000" w:themeColor="text1"/>
                <w:sz w:val="24"/>
                <w:szCs w:val="24"/>
              </w:rPr>
            </w:pPr>
            <w:r>
              <w:rPr>
                <w:rFonts w:hint="eastAsia" w:ascii="仿宋_GB2312" w:hAnsi="仿宋_GB2312" w:eastAsia="仿宋_GB2312" w:cs="仿宋_GB2312"/>
                <w:color w:val="000000" w:themeColor="text1"/>
                <w:sz w:val="24"/>
                <w:szCs w:val="24"/>
              </w:rPr>
              <w:t>1份</w:t>
            </w:r>
          </w:p>
        </w:tc>
        <w:tc>
          <w:tcPr>
            <w:tcW w:w="1275" w:type="dxa"/>
            <w:vMerge w:val="continue"/>
            <w:tcBorders>
              <w:top w:val="single" w:color="000000" w:sz="8" w:space="0"/>
              <w:left w:val="single" w:color="000000" w:sz="4" w:space="0"/>
              <w:bottom w:val="single" w:color="000000" w:sz="8" w:space="0"/>
              <w:right w:val="single" w:color="000000" w:sz="8" w:space="0"/>
            </w:tcBorders>
            <w:vAlign w:val="center"/>
          </w:tcPr>
          <w:p w14:paraId="5A40349B">
            <w:pPr>
              <w:pStyle w:val="33"/>
              <w:keepNext w:val="0"/>
              <w:keepLines w:val="0"/>
              <w:pageBreakBefore w:val="0"/>
              <w:kinsoku w:val="0"/>
              <w:wordWrap/>
              <w:overflowPunct w:val="0"/>
              <w:topLinePunct w:val="0"/>
              <w:bidi w:val="0"/>
              <w:spacing w:line="480" w:lineRule="exact"/>
              <w:ind w:left="102"/>
              <w:jc w:val="center"/>
              <w:textAlignment w:val="auto"/>
              <w:rPr>
                <w:rFonts w:hint="eastAsia" w:ascii="仿宋_GB2312" w:hAnsi="仿宋_GB2312" w:eastAsia="仿宋_GB2312" w:cs="仿宋_GB2312"/>
                <w:color w:val="000000" w:themeColor="text1"/>
                <w:sz w:val="24"/>
                <w:szCs w:val="24"/>
              </w:rPr>
            </w:pPr>
          </w:p>
        </w:tc>
      </w:tr>
    </w:tbl>
    <w:p w14:paraId="132F5530">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ascii="宋体" w:hAnsi="宋体"/>
          <w:color w:val="000000" w:themeColor="text1"/>
          <w:sz w:val="24"/>
        </w:rPr>
      </w:pPr>
      <w:r>
        <w:rPr>
          <w:rFonts w:hint="eastAsia" w:ascii="黑体" w:hAnsi="黑体" w:eastAsia="黑体" w:cs="黑体"/>
          <w:color w:val="000000" w:themeColor="text1"/>
          <w:sz w:val="32"/>
          <w:szCs w:val="32"/>
        </w:rPr>
        <w:t>八、办结时限</w:t>
      </w:r>
      <w:r>
        <w:rPr>
          <w:rFonts w:hint="eastAsia" w:ascii="仿宋_GB2312" w:hAnsi="仿宋_GB2312" w:eastAsia="仿宋_GB2312" w:cs="仿宋_GB2312"/>
          <w:color w:val="000000" w:themeColor="text1"/>
          <w:sz w:val="24"/>
          <w:szCs w:val="24"/>
        </w:rPr>
        <w:t xml:space="preserve"> </w:t>
      </w:r>
    </w:p>
    <w:p w14:paraId="25245E1C">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受理时限：12个工作日。</w:t>
      </w:r>
    </w:p>
    <w:p w14:paraId="1FAFF8E1">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法定办理时限: 12个工作日。</w:t>
      </w:r>
    </w:p>
    <w:p w14:paraId="107CB166">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承诺办理时限：</w:t>
      </w:r>
      <w:r>
        <w:rPr>
          <w:rFonts w:hint="eastAsia" w:ascii="仿宋_GB2312" w:hAnsi="仿宋_GB2312" w:eastAsia="仿宋_GB2312" w:cs="仿宋_GB2312"/>
          <w:color w:val="000000" w:themeColor="text1"/>
          <w:sz w:val="32"/>
          <w:szCs w:val="32"/>
          <w:lang w:val="en-US" w:eastAsia="zh-CN"/>
        </w:rPr>
        <w:t>1</w:t>
      </w:r>
      <w:r>
        <w:rPr>
          <w:rFonts w:hint="eastAsia" w:ascii="仿宋_GB2312" w:hAnsi="仿宋_GB2312" w:eastAsia="仿宋_GB2312" w:cs="仿宋_GB2312"/>
          <w:color w:val="000000" w:themeColor="text1"/>
          <w:sz w:val="32"/>
          <w:szCs w:val="32"/>
        </w:rPr>
        <w:t>个工作日（不含实地勘查、意见征询、论证评审、组织听证时间）。</w:t>
      </w:r>
    </w:p>
    <w:p w14:paraId="4934C641">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ascii="黑体" w:hAnsi="黑体" w:eastAsia="黑体"/>
          <w:color w:val="000000" w:themeColor="text1"/>
          <w:sz w:val="32"/>
          <w:szCs w:val="32"/>
        </w:rPr>
      </w:pPr>
      <w:r>
        <w:rPr>
          <w:rFonts w:hint="eastAsia" w:ascii="黑体" w:hAnsi="黑体" w:eastAsia="黑体"/>
          <w:color w:val="000000" w:themeColor="text1"/>
          <w:sz w:val="32"/>
          <w:szCs w:val="32"/>
        </w:rPr>
        <w:t>九、许可收费及依据</w:t>
      </w:r>
    </w:p>
    <w:p w14:paraId="7CFAE8CD">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本许可事项不收费。</w:t>
      </w:r>
    </w:p>
    <w:p w14:paraId="7810822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ascii="黑体" w:hAnsi="黑体" w:eastAsia="黑体"/>
          <w:color w:val="auto"/>
          <w:sz w:val="32"/>
          <w:szCs w:val="32"/>
        </w:rPr>
      </w:pPr>
      <w:r>
        <w:rPr>
          <w:rFonts w:hint="eastAsia" w:ascii="黑体" w:hAnsi="黑体" w:eastAsia="黑体"/>
          <w:color w:val="auto"/>
          <w:sz w:val="32"/>
          <w:szCs w:val="32"/>
        </w:rPr>
        <w:t>十、办理流程</w:t>
      </w:r>
    </w:p>
    <w:p w14:paraId="18643AC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0"/>
        <w:rPr>
          <w:rFonts w:hint="eastAsia" w:ascii="宋体" w:hAnsi="宋体"/>
          <w:b/>
          <w:color w:val="auto"/>
          <w:sz w:val="24"/>
        </w:rPr>
      </w:pPr>
      <w:r>
        <w:rPr>
          <w:rFonts w:hint="eastAsia" w:ascii="仿宋_GB2312" w:hAnsi="仿宋_GB2312" w:eastAsia="仿宋_GB2312" w:cs="仿宋_GB2312"/>
          <w:b w:val="0"/>
          <w:bCs/>
          <w:color w:val="auto"/>
          <w:sz w:val="32"/>
          <w:szCs w:val="32"/>
        </w:rPr>
        <w:t>（一）申请</w:t>
      </w:r>
      <w:r>
        <w:rPr>
          <w:rFonts w:ascii="宋体" w:hAnsi="宋体"/>
          <w:b/>
          <w:color w:val="auto"/>
          <w:sz w:val="24"/>
        </w:rPr>
        <w:t xml:space="preserve"> </w:t>
      </w:r>
    </w:p>
    <w:p w14:paraId="66137F9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1.提交方式</w:t>
      </w:r>
    </w:p>
    <w:p w14:paraId="6E15C18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（1）窗口提交 </w:t>
      </w:r>
    </w:p>
    <w:p w14:paraId="62BDAD2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接收申请的实施机关：昆明市官渡区</w:t>
      </w:r>
      <w:r>
        <w:rPr>
          <w:rFonts w:hint="eastAsia" w:ascii="仿宋_GB2312" w:hAnsi="仿宋_GB2312" w:eastAsia="仿宋_GB2312" w:cs="仿宋_GB2312"/>
          <w:color w:val="auto"/>
          <w:sz w:val="32"/>
          <w:szCs w:val="32"/>
          <w:lang w:val="en-US" w:eastAsia="zh-CN"/>
        </w:rPr>
        <w:t>行政审批局</w:t>
      </w:r>
      <w:r>
        <w:rPr>
          <w:rFonts w:hint="eastAsia" w:ascii="仿宋_GB2312" w:hAnsi="仿宋_GB2312" w:eastAsia="仿宋_GB2312" w:cs="仿宋_GB2312"/>
          <w:color w:val="auto"/>
          <w:sz w:val="32"/>
          <w:szCs w:val="32"/>
        </w:rPr>
        <w:t>；</w:t>
      </w:r>
    </w:p>
    <w:p w14:paraId="624F55BD">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接收地址：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021D4F98">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（2）网络提交 </w:t>
      </w:r>
    </w:p>
    <w:p w14:paraId="1FB72522">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网址：http://zwfw.yn.gov.cn/portal/#/home “云南省政务服务网 ”</w:t>
      </w:r>
    </w:p>
    <w:p w14:paraId="1FEC3769">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2.提交时间：</w:t>
      </w:r>
    </w:p>
    <w:p w14:paraId="16F72ACE">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 xml:space="preserve">窗口提交：星期一至星期五上午9:00～12:00，下午13:00～17:00（法定节假日除外）。 </w:t>
      </w:r>
    </w:p>
    <w:p w14:paraId="51831DE1">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lang w:eastAsia="zh-CN"/>
        </w:rPr>
      </w:pPr>
      <w:r>
        <w:rPr>
          <w:rFonts w:hint="eastAsia" w:ascii="仿宋_GB2312" w:hAnsi="仿宋_GB2312" w:eastAsia="仿宋_GB2312" w:cs="仿宋_GB2312"/>
          <w:b w:val="0"/>
          <w:bCs/>
          <w:color w:val="000000" w:themeColor="text1"/>
          <w:sz w:val="32"/>
          <w:szCs w:val="32"/>
        </w:rPr>
        <w:t>网络提交：时间不限。</w:t>
      </w:r>
    </w:p>
    <w:p w14:paraId="0736FA68">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（二）受理</w:t>
      </w:r>
    </w:p>
    <w:p w14:paraId="4B3B3D6A">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1.接受材料，对材料符合要求的，准予受理并向申请人发送《受理通知书》。</w:t>
      </w:r>
    </w:p>
    <w:p w14:paraId="3D77C2D4">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2.对申请材料不符合要求且可以通过补正达到要求的，当场或者在5日内向申请人发送《申请材料补正告知书》并一次性告知</w:t>
      </w:r>
      <w:r>
        <w:rPr>
          <w:rFonts w:hint="eastAsia" w:ascii="仿宋_GB2312" w:hAnsi="仿宋_GB2312" w:eastAsia="仿宋_GB2312" w:cs="仿宋_GB2312"/>
          <w:b w:val="0"/>
          <w:bCs/>
          <w:color w:val="000000" w:themeColor="text1"/>
          <w:sz w:val="32"/>
          <w:szCs w:val="32"/>
          <w:lang w:eastAsia="zh-CN"/>
        </w:rPr>
        <w:t>；</w:t>
      </w:r>
      <w:r>
        <w:rPr>
          <w:rFonts w:hint="eastAsia" w:ascii="仿宋_GB2312" w:hAnsi="仿宋_GB2312" w:eastAsia="仿宋_GB2312" w:cs="仿宋_GB2312"/>
          <w:b w:val="0"/>
          <w:bCs/>
          <w:color w:val="000000" w:themeColor="text1"/>
          <w:sz w:val="32"/>
          <w:szCs w:val="32"/>
        </w:rPr>
        <w:t>逾期不告知的，自收到申请材料之日起即为受理。</w:t>
      </w:r>
    </w:p>
    <w:p w14:paraId="7DF77C1B">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3.对申请材料不符合要求的，将作出不予受理的决定并发出《不予受理决定书》。</w:t>
      </w:r>
    </w:p>
    <w:p w14:paraId="0BC29CDB">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（三）审核</w:t>
      </w:r>
    </w:p>
    <w:p w14:paraId="1105EC3A">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受理后</w:t>
      </w:r>
      <w:r>
        <w:rPr>
          <w:rFonts w:hint="eastAsia" w:ascii="仿宋_GB2312" w:hAnsi="仿宋_GB2312" w:eastAsia="仿宋_GB2312" w:cs="仿宋_GB2312"/>
          <w:b w:val="0"/>
          <w:bCs/>
          <w:color w:val="000000" w:themeColor="text1"/>
          <w:sz w:val="32"/>
          <w:szCs w:val="32"/>
          <w:lang w:val="en-US" w:eastAsia="zh-CN"/>
        </w:rPr>
        <w:t>4</w:t>
      </w:r>
      <w:r>
        <w:rPr>
          <w:rFonts w:hint="eastAsia" w:ascii="仿宋_GB2312" w:hAnsi="仿宋_GB2312" w:eastAsia="仿宋_GB2312" w:cs="仿宋_GB2312"/>
          <w:b w:val="0"/>
          <w:bCs/>
          <w:color w:val="000000" w:themeColor="text1"/>
          <w:sz w:val="32"/>
          <w:szCs w:val="32"/>
        </w:rPr>
        <w:t>个工作日内完成书面审查，自作出受理决定之日起 20个工作日内组织专家考核组完成现场考核。申请人应根据实施机关出具的《行政许可安全评估报告》做好现场考评的相关准备。</w:t>
      </w:r>
    </w:p>
    <w:p w14:paraId="69EFEC0F">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（四）许可决定及送达方式</w:t>
      </w:r>
    </w:p>
    <w:p w14:paraId="1D4C31A2">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自作出决定之日起4日内，许可结果将在</w:t>
      </w:r>
      <w:r>
        <w:rPr>
          <w:rFonts w:hint="eastAsia" w:ascii="仿宋_GB2312" w:hAnsi="仿宋_GB2312" w:eastAsia="仿宋_GB2312" w:cs="仿宋_GB2312"/>
          <w:b w:val="0"/>
          <w:bCs/>
          <w:color w:val="000000" w:themeColor="text1"/>
          <w:sz w:val="32"/>
          <w:szCs w:val="32"/>
          <w:lang w:val="en-US" w:eastAsia="zh-CN"/>
        </w:rPr>
        <w:t>门户网站</w:t>
      </w:r>
      <w:r>
        <w:rPr>
          <w:rFonts w:hint="eastAsia" w:ascii="仿宋_GB2312" w:hAnsi="仿宋_GB2312" w:eastAsia="仿宋_GB2312" w:cs="仿宋_GB2312"/>
          <w:b w:val="0"/>
          <w:bCs/>
          <w:color w:val="000000" w:themeColor="text1"/>
          <w:sz w:val="32"/>
          <w:szCs w:val="32"/>
        </w:rPr>
        <w:t>上公开。</w:t>
      </w:r>
    </w:p>
    <w:p w14:paraId="4730452E">
      <w:pPr>
        <w:keepNext w:val="0"/>
        <w:keepLines w:val="0"/>
        <w:pageBreakBefore w:val="0"/>
        <w:widowControl w:val="0"/>
        <w:kinsoku/>
        <w:wordWrap/>
        <w:overflowPunct/>
        <w:topLinePunct w:val="0"/>
        <w:autoSpaceDE/>
        <w:autoSpaceDN/>
        <w:bidi w:val="0"/>
        <w:spacing w:line="480" w:lineRule="exact"/>
        <w:ind w:left="2238" w:leftChars="304" w:hanging="1600" w:hangingChars="5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办理结果：对许可通过的单位，颁发《交通行政许可证》。对不予许可的单位，下发《不予行政许可决定书》。</w:t>
      </w:r>
    </w:p>
    <w:p w14:paraId="55B60F1F">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送达方式：到</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3EB9FDAF">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color w:val="auto"/>
          <w:sz w:val="32"/>
          <w:szCs w:val="32"/>
        </w:rPr>
      </w:pPr>
      <w:r>
        <w:rPr>
          <w:rFonts w:hint="eastAsia" w:ascii="黑体" w:hAnsi="黑体" w:eastAsia="黑体"/>
          <w:color w:val="auto"/>
          <w:sz w:val="32"/>
          <w:szCs w:val="32"/>
        </w:rPr>
        <w:t>十一、许可服务</w:t>
      </w:r>
    </w:p>
    <w:p w14:paraId="2A832A33">
      <w:pPr>
        <w:keepNext w:val="0"/>
        <w:keepLines w:val="0"/>
        <w:pageBreakBefore w:val="0"/>
        <w:widowControl w:val="0"/>
        <w:wordWrap/>
        <w:topLinePunct w:val="0"/>
        <w:bidi w:val="0"/>
        <w:spacing w:line="480" w:lineRule="exact"/>
        <w:ind w:firstLine="640" w:firstLineChars="200"/>
        <w:textAlignment w:val="auto"/>
        <w:outlineLvl w:val="0"/>
        <w:rPr>
          <w:rFonts w:hint="eastAsia" w:ascii="黑体" w:hAnsi="黑体" w:eastAsia="黑体"/>
          <w:b w:val="0"/>
          <w:bCs/>
          <w:color w:val="auto"/>
          <w:sz w:val="32"/>
          <w:szCs w:val="32"/>
        </w:rPr>
      </w:pPr>
      <w:r>
        <w:rPr>
          <w:rFonts w:hint="eastAsia" w:ascii="仿宋_GB2312" w:hAnsi="仿宋_GB2312" w:eastAsia="仿宋_GB2312" w:cs="仿宋_GB2312"/>
          <w:b w:val="0"/>
          <w:bCs/>
          <w:color w:val="auto"/>
          <w:sz w:val="32"/>
          <w:szCs w:val="32"/>
        </w:rPr>
        <w:t>（一）咨询</w:t>
      </w:r>
      <w:r>
        <w:rPr>
          <w:rFonts w:hint="eastAsia" w:ascii="宋体" w:hAnsi="宋体"/>
          <w:b w:val="0"/>
          <w:bCs/>
          <w:color w:val="auto"/>
          <w:sz w:val="32"/>
          <w:szCs w:val="32"/>
        </w:rPr>
        <w:t xml:space="preserve"> </w:t>
      </w:r>
    </w:p>
    <w:p w14:paraId="59C13EEA">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1.咨询方式</w:t>
      </w:r>
    </w:p>
    <w:p w14:paraId="070248C2">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（1）窗口咨询。</w:t>
      </w:r>
    </w:p>
    <w:p w14:paraId="260F3F52">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2FD3F4DE">
      <w:pPr>
        <w:keepNext w:val="0"/>
        <w:keepLines w:val="0"/>
        <w:pageBreakBefore w:val="0"/>
        <w:widowControl w:val="0"/>
        <w:wordWrap/>
        <w:topLinePunct w:val="0"/>
        <w:bidi w:val="0"/>
        <w:spacing w:line="4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（2）电话咨询。电话号码：(0871) 6</w:t>
      </w:r>
      <w:r>
        <w:rPr>
          <w:rFonts w:hint="eastAsia" w:ascii="仿宋_GB2312" w:hAnsi="仿宋_GB2312" w:eastAsia="仿宋_GB2312" w:cs="仿宋_GB2312"/>
          <w:color w:val="auto"/>
          <w:sz w:val="32"/>
          <w:szCs w:val="32"/>
          <w:lang w:val="en-US" w:eastAsia="zh-CN"/>
        </w:rPr>
        <w:t>6190385</w:t>
      </w:r>
    </w:p>
    <w:p w14:paraId="699C635F">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网络咨询。http://zwfw.yn.gov.cn/portal/#/home “云南省政务服务网 ”</w:t>
      </w:r>
    </w:p>
    <w:p w14:paraId="3F86596E">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2.咨询回复</w:t>
      </w:r>
    </w:p>
    <w:p w14:paraId="4A11340C">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回复方式：窗口回复、电话回复、网络回复</w:t>
      </w:r>
    </w:p>
    <w:p w14:paraId="117EA803">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回复机构：昆明市官渡区行政审批局</w:t>
      </w:r>
    </w:p>
    <w:p w14:paraId="50CCED27">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回复时限：窗口咨询和电话咨询当场回复；网络咨询自收到咨询件后3个工作日内回复。</w:t>
      </w:r>
    </w:p>
    <w:p w14:paraId="0AE6972E">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（二）办理进程查询</w:t>
      </w:r>
    </w:p>
    <w:p w14:paraId="5553B1FD">
      <w:pPr>
        <w:keepNext w:val="0"/>
        <w:keepLines w:val="0"/>
        <w:pageBreakBefore w:val="0"/>
        <w:widowControl w:val="0"/>
        <w:wordWrap/>
        <w:topLinePunct w:val="0"/>
        <w:bidi w:val="0"/>
        <w:spacing w:line="48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申请人可通过电话号码：(0871)6</w:t>
      </w:r>
      <w:r>
        <w:rPr>
          <w:rFonts w:hint="eastAsia" w:ascii="仿宋_GB2312" w:hAnsi="仿宋_GB2312" w:eastAsia="仿宋_GB2312" w:cs="仿宋_GB2312"/>
          <w:color w:val="auto"/>
          <w:sz w:val="32"/>
          <w:szCs w:val="32"/>
          <w:lang w:val="en-US" w:eastAsia="zh-CN"/>
        </w:rPr>
        <w:t>6190385</w:t>
      </w:r>
      <w:r>
        <w:rPr>
          <w:rFonts w:hint="eastAsia" w:ascii="仿宋_GB2312" w:hAnsi="仿宋_GB2312" w:eastAsia="仿宋_GB2312" w:cs="仿宋_GB2312"/>
          <w:color w:val="auto"/>
          <w:sz w:val="32"/>
          <w:szCs w:val="32"/>
        </w:rPr>
        <w:t>或 “云南省政务服务网 ”http://zwfw.yn.gov.cn/portal/#/home 查询审批事项办理进程。</w:t>
      </w:r>
    </w:p>
    <w:p w14:paraId="080ABF7C">
      <w:pPr>
        <w:keepNext w:val="0"/>
        <w:keepLines w:val="0"/>
        <w:pageBreakBefore w:val="0"/>
        <w:widowControl w:val="0"/>
        <w:wordWrap/>
        <w:topLinePunct w:val="0"/>
        <w:bidi w:val="0"/>
        <w:spacing w:line="480" w:lineRule="exact"/>
        <w:ind w:firstLine="640" w:firstLineChars="200"/>
        <w:textAlignment w:val="auto"/>
        <w:outlineLvl w:val="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（三）监督投诉</w:t>
      </w:r>
    </w:p>
    <w:p w14:paraId="063D7D62">
      <w:pPr>
        <w:keepNext w:val="0"/>
        <w:keepLines w:val="0"/>
        <w:pageBreakBefore w:val="0"/>
        <w:widowControl w:val="0"/>
        <w:wordWrap/>
        <w:topLinePunct w:val="0"/>
        <w:bidi w:val="0"/>
        <w:adjustRightInd w:val="0"/>
        <w:snapToGrid w:val="0"/>
        <w:spacing w:line="480" w:lineRule="exact"/>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auto"/>
          <w:sz w:val="32"/>
          <w:szCs w:val="32"/>
        </w:rPr>
        <w:t>窗口投诉：</w:t>
      </w:r>
      <w:r>
        <w:rPr>
          <w:rFonts w:hint="eastAsia" w:ascii="仿宋_GB2312" w:hAnsi="仿宋_GB2312" w:eastAsia="仿宋_GB2312" w:cs="仿宋_GB2312"/>
          <w:b w:val="0"/>
          <w:bCs/>
          <w:sz w:val="32"/>
          <w:szCs w:val="32"/>
        </w:rPr>
        <w:t>昆明市官渡区云秀路2898号官渡区政务服务中心</w:t>
      </w:r>
      <w:r>
        <w:rPr>
          <w:rFonts w:hint="eastAsia" w:ascii="仿宋_GB2312" w:hAnsi="仿宋_GB2312" w:eastAsia="仿宋_GB2312" w:cs="仿宋_GB2312"/>
          <w:b w:val="0"/>
          <w:bCs/>
          <w:sz w:val="32"/>
          <w:szCs w:val="32"/>
          <w:lang w:val="en-US" w:eastAsia="zh-CN"/>
        </w:rPr>
        <w:t>二</w:t>
      </w:r>
      <w:r>
        <w:rPr>
          <w:rFonts w:hint="eastAsia" w:ascii="仿宋_GB2312" w:hAnsi="仿宋_GB2312" w:eastAsia="仿宋_GB2312" w:cs="仿宋_GB2312"/>
          <w:b w:val="0"/>
          <w:bCs/>
          <w:sz w:val="32"/>
          <w:szCs w:val="32"/>
        </w:rPr>
        <w:t>楼工程建设综合窗口</w:t>
      </w:r>
    </w:p>
    <w:p w14:paraId="2D4C0D6F">
      <w:pPr>
        <w:keepNext w:val="0"/>
        <w:keepLines w:val="0"/>
        <w:pageBreakBefore w:val="0"/>
        <w:widowControl w:val="0"/>
        <w:wordWrap/>
        <w:topLinePunct w:val="0"/>
        <w:bidi w:val="0"/>
        <w:spacing w:line="4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电话投诉：(0871) 6</w:t>
      </w:r>
      <w:r>
        <w:rPr>
          <w:rFonts w:hint="eastAsia" w:ascii="仿宋_GB2312" w:hAnsi="仿宋_GB2312" w:eastAsia="仿宋_GB2312" w:cs="仿宋_GB2312"/>
          <w:color w:val="auto"/>
          <w:sz w:val="32"/>
          <w:szCs w:val="32"/>
          <w:lang w:val="en-US" w:eastAsia="zh-CN"/>
        </w:rPr>
        <w:t>6190385</w:t>
      </w:r>
    </w:p>
    <w:p w14:paraId="599F6B17">
      <w:pPr>
        <w:ind w:firstLine="640" w:firstLineChars="200"/>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color w:val="auto"/>
          <w:sz w:val="32"/>
          <w:szCs w:val="32"/>
        </w:rPr>
        <w:t xml:space="preserve">网上投诉：http://zwfw.yn.gov.cn/ </w:t>
      </w:r>
    </w:p>
    <w:p w14:paraId="50C53C50">
      <w:pPr>
        <w:keepNext w:val="0"/>
        <w:keepLines w:val="0"/>
        <w:pageBreakBefore w:val="0"/>
        <w:widowControl w:val="0"/>
        <w:kinsoku/>
        <w:wordWrap/>
        <w:overflowPunct/>
        <w:topLinePunct w:val="0"/>
        <w:autoSpaceDE/>
        <w:autoSpaceDN/>
        <w:bidi w:val="0"/>
        <w:spacing w:line="480" w:lineRule="exact"/>
        <w:ind w:firstLine="640" w:firstLineChars="200"/>
        <w:textAlignment w:val="auto"/>
        <w:outlineLvl w:val="0"/>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（四）行政复议或行政诉讼</w:t>
      </w:r>
    </w:p>
    <w:p w14:paraId="55FD1EED">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公民、法人或者其他组织认为具体行政行为侵犯其合法权益的，可以向官渡区行政审批局进行投诉，可以自知道该具体行政行为之日起六十日内向官渡区人民政府或官渡区行政审批局提出行政复议，或应当自知道或应当知道作出行政行为之日起六个月内依法向有管辖权限的人民法院提起行政诉讼。</w:t>
      </w:r>
    </w:p>
    <w:p w14:paraId="18991D1E">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行政复议机关名称：昆明市官渡区人民政府。</w:t>
      </w:r>
    </w:p>
    <w:p w14:paraId="0AA84986">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地址：官渡区云秀路2898号。</w:t>
      </w:r>
    </w:p>
    <w:p w14:paraId="22B8E594">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联系方式：(0871)67152522。</w:t>
      </w:r>
    </w:p>
    <w:p w14:paraId="76FE193C">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诉讼机关：昆明市官渡区人民法院。</w:t>
      </w:r>
    </w:p>
    <w:p w14:paraId="326C490C">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地址：昆明市官渡区雨龙路1619号。</w:t>
      </w:r>
    </w:p>
    <w:p w14:paraId="2B3F0A4A">
      <w:pPr>
        <w:keepNext w:val="0"/>
        <w:keepLines w:val="0"/>
        <w:pageBreakBefore w:val="0"/>
        <w:widowControl w:val="0"/>
        <w:kinsoku/>
        <w:wordWrap/>
        <w:overflowPunct/>
        <w:topLinePunct w:val="0"/>
        <w:autoSpaceDE/>
        <w:autoSpaceDN/>
        <w:bidi w:val="0"/>
        <w:spacing w:line="480" w:lineRule="exact"/>
        <w:ind w:firstLine="640" w:firstLineChars="200"/>
        <w:textAlignment w:val="auto"/>
        <w:rPr>
          <w:rFonts w:hint="eastAsia" w:ascii="仿宋_GB2312" w:hAnsi="仿宋_GB2312" w:eastAsia="仿宋_GB2312" w:cs="仿宋_GB2312"/>
          <w:b w:val="0"/>
          <w:bCs/>
          <w:color w:val="000000" w:themeColor="text1"/>
          <w:sz w:val="32"/>
          <w:szCs w:val="32"/>
        </w:rPr>
      </w:pPr>
      <w:r>
        <w:rPr>
          <w:rFonts w:hint="eastAsia" w:ascii="仿宋_GB2312" w:hAnsi="仿宋_GB2312" w:eastAsia="仿宋_GB2312" w:cs="仿宋_GB2312"/>
          <w:b w:val="0"/>
          <w:bCs/>
          <w:color w:val="000000" w:themeColor="text1"/>
          <w:sz w:val="32"/>
          <w:szCs w:val="32"/>
        </w:rPr>
        <w:t>联系方式：（0871）67275888。</w:t>
      </w:r>
    </w:p>
    <w:p w14:paraId="3878AD7F">
      <w:pPr>
        <w:keepNext w:val="0"/>
        <w:keepLines w:val="0"/>
        <w:pageBreakBefore w:val="0"/>
        <w:wordWrap/>
        <w:topLinePunct w:val="0"/>
        <w:bidi w:val="0"/>
        <w:spacing w:line="480" w:lineRule="exact"/>
        <w:ind w:left="422"/>
        <w:textAlignment w:val="auto"/>
        <w:outlineLvl w:val="0"/>
        <w:rPr>
          <w:rFonts w:ascii="黑体" w:hAnsi="黑体" w:eastAsia="黑体"/>
          <w:sz w:val="28"/>
          <w:szCs w:val="28"/>
        </w:rPr>
      </w:pPr>
    </w:p>
    <w:p w14:paraId="320BA2A8">
      <w:pPr>
        <w:keepNext w:val="0"/>
        <w:keepLines w:val="0"/>
        <w:pageBreakBefore w:val="0"/>
        <w:wordWrap/>
        <w:topLinePunct w:val="0"/>
        <w:bidi w:val="0"/>
        <w:spacing w:line="480" w:lineRule="exact"/>
        <w:ind w:left="422"/>
        <w:textAlignment w:val="auto"/>
        <w:outlineLvl w:val="0"/>
        <w:rPr>
          <w:rFonts w:ascii="黑体" w:hAnsi="黑体" w:eastAsia="黑体"/>
          <w:sz w:val="28"/>
          <w:szCs w:val="28"/>
        </w:rPr>
      </w:pPr>
    </w:p>
    <w:p w14:paraId="01F8B8B2">
      <w:pPr>
        <w:keepNext w:val="0"/>
        <w:keepLines w:val="0"/>
        <w:pageBreakBefore w:val="0"/>
        <w:wordWrap/>
        <w:topLinePunct w:val="0"/>
        <w:bidi w:val="0"/>
        <w:adjustRightInd w:val="0"/>
        <w:snapToGrid w:val="0"/>
        <w:spacing w:line="480" w:lineRule="exact"/>
        <w:textAlignment w:val="auto"/>
        <w:rPr>
          <w:rFonts w:hint="eastAsia" w:ascii="黑体" w:hAnsi="黑体" w:eastAsia="黑体"/>
          <w:color w:val="auto"/>
          <w:sz w:val="28"/>
          <w:szCs w:val="28"/>
          <w:lang w:val="en-US" w:eastAsia="zh-CN"/>
        </w:rPr>
      </w:pPr>
      <w:r>
        <w:rPr>
          <w:rFonts w:hint="eastAsia" w:ascii="黑体" w:hAnsi="黑体" w:eastAsia="黑体"/>
          <w:sz w:val="28"/>
          <w:szCs w:val="28"/>
        </w:rPr>
        <w:t>附件</w:t>
      </w:r>
      <w:r>
        <w:rPr>
          <w:rFonts w:hint="eastAsia" w:ascii="黑体" w:hAnsi="黑体" w:eastAsia="黑体"/>
          <w:sz w:val="28"/>
          <w:szCs w:val="28"/>
          <w:lang w:val="en-US" w:eastAsia="zh-CN"/>
        </w:rPr>
        <w:t xml:space="preserve">1  </w:t>
      </w:r>
      <w:r>
        <w:rPr>
          <w:rFonts w:hint="eastAsia" w:ascii="黑体" w:hAnsi="黑体" w:eastAsia="黑体"/>
          <w:color w:val="auto"/>
          <w:sz w:val="28"/>
          <w:szCs w:val="28"/>
          <w:lang w:val="en-US" w:eastAsia="zh-CN"/>
        </w:rPr>
        <w:t>行政许可事项办件流程图</w:t>
      </w:r>
    </w:p>
    <w:p w14:paraId="31FD2FE7">
      <w:pPr>
        <w:keepNext w:val="0"/>
        <w:keepLines w:val="0"/>
        <w:pageBreakBefore w:val="0"/>
        <w:wordWrap/>
        <w:topLinePunct w:val="0"/>
        <w:bidi w:val="0"/>
        <w:adjustRightInd w:val="0"/>
        <w:snapToGrid w:val="0"/>
        <w:spacing w:line="480" w:lineRule="exact"/>
        <w:textAlignment w:val="auto"/>
        <w:rPr>
          <w:rFonts w:hint="default" w:ascii="黑体" w:hAnsi="黑体" w:eastAsia="黑体"/>
          <w:color w:val="auto"/>
          <w:sz w:val="28"/>
          <w:szCs w:val="28"/>
          <w:lang w:val="en-US" w:eastAsia="zh-CN"/>
        </w:rPr>
      </w:pPr>
      <w:r>
        <w:rPr>
          <w:rFonts w:hint="eastAsia" w:ascii="黑体" w:hAnsi="黑体" w:eastAsia="黑体"/>
          <w:color w:val="auto"/>
          <w:sz w:val="28"/>
          <w:szCs w:val="28"/>
          <w:lang w:val="en-US" w:eastAsia="zh-CN"/>
        </w:rPr>
        <w:t>附件2  申请书</w:t>
      </w:r>
    </w:p>
    <w:p w14:paraId="7147326F">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3F9BCC58">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418F486B">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34A48C86">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3E5E89BF">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71C802AD">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17C93336">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789AC57B">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2B9CB9F7">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398AC5A6">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3697CD03">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283E7FC3">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6FC3B7F3">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51287EA2">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02D11241">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7B5C9BD4">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71F47E99">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rPr>
      </w:pPr>
    </w:p>
    <w:p w14:paraId="748D8F90">
      <w:pPr>
        <w:keepNext w:val="0"/>
        <w:keepLines w:val="0"/>
        <w:pageBreakBefore w:val="0"/>
        <w:wordWrap/>
        <w:topLinePunct w:val="0"/>
        <w:bidi w:val="0"/>
        <w:adjustRightInd w:val="0"/>
        <w:snapToGrid w:val="0"/>
        <w:spacing w:line="480" w:lineRule="exact"/>
        <w:textAlignment w:val="auto"/>
        <w:rPr>
          <w:rFonts w:hint="eastAsia" w:ascii="黑体" w:hAnsi="黑体" w:eastAsia="黑体"/>
          <w:sz w:val="28"/>
          <w:szCs w:val="28"/>
          <w:lang w:val="en-US" w:eastAsia="zh-CN"/>
        </w:rPr>
      </w:pPr>
      <w:r>
        <w:rPr>
          <w:rFonts w:hint="eastAsia" w:ascii="方正小标宋简体" w:hAnsi="方正小标宋简体" w:eastAsia="方正小标宋简体" w:cs="方正小标宋简体"/>
          <w:b w:val="0"/>
          <w:bCs w:val="0"/>
          <w:sz w:val="44"/>
          <w:szCs w:val="44"/>
          <w:lang w:val="en-US" w:eastAsia="zh-CN"/>
        </w:rPr>
        <w:drawing>
          <wp:anchor distT="0" distB="0" distL="114300" distR="114300" simplePos="0" relativeHeight="251662336" behindDoc="0" locked="0" layoutInCell="1" allowOverlap="1">
            <wp:simplePos x="0" y="0"/>
            <wp:positionH relativeFrom="column">
              <wp:posOffset>-197485</wp:posOffset>
            </wp:positionH>
            <wp:positionV relativeFrom="paragraph">
              <wp:posOffset>698500</wp:posOffset>
            </wp:positionV>
            <wp:extent cx="5918200" cy="7019925"/>
            <wp:effectExtent l="0" t="0" r="0" b="0"/>
            <wp:wrapSquare wrapText="bothSides"/>
            <wp:docPr id="1" name="图片 57" descr="12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descr="123456"/>
                    <pic:cNvPicPr>
                      <a:picLocks noChangeAspect="1"/>
                    </pic:cNvPicPr>
                  </pic:nvPicPr>
                  <pic:blipFill>
                    <a:blip r:embed="rId14"/>
                    <a:stretch>
                      <a:fillRect/>
                    </a:stretch>
                  </pic:blipFill>
                  <pic:spPr>
                    <a:xfrm>
                      <a:off x="0" y="0"/>
                      <a:ext cx="5918200" cy="7019925"/>
                    </a:xfrm>
                    <a:prstGeom prst="rect">
                      <a:avLst/>
                    </a:prstGeom>
                    <a:noFill/>
                    <a:ln>
                      <a:noFill/>
                    </a:ln>
                  </pic:spPr>
                </pic:pic>
              </a:graphicData>
            </a:graphic>
          </wp:anchor>
        </w:drawing>
      </w:r>
      <w:r>
        <w:rPr>
          <w:rFonts w:hint="eastAsia" w:ascii="黑体" w:hAnsi="黑体" w:eastAsia="黑体"/>
          <w:sz w:val="28"/>
          <w:szCs w:val="28"/>
          <w:lang w:val="en-US" w:eastAsia="zh-CN"/>
        </w:rPr>
        <w:t xml:space="preserve"> </w:t>
      </w:r>
      <w:r>
        <w:rPr>
          <w:rFonts w:hint="eastAsia" w:ascii="黑体" w:hAnsi="黑体" w:eastAsia="黑体"/>
          <w:sz w:val="24"/>
          <w:szCs w:val="24"/>
        </w:rPr>
        <w:t>附件</w:t>
      </w:r>
      <w:r>
        <w:rPr>
          <w:rFonts w:hint="eastAsia" w:ascii="黑体" w:hAnsi="黑体" w:eastAsia="黑体"/>
          <w:sz w:val="24"/>
          <w:szCs w:val="24"/>
          <w:lang w:val="en-US" w:eastAsia="zh-CN"/>
        </w:rPr>
        <w:t>1</w:t>
      </w:r>
    </w:p>
    <w:p w14:paraId="24569A02">
      <w:pPr>
        <w:keepNext w:val="0"/>
        <w:keepLines w:val="0"/>
        <w:pageBreakBefore w:val="0"/>
        <w:wordWrap/>
        <w:topLinePunct w:val="0"/>
        <w:bidi w:val="0"/>
        <w:adjustRightInd w:val="0"/>
        <w:snapToGrid w:val="0"/>
        <w:spacing w:line="480" w:lineRule="exact"/>
        <w:jc w:val="both"/>
        <w:textAlignment w:val="auto"/>
        <w:rPr>
          <w:rFonts w:hint="eastAsia" w:ascii="黑体" w:hAnsi="黑体" w:eastAsia="黑体"/>
          <w:color w:val="000000" w:themeColor="text1"/>
          <w:sz w:val="24"/>
          <w:szCs w:val="24"/>
          <w:lang w:val="en-US" w:eastAsia="zh-CN"/>
        </w:rPr>
      </w:pPr>
    </w:p>
    <w:p w14:paraId="03EC11BC">
      <w:pPr>
        <w:keepNext w:val="0"/>
        <w:keepLines w:val="0"/>
        <w:pageBreakBefore w:val="0"/>
        <w:wordWrap/>
        <w:topLinePunct w:val="0"/>
        <w:bidi w:val="0"/>
        <w:adjustRightInd w:val="0"/>
        <w:snapToGrid w:val="0"/>
        <w:spacing w:line="480" w:lineRule="exact"/>
        <w:jc w:val="both"/>
        <w:textAlignment w:val="auto"/>
        <w:rPr>
          <w:rFonts w:hint="default" w:ascii="黑体" w:hAnsi="黑体" w:eastAsia="黑体"/>
          <w:color w:val="FF0000"/>
          <w:sz w:val="28"/>
          <w:szCs w:val="28"/>
          <w:lang w:val="en-US" w:eastAsia="zh-CN"/>
        </w:rPr>
      </w:pPr>
      <w:r>
        <w:rPr>
          <w:rFonts w:hint="eastAsia" w:ascii="黑体" w:hAnsi="黑体" w:eastAsia="黑体"/>
          <w:color w:val="000000" w:themeColor="text1"/>
          <w:sz w:val="24"/>
          <w:szCs w:val="24"/>
          <w:lang w:val="en-US" w:eastAsia="zh-CN"/>
        </w:rPr>
        <w:t>附件2</w:t>
      </w:r>
      <w:r>
        <w:rPr>
          <w:rFonts w:hint="eastAsia" w:ascii="黑体" w:hAnsi="黑体" w:eastAsia="黑体"/>
          <w:color w:val="FF0000"/>
          <w:sz w:val="28"/>
          <w:szCs w:val="28"/>
          <w:lang w:val="en-US" w:eastAsia="zh-CN"/>
        </w:rPr>
        <w:t xml:space="preserve"> </w:t>
      </w:r>
    </w:p>
    <w:tbl>
      <w:tblPr>
        <w:tblStyle w:val="16"/>
        <w:tblW w:w="90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35"/>
        <w:gridCol w:w="2025"/>
        <w:gridCol w:w="2744"/>
        <w:gridCol w:w="2025"/>
      </w:tblGrid>
      <w:tr w14:paraId="193E0B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9" w:type="dxa"/>
            <w:gridSpan w:val="4"/>
            <w:vAlign w:val="top"/>
          </w:tcPr>
          <w:p w14:paraId="0EE0621C">
            <w:pPr>
              <w:keepNext w:val="0"/>
              <w:keepLines w:val="0"/>
              <w:pageBreakBefore w:val="0"/>
              <w:wordWrap/>
              <w:topLinePunct w:val="0"/>
              <w:bidi w:val="0"/>
              <w:spacing w:line="480" w:lineRule="exact"/>
              <w:jc w:val="center"/>
              <w:textAlignment w:val="auto"/>
              <w:rPr>
                <w:b/>
                <w:sz w:val="24"/>
                <w:szCs w:val="24"/>
              </w:rPr>
            </w:pPr>
            <w:r>
              <w:rPr>
                <w:rFonts w:hint="eastAsia"/>
                <w:b/>
                <w:sz w:val="24"/>
                <w:szCs w:val="24"/>
                <w:lang w:eastAsia="zh-CN"/>
              </w:rPr>
              <w:t>交通</w:t>
            </w:r>
            <w:r>
              <w:rPr>
                <w:rFonts w:hint="eastAsia"/>
                <w:b/>
                <w:sz w:val="24"/>
                <w:szCs w:val="24"/>
              </w:rPr>
              <w:t>行政许可申请书</w:t>
            </w:r>
          </w:p>
        </w:tc>
      </w:tr>
      <w:tr w14:paraId="2EE77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restart"/>
            <w:tcBorders>
              <w:right w:val="single" w:color="auto" w:sz="4" w:space="0"/>
            </w:tcBorders>
            <w:vAlign w:val="top"/>
          </w:tcPr>
          <w:p w14:paraId="078760FB">
            <w:pPr>
              <w:keepNext w:val="0"/>
              <w:keepLines w:val="0"/>
              <w:pageBreakBefore w:val="0"/>
              <w:wordWrap/>
              <w:topLinePunct w:val="0"/>
              <w:bidi w:val="0"/>
              <w:spacing w:line="480" w:lineRule="exact"/>
              <w:jc w:val="center"/>
              <w:textAlignment w:val="auto"/>
            </w:pPr>
            <w:r>
              <w:rPr>
                <w:rFonts w:hint="eastAsia"/>
              </w:rPr>
              <w:t>申请</w:t>
            </w:r>
            <w:r>
              <w:rPr>
                <w:rFonts w:hint="eastAsia"/>
                <w:lang w:eastAsia="zh-CN"/>
              </w:rPr>
              <w:t>人</w:t>
            </w:r>
          </w:p>
          <w:p w14:paraId="61501962">
            <w:pPr>
              <w:keepNext w:val="0"/>
              <w:keepLines w:val="0"/>
              <w:pageBreakBefore w:val="0"/>
              <w:wordWrap/>
              <w:topLinePunct w:val="0"/>
              <w:bidi w:val="0"/>
              <w:spacing w:line="480" w:lineRule="exact"/>
              <w:jc w:val="center"/>
              <w:textAlignment w:val="auto"/>
            </w:pPr>
            <w:r>
              <w:rPr>
                <w:rFonts w:hint="eastAsia"/>
              </w:rPr>
              <w:t>（及法定代表人）</w:t>
            </w:r>
          </w:p>
          <w:p w14:paraId="57523CA6">
            <w:pPr>
              <w:keepNext w:val="0"/>
              <w:keepLines w:val="0"/>
              <w:pageBreakBefore w:val="0"/>
              <w:wordWrap/>
              <w:topLinePunct w:val="0"/>
              <w:bidi w:val="0"/>
              <w:spacing w:line="480" w:lineRule="exact"/>
              <w:jc w:val="center"/>
              <w:textAlignment w:val="auto"/>
            </w:pPr>
            <w:r>
              <w:rPr>
                <w:rFonts w:hint="eastAsia"/>
              </w:rPr>
              <w:t>名称</w:t>
            </w:r>
          </w:p>
        </w:tc>
        <w:tc>
          <w:tcPr>
            <w:tcW w:w="2025" w:type="dxa"/>
            <w:vMerge w:val="restart"/>
            <w:tcBorders>
              <w:left w:val="single" w:color="auto" w:sz="4" w:space="0"/>
            </w:tcBorders>
            <w:vAlign w:val="top"/>
          </w:tcPr>
          <w:p w14:paraId="166DEEDF">
            <w:pPr>
              <w:keepNext w:val="0"/>
              <w:keepLines w:val="0"/>
              <w:pageBreakBefore w:val="0"/>
              <w:widowControl/>
              <w:wordWrap/>
              <w:topLinePunct w:val="0"/>
              <w:bidi w:val="0"/>
              <w:spacing w:line="480" w:lineRule="exact"/>
              <w:jc w:val="left"/>
              <w:textAlignment w:val="auto"/>
              <w:rPr>
                <w:rFonts w:ascii="仿宋" w:hAnsi="仿宋" w:eastAsia="仿宋"/>
              </w:rPr>
            </w:pPr>
          </w:p>
        </w:tc>
        <w:tc>
          <w:tcPr>
            <w:tcW w:w="2744" w:type="dxa"/>
            <w:vAlign w:val="top"/>
          </w:tcPr>
          <w:p w14:paraId="16940982">
            <w:pPr>
              <w:keepNext w:val="0"/>
              <w:keepLines w:val="0"/>
              <w:pageBreakBefore w:val="0"/>
              <w:wordWrap/>
              <w:topLinePunct w:val="0"/>
              <w:bidi w:val="0"/>
              <w:spacing w:line="480" w:lineRule="exact"/>
              <w:textAlignment w:val="auto"/>
            </w:pPr>
            <w:r>
              <w:rPr>
                <w:rFonts w:hint="eastAsia"/>
              </w:rPr>
              <w:t>联系人姓名</w:t>
            </w:r>
          </w:p>
        </w:tc>
        <w:tc>
          <w:tcPr>
            <w:tcW w:w="2025" w:type="dxa"/>
            <w:vAlign w:val="top"/>
          </w:tcPr>
          <w:p w14:paraId="08BEB8BE">
            <w:pPr>
              <w:keepNext w:val="0"/>
              <w:keepLines w:val="0"/>
              <w:pageBreakBefore w:val="0"/>
              <w:wordWrap/>
              <w:topLinePunct w:val="0"/>
              <w:bidi w:val="0"/>
              <w:spacing w:line="480" w:lineRule="exact"/>
              <w:textAlignment w:val="auto"/>
              <w:rPr>
                <w:rFonts w:ascii="仿宋" w:hAnsi="仿宋" w:eastAsia="仿宋"/>
              </w:rPr>
            </w:pPr>
          </w:p>
        </w:tc>
      </w:tr>
      <w:tr w14:paraId="49F8F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4DC95980">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14:paraId="6CED0253">
            <w:pPr>
              <w:keepNext w:val="0"/>
              <w:keepLines w:val="0"/>
              <w:pageBreakBefore w:val="0"/>
              <w:wordWrap/>
              <w:topLinePunct w:val="0"/>
              <w:bidi w:val="0"/>
              <w:spacing w:line="480" w:lineRule="exact"/>
              <w:textAlignment w:val="auto"/>
            </w:pPr>
          </w:p>
        </w:tc>
        <w:tc>
          <w:tcPr>
            <w:tcW w:w="2744" w:type="dxa"/>
            <w:vAlign w:val="top"/>
          </w:tcPr>
          <w:p w14:paraId="34AEC81E">
            <w:pPr>
              <w:keepNext w:val="0"/>
              <w:keepLines w:val="0"/>
              <w:pageBreakBefore w:val="0"/>
              <w:wordWrap/>
              <w:topLinePunct w:val="0"/>
              <w:bidi w:val="0"/>
              <w:spacing w:line="480" w:lineRule="exact"/>
              <w:textAlignment w:val="auto"/>
            </w:pPr>
            <w:r>
              <w:rPr>
                <w:rFonts w:hint="eastAsia"/>
              </w:rPr>
              <w:t>联系人电话</w:t>
            </w:r>
          </w:p>
        </w:tc>
        <w:tc>
          <w:tcPr>
            <w:tcW w:w="2025" w:type="dxa"/>
            <w:vAlign w:val="top"/>
          </w:tcPr>
          <w:p w14:paraId="01958C9C">
            <w:pPr>
              <w:keepNext w:val="0"/>
              <w:keepLines w:val="0"/>
              <w:pageBreakBefore w:val="0"/>
              <w:wordWrap/>
              <w:topLinePunct w:val="0"/>
              <w:bidi w:val="0"/>
              <w:spacing w:line="480" w:lineRule="exact"/>
              <w:textAlignment w:val="auto"/>
              <w:rPr>
                <w:rFonts w:ascii="仿宋" w:hAnsi="仿宋" w:eastAsia="仿宋"/>
              </w:rPr>
            </w:pPr>
          </w:p>
        </w:tc>
      </w:tr>
      <w:tr w14:paraId="1A0A5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6689FC82">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14:paraId="057F9453">
            <w:pPr>
              <w:keepNext w:val="0"/>
              <w:keepLines w:val="0"/>
              <w:pageBreakBefore w:val="0"/>
              <w:wordWrap/>
              <w:topLinePunct w:val="0"/>
              <w:bidi w:val="0"/>
              <w:spacing w:line="480" w:lineRule="exact"/>
              <w:textAlignment w:val="auto"/>
            </w:pPr>
          </w:p>
        </w:tc>
        <w:tc>
          <w:tcPr>
            <w:tcW w:w="2744" w:type="dxa"/>
            <w:vAlign w:val="top"/>
          </w:tcPr>
          <w:p w14:paraId="4F365A27">
            <w:pPr>
              <w:keepNext w:val="0"/>
              <w:keepLines w:val="0"/>
              <w:pageBreakBefore w:val="0"/>
              <w:wordWrap/>
              <w:topLinePunct w:val="0"/>
              <w:bidi w:val="0"/>
              <w:spacing w:line="480" w:lineRule="exact"/>
              <w:jc w:val="left"/>
              <w:textAlignment w:val="auto"/>
            </w:pPr>
            <w:r>
              <w:rPr>
                <w:rFonts w:hint="eastAsia"/>
              </w:rPr>
              <w:t>联系人手机</w:t>
            </w:r>
          </w:p>
        </w:tc>
        <w:tc>
          <w:tcPr>
            <w:tcW w:w="2025" w:type="dxa"/>
            <w:vAlign w:val="top"/>
          </w:tcPr>
          <w:p w14:paraId="642E5BA0">
            <w:pPr>
              <w:keepNext w:val="0"/>
              <w:keepLines w:val="0"/>
              <w:pageBreakBefore w:val="0"/>
              <w:wordWrap/>
              <w:topLinePunct w:val="0"/>
              <w:bidi w:val="0"/>
              <w:spacing w:line="480" w:lineRule="exact"/>
              <w:textAlignment w:val="auto"/>
              <w:rPr>
                <w:rStyle w:val="20"/>
                <w:rFonts w:ascii="仿宋" w:hAnsi="仿宋" w:eastAsia="仿宋"/>
                <w:i w:val="0"/>
              </w:rPr>
            </w:pPr>
          </w:p>
        </w:tc>
      </w:tr>
      <w:tr w14:paraId="4968A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restart"/>
            <w:tcBorders>
              <w:right w:val="single" w:color="auto" w:sz="4" w:space="0"/>
            </w:tcBorders>
            <w:vAlign w:val="top"/>
          </w:tcPr>
          <w:p w14:paraId="639805BF">
            <w:pPr>
              <w:keepNext w:val="0"/>
              <w:keepLines w:val="0"/>
              <w:pageBreakBefore w:val="0"/>
              <w:wordWrap/>
              <w:topLinePunct w:val="0"/>
              <w:bidi w:val="0"/>
              <w:spacing w:line="480" w:lineRule="exact"/>
              <w:jc w:val="both"/>
              <w:textAlignment w:val="auto"/>
              <w:rPr>
                <w:rFonts w:hint="eastAsia"/>
              </w:rPr>
            </w:pPr>
          </w:p>
          <w:p w14:paraId="00D73D39">
            <w:pPr>
              <w:keepNext w:val="0"/>
              <w:keepLines w:val="0"/>
              <w:pageBreakBefore w:val="0"/>
              <w:wordWrap/>
              <w:topLinePunct w:val="0"/>
              <w:bidi w:val="0"/>
              <w:spacing w:line="480" w:lineRule="exact"/>
              <w:jc w:val="center"/>
              <w:textAlignment w:val="auto"/>
            </w:pPr>
            <w:r>
              <w:rPr>
                <w:rFonts w:hint="eastAsia"/>
              </w:rPr>
              <w:t>申请人（法定代表人</w:t>
            </w:r>
          </w:p>
          <w:p w14:paraId="758D2BEF">
            <w:pPr>
              <w:keepNext w:val="0"/>
              <w:keepLines w:val="0"/>
              <w:pageBreakBefore w:val="0"/>
              <w:wordWrap/>
              <w:topLinePunct w:val="0"/>
              <w:bidi w:val="0"/>
              <w:spacing w:line="480" w:lineRule="exact"/>
              <w:jc w:val="center"/>
              <w:textAlignment w:val="auto"/>
            </w:pPr>
            <w:r>
              <w:rPr>
                <w:rFonts w:hint="eastAsia"/>
              </w:rPr>
              <w:t>）住址</w:t>
            </w:r>
          </w:p>
        </w:tc>
        <w:tc>
          <w:tcPr>
            <w:tcW w:w="2025" w:type="dxa"/>
            <w:vMerge w:val="restart"/>
            <w:tcBorders>
              <w:left w:val="single" w:color="auto" w:sz="4" w:space="0"/>
            </w:tcBorders>
            <w:vAlign w:val="top"/>
          </w:tcPr>
          <w:p w14:paraId="74B5B6A5">
            <w:pPr>
              <w:keepNext w:val="0"/>
              <w:keepLines w:val="0"/>
              <w:pageBreakBefore w:val="0"/>
              <w:widowControl/>
              <w:wordWrap/>
              <w:topLinePunct w:val="0"/>
              <w:bidi w:val="0"/>
              <w:spacing w:line="480" w:lineRule="exact"/>
              <w:jc w:val="left"/>
              <w:textAlignment w:val="auto"/>
              <w:rPr>
                <w:rFonts w:ascii="仿宋" w:hAnsi="仿宋" w:eastAsia="仿宋"/>
                <w:szCs w:val="21"/>
              </w:rPr>
            </w:pPr>
          </w:p>
        </w:tc>
        <w:tc>
          <w:tcPr>
            <w:tcW w:w="2744" w:type="dxa"/>
            <w:vAlign w:val="top"/>
          </w:tcPr>
          <w:p w14:paraId="5D17A167">
            <w:pPr>
              <w:keepNext w:val="0"/>
              <w:keepLines w:val="0"/>
              <w:pageBreakBefore w:val="0"/>
              <w:wordWrap/>
              <w:topLinePunct w:val="0"/>
              <w:bidi w:val="0"/>
              <w:spacing w:line="480" w:lineRule="exact"/>
              <w:textAlignment w:val="auto"/>
            </w:pPr>
            <w:r>
              <w:rPr>
                <w:rFonts w:hint="eastAsia"/>
              </w:rPr>
              <w:t>统一社会信用代码</w:t>
            </w:r>
          </w:p>
        </w:tc>
        <w:tc>
          <w:tcPr>
            <w:tcW w:w="2025" w:type="dxa"/>
            <w:vAlign w:val="top"/>
          </w:tcPr>
          <w:p w14:paraId="63B7B437">
            <w:pPr>
              <w:keepNext w:val="0"/>
              <w:keepLines w:val="0"/>
              <w:pageBreakBefore w:val="0"/>
              <w:wordWrap/>
              <w:topLinePunct w:val="0"/>
              <w:bidi w:val="0"/>
              <w:spacing w:line="480" w:lineRule="exact"/>
              <w:textAlignment w:val="auto"/>
              <w:rPr>
                <w:rFonts w:ascii="华文楷体" w:hAnsi="华文楷体" w:eastAsia="华文楷体"/>
              </w:rPr>
            </w:pPr>
          </w:p>
        </w:tc>
      </w:tr>
      <w:tr w14:paraId="477B4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59F329B3">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14:paraId="0037511F">
            <w:pPr>
              <w:keepNext w:val="0"/>
              <w:keepLines w:val="0"/>
              <w:pageBreakBefore w:val="0"/>
              <w:wordWrap/>
              <w:topLinePunct w:val="0"/>
              <w:bidi w:val="0"/>
              <w:spacing w:line="480" w:lineRule="exact"/>
              <w:textAlignment w:val="auto"/>
            </w:pPr>
          </w:p>
        </w:tc>
        <w:tc>
          <w:tcPr>
            <w:tcW w:w="2744" w:type="dxa"/>
            <w:vAlign w:val="top"/>
          </w:tcPr>
          <w:p w14:paraId="4B143353">
            <w:pPr>
              <w:keepNext w:val="0"/>
              <w:keepLines w:val="0"/>
              <w:pageBreakBefore w:val="0"/>
              <w:wordWrap/>
              <w:topLinePunct w:val="0"/>
              <w:bidi w:val="0"/>
              <w:spacing w:line="480" w:lineRule="exact"/>
              <w:textAlignment w:val="auto"/>
            </w:pPr>
            <w:r>
              <w:rPr>
                <w:rFonts w:hint="eastAsia"/>
              </w:rPr>
              <w:t>Email</w:t>
            </w:r>
          </w:p>
        </w:tc>
        <w:tc>
          <w:tcPr>
            <w:tcW w:w="2025" w:type="dxa"/>
            <w:vAlign w:val="top"/>
          </w:tcPr>
          <w:p w14:paraId="22BD8C64">
            <w:pPr>
              <w:keepNext w:val="0"/>
              <w:keepLines w:val="0"/>
              <w:pageBreakBefore w:val="0"/>
              <w:wordWrap/>
              <w:topLinePunct w:val="0"/>
              <w:bidi w:val="0"/>
              <w:spacing w:line="480" w:lineRule="exact"/>
              <w:textAlignment w:val="auto"/>
            </w:pPr>
          </w:p>
        </w:tc>
      </w:tr>
      <w:tr w14:paraId="350F7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55A309A7">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14:paraId="1263DC4A">
            <w:pPr>
              <w:keepNext w:val="0"/>
              <w:keepLines w:val="0"/>
              <w:pageBreakBefore w:val="0"/>
              <w:wordWrap/>
              <w:topLinePunct w:val="0"/>
              <w:bidi w:val="0"/>
              <w:spacing w:line="480" w:lineRule="exact"/>
              <w:textAlignment w:val="auto"/>
            </w:pPr>
          </w:p>
        </w:tc>
        <w:tc>
          <w:tcPr>
            <w:tcW w:w="2744" w:type="dxa"/>
            <w:vAlign w:val="top"/>
          </w:tcPr>
          <w:p w14:paraId="7B6911C6">
            <w:pPr>
              <w:keepNext w:val="0"/>
              <w:keepLines w:val="0"/>
              <w:pageBreakBefore w:val="0"/>
              <w:wordWrap/>
              <w:topLinePunct w:val="0"/>
              <w:bidi w:val="0"/>
              <w:spacing w:line="480" w:lineRule="exact"/>
              <w:textAlignment w:val="auto"/>
            </w:pPr>
            <w:r>
              <w:rPr>
                <w:rFonts w:hint="eastAsia"/>
              </w:rPr>
              <w:t>传真</w:t>
            </w:r>
          </w:p>
        </w:tc>
        <w:tc>
          <w:tcPr>
            <w:tcW w:w="2025" w:type="dxa"/>
            <w:vAlign w:val="top"/>
          </w:tcPr>
          <w:p w14:paraId="19C68A94">
            <w:pPr>
              <w:keepNext w:val="0"/>
              <w:keepLines w:val="0"/>
              <w:pageBreakBefore w:val="0"/>
              <w:wordWrap/>
              <w:topLinePunct w:val="0"/>
              <w:bidi w:val="0"/>
              <w:spacing w:line="480" w:lineRule="exact"/>
              <w:textAlignment w:val="auto"/>
            </w:pPr>
          </w:p>
        </w:tc>
      </w:tr>
      <w:tr w14:paraId="7D4BD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5" w:type="dxa"/>
            <w:vMerge w:val="continue"/>
            <w:tcBorders>
              <w:right w:val="single" w:color="auto" w:sz="4" w:space="0"/>
            </w:tcBorders>
            <w:vAlign w:val="top"/>
          </w:tcPr>
          <w:p w14:paraId="683DC4F3">
            <w:pPr>
              <w:keepNext w:val="0"/>
              <w:keepLines w:val="0"/>
              <w:pageBreakBefore w:val="0"/>
              <w:wordWrap/>
              <w:topLinePunct w:val="0"/>
              <w:bidi w:val="0"/>
              <w:spacing w:line="480" w:lineRule="exact"/>
              <w:textAlignment w:val="auto"/>
            </w:pPr>
          </w:p>
        </w:tc>
        <w:tc>
          <w:tcPr>
            <w:tcW w:w="2025" w:type="dxa"/>
            <w:vMerge w:val="continue"/>
            <w:tcBorders>
              <w:left w:val="single" w:color="auto" w:sz="4" w:space="0"/>
            </w:tcBorders>
            <w:vAlign w:val="top"/>
          </w:tcPr>
          <w:p w14:paraId="1308BA65">
            <w:pPr>
              <w:keepNext w:val="0"/>
              <w:keepLines w:val="0"/>
              <w:pageBreakBefore w:val="0"/>
              <w:wordWrap/>
              <w:topLinePunct w:val="0"/>
              <w:bidi w:val="0"/>
              <w:spacing w:line="480" w:lineRule="exact"/>
              <w:textAlignment w:val="auto"/>
            </w:pPr>
          </w:p>
        </w:tc>
        <w:tc>
          <w:tcPr>
            <w:tcW w:w="2744" w:type="dxa"/>
            <w:vAlign w:val="top"/>
          </w:tcPr>
          <w:p w14:paraId="476FE01A">
            <w:pPr>
              <w:keepNext w:val="0"/>
              <w:keepLines w:val="0"/>
              <w:pageBreakBefore w:val="0"/>
              <w:wordWrap/>
              <w:topLinePunct w:val="0"/>
              <w:bidi w:val="0"/>
              <w:spacing w:line="480" w:lineRule="exact"/>
              <w:textAlignment w:val="auto"/>
            </w:pPr>
            <w:r>
              <w:rPr>
                <w:rFonts w:hint="eastAsia"/>
              </w:rPr>
              <w:t>法定代表人居民身份证号</w:t>
            </w:r>
          </w:p>
        </w:tc>
        <w:tc>
          <w:tcPr>
            <w:tcW w:w="2025" w:type="dxa"/>
            <w:vAlign w:val="top"/>
          </w:tcPr>
          <w:p w14:paraId="338C7777">
            <w:pPr>
              <w:keepNext w:val="0"/>
              <w:keepLines w:val="0"/>
              <w:pageBreakBefore w:val="0"/>
              <w:wordWrap/>
              <w:topLinePunct w:val="0"/>
              <w:bidi w:val="0"/>
              <w:spacing w:line="480" w:lineRule="exact"/>
              <w:textAlignment w:val="auto"/>
            </w:pPr>
          </w:p>
        </w:tc>
      </w:tr>
      <w:tr w14:paraId="06F1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9" w:type="dxa"/>
            <w:gridSpan w:val="4"/>
            <w:vAlign w:val="top"/>
          </w:tcPr>
          <w:p w14:paraId="2F2443BD">
            <w:pPr>
              <w:keepNext w:val="0"/>
              <w:keepLines w:val="0"/>
              <w:pageBreakBefore w:val="0"/>
              <w:wordWrap/>
              <w:topLinePunct w:val="0"/>
              <w:bidi w:val="0"/>
              <w:spacing w:line="480" w:lineRule="exact"/>
              <w:textAlignment w:val="auto"/>
            </w:pPr>
            <w:r>
              <w:rPr>
                <w:rFonts w:hint="eastAsia"/>
              </w:rPr>
              <w:t>实施地点线路（包括公里桩号及左、右侧位置）：</w:t>
            </w:r>
          </w:p>
          <w:p w14:paraId="3B1B38A7">
            <w:pPr>
              <w:keepNext w:val="0"/>
              <w:keepLines w:val="0"/>
              <w:pageBreakBefore w:val="0"/>
              <w:wordWrap/>
              <w:topLinePunct w:val="0"/>
              <w:bidi w:val="0"/>
              <w:spacing w:line="480" w:lineRule="exact"/>
              <w:textAlignment w:val="auto"/>
            </w:pPr>
          </w:p>
        </w:tc>
      </w:tr>
      <w:tr w14:paraId="66C4F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4" w:hRule="atLeast"/>
          <w:jc w:val="center"/>
        </w:trPr>
        <w:tc>
          <w:tcPr>
            <w:tcW w:w="9029" w:type="dxa"/>
            <w:gridSpan w:val="4"/>
            <w:vAlign w:val="top"/>
          </w:tcPr>
          <w:p w14:paraId="3BC03C9C">
            <w:pPr>
              <w:keepNext w:val="0"/>
              <w:keepLines w:val="0"/>
              <w:pageBreakBefore w:val="0"/>
              <w:wordWrap/>
              <w:topLinePunct w:val="0"/>
              <w:bidi w:val="0"/>
              <w:spacing w:line="480" w:lineRule="exact"/>
              <w:textAlignment w:val="auto"/>
            </w:pPr>
            <w:r>
              <w:rPr>
                <w:rFonts w:hint="eastAsia"/>
              </w:rPr>
              <w:t>申请许可理由：</w:t>
            </w:r>
          </w:p>
          <w:p w14:paraId="53936F7C">
            <w:pPr>
              <w:keepNext w:val="0"/>
              <w:keepLines w:val="0"/>
              <w:pageBreakBefore w:val="0"/>
              <w:wordWrap/>
              <w:topLinePunct w:val="0"/>
              <w:bidi w:val="0"/>
              <w:spacing w:line="480" w:lineRule="exact"/>
              <w:textAlignment w:val="auto"/>
              <w:rPr>
                <w:rFonts w:ascii="华文楷体" w:hAnsi="华文楷体" w:eastAsia="华文楷体"/>
              </w:rPr>
            </w:pPr>
          </w:p>
        </w:tc>
      </w:tr>
      <w:tr w14:paraId="1C0DA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9" w:type="dxa"/>
            <w:gridSpan w:val="4"/>
            <w:vAlign w:val="top"/>
          </w:tcPr>
          <w:p w14:paraId="3323001D">
            <w:pPr>
              <w:keepNext w:val="0"/>
              <w:keepLines w:val="0"/>
              <w:pageBreakBefore w:val="0"/>
              <w:wordWrap/>
              <w:topLinePunct w:val="0"/>
              <w:bidi w:val="0"/>
              <w:spacing w:line="480" w:lineRule="exact"/>
              <w:textAlignment w:val="auto"/>
            </w:pPr>
            <w:r>
              <w:rPr>
                <w:rFonts w:hint="eastAsia"/>
              </w:rPr>
              <w:t>申请人应提交材料：</w:t>
            </w:r>
          </w:p>
          <w:p w14:paraId="7DFB9DB3">
            <w:pPr>
              <w:keepNext w:val="0"/>
              <w:keepLines w:val="0"/>
              <w:pageBreakBefore w:val="0"/>
              <w:numPr>
                <w:ilvl w:val="0"/>
                <w:numId w:val="1"/>
              </w:numPr>
              <w:wordWrap/>
              <w:topLinePunct w:val="0"/>
              <w:bidi w:val="0"/>
              <w:spacing w:line="480" w:lineRule="exact"/>
              <w:textAlignment w:val="auto"/>
              <w:rPr>
                <w:rFonts w:hint="eastAsia"/>
                <w:lang w:val="en-US" w:eastAsia="zh-CN"/>
              </w:rPr>
            </w:pPr>
            <w:r>
              <w:rPr>
                <w:rFonts w:hint="eastAsia"/>
              </w:rPr>
              <w:t>申请（主要理由、地点（公路名称、起止桩号及公路边坡外缘或者公路界桩的距离）施工期</w:t>
            </w:r>
            <w:r>
              <w:rPr>
                <w:rFonts w:hint="eastAsia"/>
                <w:lang w:eastAsia="zh-CN"/>
              </w:rPr>
              <w:t>）</w:t>
            </w:r>
          </w:p>
          <w:p w14:paraId="281AB471">
            <w:pPr>
              <w:keepNext w:val="0"/>
              <w:keepLines w:val="0"/>
              <w:pageBreakBefore w:val="0"/>
              <w:numPr>
                <w:ilvl w:val="0"/>
                <w:numId w:val="0"/>
              </w:numPr>
              <w:wordWrap/>
              <w:topLinePunct w:val="0"/>
              <w:bidi w:val="0"/>
              <w:spacing w:line="480" w:lineRule="exact"/>
              <w:textAlignment w:val="auto"/>
              <w:rPr>
                <w:rFonts w:hint="eastAsia"/>
                <w:lang w:eastAsia="zh-CN"/>
              </w:rPr>
            </w:pPr>
            <w:r>
              <w:rPr>
                <w:rFonts w:hint="eastAsia"/>
                <w:lang w:val="en-US" w:eastAsia="zh-CN"/>
              </w:rPr>
              <w:t>2.</w:t>
            </w:r>
            <w:r>
              <w:rPr>
                <w:rFonts w:hint="eastAsia"/>
              </w:rPr>
              <w:t>由代理人申请的，提供建设单位、个人授权委托书</w:t>
            </w:r>
            <w:r>
              <w:rPr>
                <w:rFonts w:hint="eastAsia"/>
                <w:lang w:eastAsia="zh-CN"/>
              </w:rPr>
              <w:t>；</w:t>
            </w:r>
          </w:p>
          <w:p w14:paraId="0E9A04BF">
            <w:pPr>
              <w:keepNext w:val="0"/>
              <w:keepLines w:val="0"/>
              <w:pageBreakBefore w:val="0"/>
              <w:wordWrap/>
              <w:topLinePunct w:val="0"/>
              <w:bidi w:val="0"/>
              <w:spacing w:line="480" w:lineRule="exact"/>
              <w:textAlignment w:val="auto"/>
            </w:pPr>
            <w:r>
              <w:rPr>
                <w:rFonts w:hint="eastAsia"/>
                <w:lang w:val="en-US" w:eastAsia="zh-CN"/>
              </w:rPr>
              <w:t>3.</w:t>
            </w:r>
            <w:r>
              <w:rPr>
                <w:rFonts w:hint="eastAsia"/>
              </w:rPr>
              <w:t>符合有关技术标准、规范要求的设计和</w:t>
            </w:r>
            <w:r>
              <w:rPr>
                <w:rFonts w:hint="eastAsia"/>
                <w:lang w:eastAsia="zh-CN"/>
              </w:rPr>
              <w:t>施工方案</w:t>
            </w:r>
            <w:r>
              <w:rPr>
                <w:rFonts w:hint="eastAsia"/>
              </w:rPr>
              <w:t>（工程简介、具体作业地点、计划进度与施工期限、与公路有关的详细图纸、对公路及附属设施的安全保障措施等）</w:t>
            </w:r>
            <w:r>
              <w:rPr>
                <w:rFonts w:hint="eastAsia"/>
                <w:lang w:eastAsia="zh-CN"/>
              </w:rPr>
              <w:t>；</w:t>
            </w:r>
          </w:p>
          <w:p w14:paraId="215E8959">
            <w:pPr>
              <w:keepNext w:val="0"/>
              <w:keepLines w:val="0"/>
              <w:pageBreakBefore w:val="0"/>
              <w:wordWrap/>
              <w:topLinePunct w:val="0"/>
              <w:bidi w:val="0"/>
              <w:spacing w:line="480" w:lineRule="exact"/>
              <w:textAlignment w:val="auto"/>
            </w:pPr>
            <w:r>
              <w:rPr>
                <w:rFonts w:hint="eastAsia"/>
                <w:lang w:val="en-US" w:eastAsia="zh-CN"/>
              </w:rPr>
              <w:t>4.</w:t>
            </w:r>
            <w:r>
              <w:rPr>
                <w:rFonts w:hint="eastAsia"/>
              </w:rPr>
              <w:t>处置施工险情和意外事故的应急方案</w:t>
            </w:r>
            <w:r>
              <w:rPr>
                <w:rFonts w:hint="eastAsia"/>
                <w:lang w:eastAsia="zh-CN"/>
              </w:rPr>
              <w:t>；</w:t>
            </w:r>
          </w:p>
          <w:p w14:paraId="725297FC">
            <w:pPr>
              <w:keepNext w:val="0"/>
              <w:keepLines w:val="0"/>
              <w:pageBreakBefore w:val="0"/>
              <w:wordWrap/>
              <w:topLinePunct w:val="0"/>
              <w:bidi w:val="0"/>
              <w:spacing w:line="480" w:lineRule="exact"/>
              <w:textAlignment w:val="auto"/>
            </w:pPr>
            <w:r>
              <w:rPr>
                <w:rFonts w:hint="eastAsia"/>
                <w:lang w:val="en-US" w:eastAsia="zh-CN"/>
              </w:rPr>
              <w:t>5.</w:t>
            </w:r>
            <w:r>
              <w:rPr>
                <w:rFonts w:hint="eastAsia"/>
              </w:rPr>
              <w:t>关于保障公路、公路附属设施质量和安全的技术评价报告</w:t>
            </w:r>
            <w:r>
              <w:rPr>
                <w:rFonts w:hint="eastAsia"/>
                <w:lang w:eastAsia="zh-CN"/>
              </w:rPr>
              <w:t>。</w:t>
            </w:r>
          </w:p>
          <w:p w14:paraId="5C1EFBEC">
            <w:pPr>
              <w:keepNext w:val="0"/>
              <w:keepLines w:val="0"/>
              <w:pageBreakBefore w:val="0"/>
              <w:wordWrap/>
              <w:topLinePunct w:val="0"/>
              <w:bidi w:val="0"/>
              <w:spacing w:line="480" w:lineRule="exact"/>
              <w:textAlignment w:val="auto"/>
            </w:pPr>
          </w:p>
        </w:tc>
      </w:tr>
      <w:tr w14:paraId="63038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9" w:type="dxa"/>
            <w:gridSpan w:val="4"/>
            <w:vAlign w:val="top"/>
          </w:tcPr>
          <w:p w14:paraId="39C9DC48">
            <w:pPr>
              <w:keepNext w:val="0"/>
              <w:keepLines w:val="0"/>
              <w:pageBreakBefore w:val="0"/>
              <w:wordWrap/>
              <w:topLinePunct w:val="0"/>
              <w:bidi w:val="0"/>
              <w:spacing w:line="480" w:lineRule="exact"/>
              <w:textAlignment w:val="auto"/>
              <w:rPr>
                <w:rFonts w:ascii="仿宋" w:hAnsi="仿宋" w:eastAsia="仿宋"/>
              </w:rPr>
            </w:pPr>
            <w:r>
              <w:rPr>
                <w:rFonts w:hint="eastAsia"/>
              </w:rPr>
              <w:t>申请人提交的材料：</w:t>
            </w:r>
          </w:p>
          <w:p w14:paraId="22457082">
            <w:pPr>
              <w:keepNext w:val="0"/>
              <w:keepLines w:val="0"/>
              <w:pageBreakBefore w:val="0"/>
              <w:wordWrap/>
              <w:topLinePunct w:val="0"/>
              <w:bidi w:val="0"/>
              <w:spacing w:line="480" w:lineRule="exact"/>
              <w:textAlignment w:val="auto"/>
            </w:pPr>
          </w:p>
        </w:tc>
      </w:tr>
      <w:tr w14:paraId="20F3F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29" w:type="dxa"/>
            <w:gridSpan w:val="4"/>
            <w:vAlign w:val="top"/>
          </w:tcPr>
          <w:p w14:paraId="34BA3102">
            <w:pPr>
              <w:keepNext w:val="0"/>
              <w:keepLines w:val="0"/>
              <w:pageBreakBefore w:val="0"/>
              <w:wordWrap/>
              <w:topLinePunct w:val="0"/>
              <w:bidi w:val="0"/>
              <w:spacing w:line="480" w:lineRule="exact"/>
              <w:textAlignment w:val="auto"/>
            </w:pPr>
            <w:r>
              <w:rPr>
                <w:rFonts w:hint="eastAsia"/>
              </w:rPr>
              <w:t>申请人签字（盖章）：</w:t>
            </w:r>
          </w:p>
          <w:p w14:paraId="6A9EC897">
            <w:pPr>
              <w:keepNext w:val="0"/>
              <w:keepLines w:val="0"/>
              <w:pageBreakBefore w:val="0"/>
              <w:wordWrap/>
              <w:topLinePunct w:val="0"/>
              <w:bidi w:val="0"/>
              <w:spacing w:line="480" w:lineRule="exact"/>
              <w:textAlignment w:val="auto"/>
            </w:pPr>
          </w:p>
        </w:tc>
      </w:tr>
    </w:tbl>
    <w:p w14:paraId="470A7189">
      <w:pPr>
        <w:keepNext w:val="0"/>
        <w:keepLines w:val="0"/>
        <w:pageBreakBefore w:val="0"/>
        <w:wordWrap/>
        <w:topLinePunct w:val="0"/>
        <w:bidi w:val="0"/>
        <w:spacing w:line="480" w:lineRule="exact"/>
        <w:textAlignment w:val="auto"/>
        <w:rPr>
          <w:rFonts w:hint="eastAsia"/>
        </w:rPr>
      </w:pPr>
      <w:r>
        <w:rPr>
          <w:rFonts w:hint="eastAsia"/>
        </w:rPr>
        <w:t>注：</w:t>
      </w:r>
      <w:r>
        <w:rPr>
          <w:rFonts w:hint="eastAsia"/>
          <w:lang w:val="en-US" w:eastAsia="zh-CN"/>
        </w:rPr>
        <w:t>1.</w:t>
      </w:r>
      <w:r>
        <w:rPr>
          <w:rFonts w:hint="eastAsia"/>
        </w:rPr>
        <w:t>本申请书由交通行政许可的实施机关负责免费提供；</w:t>
      </w:r>
    </w:p>
    <w:p w14:paraId="775B6089">
      <w:pPr>
        <w:keepNext w:val="0"/>
        <w:keepLines w:val="0"/>
        <w:pageBreakBefore w:val="0"/>
        <w:numPr>
          <w:ilvl w:val="0"/>
          <w:numId w:val="0"/>
        </w:numPr>
        <w:wordWrap/>
        <w:topLinePunct w:val="0"/>
        <w:bidi w:val="0"/>
        <w:adjustRightInd w:val="0"/>
        <w:snapToGrid w:val="0"/>
        <w:spacing w:line="480" w:lineRule="exact"/>
        <w:ind w:firstLine="420" w:firstLineChars="200"/>
        <w:jc w:val="left"/>
        <w:textAlignment w:val="auto"/>
        <w:rPr>
          <w:rFonts w:ascii="黑体" w:hAnsi="黑体" w:eastAsia="黑体"/>
          <w:color w:val="FF0000"/>
          <w:sz w:val="28"/>
          <w:szCs w:val="28"/>
        </w:rPr>
        <w:sectPr>
          <w:headerReference r:id="rId9" w:type="default"/>
          <w:footerReference r:id="rId11" w:type="default"/>
          <w:headerReference r:id="rId10" w:type="even"/>
          <w:footerReference r:id="rId12" w:type="even"/>
          <w:pgSz w:w="11906" w:h="16838"/>
          <w:pgMar w:top="1928" w:right="1389" w:bottom="1474" w:left="1389" w:header="851" w:footer="850" w:gutter="0"/>
          <w:pgNumType w:fmt="numberInDash" w:start="1"/>
          <w:cols w:space="0" w:num="1"/>
          <w:rtlGutter w:val="0"/>
          <w:docGrid w:type="lines" w:linePitch="312" w:charSpace="0"/>
        </w:sectPr>
      </w:pPr>
      <w:r>
        <w:rPr>
          <w:rFonts w:hint="eastAsia"/>
          <w:lang w:val="en-US" w:eastAsia="zh-CN"/>
        </w:rPr>
        <w:t>2.</w:t>
      </w:r>
      <w:r>
        <w:rPr>
          <w:rFonts w:hint="eastAsia"/>
        </w:rPr>
        <w:t>申请人应当如实向实施机关提交有关材料和反映情况，并对申请材料实质内容的真实性负责</w:t>
      </w:r>
      <w:r>
        <w:rPr>
          <w:rFonts w:hint="eastAsia"/>
          <w:lang w:eastAsia="zh-CN"/>
        </w:rPr>
        <w:t>。</w:t>
      </w:r>
    </w:p>
    <w:p w14:paraId="05ACDCE1">
      <w:pPr>
        <w:keepNext w:val="0"/>
        <w:keepLines w:val="0"/>
        <w:pageBreakBefore w:val="0"/>
        <w:numPr>
          <w:ilvl w:val="0"/>
          <w:numId w:val="0"/>
        </w:numPr>
        <w:wordWrap/>
        <w:topLinePunct w:val="0"/>
        <w:bidi w:val="0"/>
        <w:adjustRightInd w:val="0"/>
        <w:snapToGrid w:val="0"/>
        <w:spacing w:line="480" w:lineRule="exact"/>
        <w:ind w:leftChars="0"/>
        <w:jc w:val="left"/>
        <w:textAlignment w:val="auto"/>
        <w:rPr>
          <w:rFonts w:hint="eastAsia"/>
          <w:lang w:eastAsia="zh-CN"/>
        </w:rPr>
      </w:pPr>
    </w:p>
    <w:sectPr>
      <w:pgSz w:w="11906" w:h="16838"/>
      <w:pgMar w:top="1984" w:right="1389" w:bottom="1701" w:left="1502" w:header="851" w:footer="850" w:gutter="0"/>
      <w:pgNumType w:fmt="numberInDash" w:start="1"/>
      <w:cols w:space="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48FDA">
    <w:pPr>
      <w:pStyle w:val="9"/>
      <w:framePr w:wrap="around" w:vAnchor="text" w:hAnchor="margin" w:xAlign="outside" w:y="1"/>
      <w:rPr>
        <w:rStyle w:val="19"/>
        <w:rFonts w:ascii="宋体" w:hAnsi="宋体"/>
      </w:rPr>
    </w:pPr>
    <w:r>
      <w:rPr>
        <w:rFonts w:ascii="宋体" w:hAnsi="宋体"/>
      </w:rPr>
      <w:fldChar w:fldCharType="begin"/>
    </w:r>
    <w:r>
      <w:rPr>
        <w:rStyle w:val="19"/>
        <w:rFonts w:ascii="宋体" w:hAnsi="宋体"/>
      </w:rPr>
      <w:instrText xml:space="preserve">PAGE  </w:instrText>
    </w:r>
    <w:r>
      <w:rPr>
        <w:rFonts w:ascii="宋体" w:hAnsi="宋体"/>
      </w:rPr>
      <w:fldChar w:fldCharType="separate"/>
    </w:r>
    <w:r>
      <w:rPr>
        <w:rStyle w:val="19"/>
        <w:rFonts w:ascii="宋体" w:hAnsi="宋体"/>
      </w:rPr>
      <w:t>- 11 -</w:t>
    </w:r>
    <w:r>
      <w:rPr>
        <w:rFonts w:ascii="宋体" w:hAnsi="宋体"/>
      </w:rPr>
      <w:fldChar w:fldCharType="end"/>
    </w:r>
  </w:p>
  <w:p w14:paraId="3A7A028A">
    <w:pPr>
      <w:pStyle w:val="9"/>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460B">
    <w:pPr>
      <w:pStyle w:val="9"/>
      <w:framePr w:wrap="around" w:vAnchor="text" w:hAnchor="page" w:x="1769" w:y="51"/>
      <w:jc w:val="right"/>
      <w:rPr>
        <w:rStyle w:val="19"/>
        <w:rFonts w:ascii="宋体" w:hAnsi="宋体"/>
      </w:rPr>
    </w:pPr>
    <w:r>
      <w:rPr>
        <w:rFonts w:ascii="宋体" w:hAnsi="宋体"/>
      </w:rPr>
      <w:fldChar w:fldCharType="begin"/>
    </w:r>
    <w:r>
      <w:rPr>
        <w:rStyle w:val="19"/>
        <w:rFonts w:ascii="宋体" w:hAnsi="宋体"/>
      </w:rPr>
      <w:instrText xml:space="preserve">PAGE  </w:instrText>
    </w:r>
    <w:r>
      <w:rPr>
        <w:rFonts w:ascii="宋体" w:hAnsi="宋体"/>
      </w:rPr>
      <w:fldChar w:fldCharType="separate"/>
    </w:r>
    <w:r>
      <w:rPr>
        <w:rStyle w:val="19"/>
        <w:rFonts w:ascii="宋体" w:hAnsi="宋体"/>
      </w:rPr>
      <w:t>- 10 -</w:t>
    </w:r>
    <w:r>
      <w:rPr>
        <w:rFonts w:ascii="宋体" w:hAnsi="宋体"/>
      </w:rPr>
      <w:fldChar w:fldCharType="end"/>
    </w:r>
  </w:p>
  <w:p w14:paraId="08F156D2">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50DF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91E36">
    <w:pPr>
      <w:pStyle w:val="9"/>
      <w:framePr w:wrap="around" w:vAnchor="text" w:hAnchor="margin" w:xAlign="outside" w:y="1"/>
      <w:rPr>
        <w:rStyle w:val="19"/>
        <w:rFonts w:ascii="宋体" w:hAnsi="宋体"/>
      </w:rPr>
    </w:pPr>
    <w:r>
      <w:rPr>
        <w:rStyle w:val="19"/>
        <w:rFonts w:ascii="宋体" w:hAnsi="宋体"/>
      </w:rPr>
      <w:fldChar w:fldCharType="begin"/>
    </w:r>
    <w:r>
      <w:rPr>
        <w:rStyle w:val="19"/>
        <w:rFonts w:ascii="宋体" w:hAnsi="宋体"/>
      </w:rPr>
      <w:instrText xml:space="preserve">PAGE  </w:instrText>
    </w:r>
    <w:r>
      <w:rPr>
        <w:rStyle w:val="19"/>
        <w:rFonts w:ascii="宋体" w:hAnsi="宋体"/>
      </w:rPr>
      <w:fldChar w:fldCharType="separate"/>
    </w:r>
    <w:r>
      <w:rPr>
        <w:rStyle w:val="19"/>
        <w:rFonts w:ascii="宋体" w:hAnsi="宋体"/>
      </w:rPr>
      <w:t>- 5 -</w:t>
    </w:r>
    <w:r>
      <w:rPr>
        <w:rStyle w:val="19"/>
        <w:rFonts w:ascii="宋体" w:hAnsi="宋体"/>
      </w:rPr>
      <w:fldChar w:fldCharType="end"/>
    </w:r>
  </w:p>
  <w:p w14:paraId="7937B9D9">
    <w:pPr>
      <w:pStyle w:val="9"/>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EBA65">
    <w:pPr>
      <w:pStyle w:val="9"/>
      <w:framePr w:wrap="around" w:vAnchor="text" w:hAnchor="page" w:x="1769" w:y="51"/>
      <w:jc w:val="right"/>
      <w:rPr>
        <w:rStyle w:val="19"/>
        <w:rFonts w:ascii="宋体" w:hAnsi="宋体"/>
      </w:rPr>
    </w:pPr>
    <w:r>
      <w:rPr>
        <w:rStyle w:val="19"/>
        <w:rFonts w:ascii="宋体" w:hAnsi="宋体"/>
      </w:rPr>
      <w:fldChar w:fldCharType="begin"/>
    </w:r>
    <w:r>
      <w:rPr>
        <w:rStyle w:val="19"/>
        <w:rFonts w:ascii="宋体" w:hAnsi="宋体"/>
      </w:rPr>
      <w:instrText xml:space="preserve">PAGE  </w:instrText>
    </w:r>
    <w:r>
      <w:rPr>
        <w:rStyle w:val="19"/>
        <w:rFonts w:ascii="宋体" w:hAnsi="宋体"/>
      </w:rPr>
      <w:fldChar w:fldCharType="separate"/>
    </w:r>
    <w:r>
      <w:rPr>
        <w:rStyle w:val="19"/>
        <w:rFonts w:ascii="宋体" w:hAnsi="宋体"/>
      </w:rPr>
      <w:t>- 4 -</w:t>
    </w:r>
    <w:r>
      <w:rPr>
        <w:rStyle w:val="19"/>
        <w:rFonts w:ascii="宋体" w:hAnsi="宋体"/>
      </w:rPr>
      <w:fldChar w:fldCharType="end"/>
    </w:r>
  </w:p>
  <w:p w14:paraId="3DE9D272">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21ED7">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60B41">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C081">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882F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0C5C">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DE10F8"/>
    <w:multiLevelType w:val="singleLevel"/>
    <w:tmpl w:val="5CDE10F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0003C56"/>
    <w:rsid w:val="00016CEE"/>
    <w:rsid w:val="0002575D"/>
    <w:rsid w:val="0003135C"/>
    <w:rsid w:val="00034E9D"/>
    <w:rsid w:val="00051C59"/>
    <w:rsid w:val="0005450E"/>
    <w:rsid w:val="00066FB8"/>
    <w:rsid w:val="00075964"/>
    <w:rsid w:val="00091E2C"/>
    <w:rsid w:val="000959CB"/>
    <w:rsid w:val="000A3AD0"/>
    <w:rsid w:val="000A7AEA"/>
    <w:rsid w:val="000C4AE5"/>
    <w:rsid w:val="000C70D4"/>
    <w:rsid w:val="000E6C44"/>
    <w:rsid w:val="000F13B7"/>
    <w:rsid w:val="000F398B"/>
    <w:rsid w:val="000F4F7A"/>
    <w:rsid w:val="00103824"/>
    <w:rsid w:val="00107AD4"/>
    <w:rsid w:val="00110C7D"/>
    <w:rsid w:val="001209B5"/>
    <w:rsid w:val="001230CD"/>
    <w:rsid w:val="00125C11"/>
    <w:rsid w:val="00137FBE"/>
    <w:rsid w:val="00145F38"/>
    <w:rsid w:val="00146B0E"/>
    <w:rsid w:val="001542B0"/>
    <w:rsid w:val="0015434E"/>
    <w:rsid w:val="001647A5"/>
    <w:rsid w:val="00172A27"/>
    <w:rsid w:val="00173479"/>
    <w:rsid w:val="00177C5F"/>
    <w:rsid w:val="00193035"/>
    <w:rsid w:val="001A2DC1"/>
    <w:rsid w:val="001A47B0"/>
    <w:rsid w:val="001A6B09"/>
    <w:rsid w:val="001B380D"/>
    <w:rsid w:val="001C72AA"/>
    <w:rsid w:val="001D0B44"/>
    <w:rsid w:val="001E694E"/>
    <w:rsid w:val="001F41BA"/>
    <w:rsid w:val="001F46A3"/>
    <w:rsid w:val="001F5547"/>
    <w:rsid w:val="002056C1"/>
    <w:rsid w:val="002079EB"/>
    <w:rsid w:val="00210699"/>
    <w:rsid w:val="00210E69"/>
    <w:rsid w:val="00214AF9"/>
    <w:rsid w:val="00237900"/>
    <w:rsid w:val="002440F8"/>
    <w:rsid w:val="0024411E"/>
    <w:rsid w:val="00270DB9"/>
    <w:rsid w:val="002814D9"/>
    <w:rsid w:val="00281866"/>
    <w:rsid w:val="002853AF"/>
    <w:rsid w:val="00285FF9"/>
    <w:rsid w:val="00287768"/>
    <w:rsid w:val="00290A6B"/>
    <w:rsid w:val="00292C5B"/>
    <w:rsid w:val="002A4799"/>
    <w:rsid w:val="002A745F"/>
    <w:rsid w:val="002B4A50"/>
    <w:rsid w:val="002C0359"/>
    <w:rsid w:val="002C08B0"/>
    <w:rsid w:val="002C122A"/>
    <w:rsid w:val="002C3FFD"/>
    <w:rsid w:val="002C7D0D"/>
    <w:rsid w:val="002D7AED"/>
    <w:rsid w:val="002E0B82"/>
    <w:rsid w:val="002E1979"/>
    <w:rsid w:val="002F077B"/>
    <w:rsid w:val="002F3BF9"/>
    <w:rsid w:val="003004F8"/>
    <w:rsid w:val="003007B0"/>
    <w:rsid w:val="00314A44"/>
    <w:rsid w:val="00317C0A"/>
    <w:rsid w:val="00330529"/>
    <w:rsid w:val="00332D61"/>
    <w:rsid w:val="0033799C"/>
    <w:rsid w:val="00341335"/>
    <w:rsid w:val="0034340D"/>
    <w:rsid w:val="00354EC3"/>
    <w:rsid w:val="0036174B"/>
    <w:rsid w:val="00363C73"/>
    <w:rsid w:val="00371B13"/>
    <w:rsid w:val="00372763"/>
    <w:rsid w:val="00376D22"/>
    <w:rsid w:val="003850F3"/>
    <w:rsid w:val="00391B0E"/>
    <w:rsid w:val="0039613D"/>
    <w:rsid w:val="003962F3"/>
    <w:rsid w:val="003A22DE"/>
    <w:rsid w:val="003A7BF3"/>
    <w:rsid w:val="003B693B"/>
    <w:rsid w:val="003C08D7"/>
    <w:rsid w:val="003D3AE5"/>
    <w:rsid w:val="003D3C3E"/>
    <w:rsid w:val="003D4302"/>
    <w:rsid w:val="003F1DC3"/>
    <w:rsid w:val="003F5A24"/>
    <w:rsid w:val="003F7B22"/>
    <w:rsid w:val="004019D1"/>
    <w:rsid w:val="0042024F"/>
    <w:rsid w:val="00430C8F"/>
    <w:rsid w:val="00451400"/>
    <w:rsid w:val="00497B9E"/>
    <w:rsid w:val="004A5D1A"/>
    <w:rsid w:val="004A70E1"/>
    <w:rsid w:val="004B3C84"/>
    <w:rsid w:val="004B4D6B"/>
    <w:rsid w:val="004C2681"/>
    <w:rsid w:val="004D4A8F"/>
    <w:rsid w:val="004D4B83"/>
    <w:rsid w:val="004D5EA8"/>
    <w:rsid w:val="004F012E"/>
    <w:rsid w:val="004F179F"/>
    <w:rsid w:val="004F50A8"/>
    <w:rsid w:val="00503653"/>
    <w:rsid w:val="00513C19"/>
    <w:rsid w:val="00520E38"/>
    <w:rsid w:val="00556142"/>
    <w:rsid w:val="005567B4"/>
    <w:rsid w:val="00570AB9"/>
    <w:rsid w:val="005802D3"/>
    <w:rsid w:val="00582DD0"/>
    <w:rsid w:val="00592896"/>
    <w:rsid w:val="005944B0"/>
    <w:rsid w:val="005B6C3A"/>
    <w:rsid w:val="005D3D3B"/>
    <w:rsid w:val="005D4A31"/>
    <w:rsid w:val="00616F3C"/>
    <w:rsid w:val="00624DE4"/>
    <w:rsid w:val="0062580F"/>
    <w:rsid w:val="00632BC2"/>
    <w:rsid w:val="00635845"/>
    <w:rsid w:val="00643441"/>
    <w:rsid w:val="00646E88"/>
    <w:rsid w:val="00650F82"/>
    <w:rsid w:val="00653A95"/>
    <w:rsid w:val="00660349"/>
    <w:rsid w:val="0066463F"/>
    <w:rsid w:val="00665ED7"/>
    <w:rsid w:val="006773E9"/>
    <w:rsid w:val="00681591"/>
    <w:rsid w:val="00681911"/>
    <w:rsid w:val="00687B58"/>
    <w:rsid w:val="00691063"/>
    <w:rsid w:val="0069223B"/>
    <w:rsid w:val="006926CB"/>
    <w:rsid w:val="006929EF"/>
    <w:rsid w:val="0069719B"/>
    <w:rsid w:val="006A26B4"/>
    <w:rsid w:val="006C23E7"/>
    <w:rsid w:val="006C248B"/>
    <w:rsid w:val="006C3B05"/>
    <w:rsid w:val="006C7BB9"/>
    <w:rsid w:val="006D5C0B"/>
    <w:rsid w:val="006E6590"/>
    <w:rsid w:val="006F0EDB"/>
    <w:rsid w:val="006F532E"/>
    <w:rsid w:val="0071393F"/>
    <w:rsid w:val="00716C73"/>
    <w:rsid w:val="007275A9"/>
    <w:rsid w:val="00746CA3"/>
    <w:rsid w:val="00750B5F"/>
    <w:rsid w:val="00751618"/>
    <w:rsid w:val="007530E6"/>
    <w:rsid w:val="00771FBD"/>
    <w:rsid w:val="007745B5"/>
    <w:rsid w:val="00776DB3"/>
    <w:rsid w:val="00783932"/>
    <w:rsid w:val="00783A19"/>
    <w:rsid w:val="00785148"/>
    <w:rsid w:val="00787F07"/>
    <w:rsid w:val="00792E24"/>
    <w:rsid w:val="007B5D9E"/>
    <w:rsid w:val="007B63F9"/>
    <w:rsid w:val="007D0C5D"/>
    <w:rsid w:val="007D3ED2"/>
    <w:rsid w:val="007E0C8E"/>
    <w:rsid w:val="007E32B4"/>
    <w:rsid w:val="007F0369"/>
    <w:rsid w:val="007F1D1D"/>
    <w:rsid w:val="007F53AC"/>
    <w:rsid w:val="00814107"/>
    <w:rsid w:val="00814546"/>
    <w:rsid w:val="00815BEE"/>
    <w:rsid w:val="00816C64"/>
    <w:rsid w:val="00817A9A"/>
    <w:rsid w:val="00823659"/>
    <w:rsid w:val="00824ACC"/>
    <w:rsid w:val="008261C0"/>
    <w:rsid w:val="00827686"/>
    <w:rsid w:val="00830A8B"/>
    <w:rsid w:val="00834749"/>
    <w:rsid w:val="0083490C"/>
    <w:rsid w:val="00846EBD"/>
    <w:rsid w:val="00852906"/>
    <w:rsid w:val="00857680"/>
    <w:rsid w:val="00857BC7"/>
    <w:rsid w:val="0088083C"/>
    <w:rsid w:val="008874BD"/>
    <w:rsid w:val="00887C56"/>
    <w:rsid w:val="008913BB"/>
    <w:rsid w:val="00892369"/>
    <w:rsid w:val="008A4ABB"/>
    <w:rsid w:val="008B3944"/>
    <w:rsid w:val="008D01D0"/>
    <w:rsid w:val="008E0C32"/>
    <w:rsid w:val="008E61F1"/>
    <w:rsid w:val="008E7EAC"/>
    <w:rsid w:val="008F2D3D"/>
    <w:rsid w:val="008F4EC3"/>
    <w:rsid w:val="00901AAB"/>
    <w:rsid w:val="00903985"/>
    <w:rsid w:val="0092716D"/>
    <w:rsid w:val="0093716B"/>
    <w:rsid w:val="0095117E"/>
    <w:rsid w:val="00951C8B"/>
    <w:rsid w:val="00952A1D"/>
    <w:rsid w:val="00954EC4"/>
    <w:rsid w:val="00961203"/>
    <w:rsid w:val="009679F9"/>
    <w:rsid w:val="009719E4"/>
    <w:rsid w:val="009738D7"/>
    <w:rsid w:val="009758D5"/>
    <w:rsid w:val="0099469D"/>
    <w:rsid w:val="00994F61"/>
    <w:rsid w:val="00996A57"/>
    <w:rsid w:val="009A0FDE"/>
    <w:rsid w:val="009B2F82"/>
    <w:rsid w:val="009B3035"/>
    <w:rsid w:val="009C3A18"/>
    <w:rsid w:val="009C640E"/>
    <w:rsid w:val="009C783A"/>
    <w:rsid w:val="009D470C"/>
    <w:rsid w:val="009E36A9"/>
    <w:rsid w:val="009F1C88"/>
    <w:rsid w:val="009F641A"/>
    <w:rsid w:val="00A0083F"/>
    <w:rsid w:val="00A019C5"/>
    <w:rsid w:val="00A12849"/>
    <w:rsid w:val="00A1419A"/>
    <w:rsid w:val="00A1490C"/>
    <w:rsid w:val="00A15348"/>
    <w:rsid w:val="00A31671"/>
    <w:rsid w:val="00A318F4"/>
    <w:rsid w:val="00A34A7F"/>
    <w:rsid w:val="00A44DFB"/>
    <w:rsid w:val="00A476B1"/>
    <w:rsid w:val="00A5672B"/>
    <w:rsid w:val="00A6290B"/>
    <w:rsid w:val="00A634FD"/>
    <w:rsid w:val="00A7721C"/>
    <w:rsid w:val="00A802AE"/>
    <w:rsid w:val="00AA24D5"/>
    <w:rsid w:val="00AA4EF3"/>
    <w:rsid w:val="00AB13A2"/>
    <w:rsid w:val="00AB4F93"/>
    <w:rsid w:val="00AC7CB8"/>
    <w:rsid w:val="00AD4992"/>
    <w:rsid w:val="00AF6697"/>
    <w:rsid w:val="00AF6A2F"/>
    <w:rsid w:val="00B067C2"/>
    <w:rsid w:val="00B12F53"/>
    <w:rsid w:val="00B319A6"/>
    <w:rsid w:val="00B34E88"/>
    <w:rsid w:val="00B51370"/>
    <w:rsid w:val="00B526AE"/>
    <w:rsid w:val="00B54760"/>
    <w:rsid w:val="00B56BAC"/>
    <w:rsid w:val="00B61A3F"/>
    <w:rsid w:val="00B627CB"/>
    <w:rsid w:val="00B64CD8"/>
    <w:rsid w:val="00B64F0F"/>
    <w:rsid w:val="00B65B09"/>
    <w:rsid w:val="00B75FA9"/>
    <w:rsid w:val="00B806AA"/>
    <w:rsid w:val="00B8070C"/>
    <w:rsid w:val="00B84907"/>
    <w:rsid w:val="00B90A46"/>
    <w:rsid w:val="00B93D46"/>
    <w:rsid w:val="00BB0FFD"/>
    <w:rsid w:val="00BB1A13"/>
    <w:rsid w:val="00BB24A2"/>
    <w:rsid w:val="00BC5413"/>
    <w:rsid w:val="00BC65DC"/>
    <w:rsid w:val="00BE0721"/>
    <w:rsid w:val="00BE1EFD"/>
    <w:rsid w:val="00C05948"/>
    <w:rsid w:val="00C3038C"/>
    <w:rsid w:val="00C30A6E"/>
    <w:rsid w:val="00C318F1"/>
    <w:rsid w:val="00C33C29"/>
    <w:rsid w:val="00C356A6"/>
    <w:rsid w:val="00C405AF"/>
    <w:rsid w:val="00C412C9"/>
    <w:rsid w:val="00C44A76"/>
    <w:rsid w:val="00C504CA"/>
    <w:rsid w:val="00C518FB"/>
    <w:rsid w:val="00C56E54"/>
    <w:rsid w:val="00C57C6B"/>
    <w:rsid w:val="00C6522B"/>
    <w:rsid w:val="00C70A60"/>
    <w:rsid w:val="00C73789"/>
    <w:rsid w:val="00C74034"/>
    <w:rsid w:val="00C800D3"/>
    <w:rsid w:val="00C83976"/>
    <w:rsid w:val="00C85695"/>
    <w:rsid w:val="00C93C04"/>
    <w:rsid w:val="00CA383A"/>
    <w:rsid w:val="00CB2CA0"/>
    <w:rsid w:val="00CD3358"/>
    <w:rsid w:val="00CE19FA"/>
    <w:rsid w:val="00CE53D9"/>
    <w:rsid w:val="00CE7DED"/>
    <w:rsid w:val="00D05B3B"/>
    <w:rsid w:val="00D15AD2"/>
    <w:rsid w:val="00D17C5D"/>
    <w:rsid w:val="00D34F99"/>
    <w:rsid w:val="00D374CD"/>
    <w:rsid w:val="00D45BDC"/>
    <w:rsid w:val="00D54981"/>
    <w:rsid w:val="00D54D64"/>
    <w:rsid w:val="00D62DD1"/>
    <w:rsid w:val="00D7273C"/>
    <w:rsid w:val="00D80DD7"/>
    <w:rsid w:val="00D93CB7"/>
    <w:rsid w:val="00D9534E"/>
    <w:rsid w:val="00D95BDA"/>
    <w:rsid w:val="00D95CB5"/>
    <w:rsid w:val="00DB7B3E"/>
    <w:rsid w:val="00DC1D80"/>
    <w:rsid w:val="00DD0D16"/>
    <w:rsid w:val="00DE1580"/>
    <w:rsid w:val="00DE314D"/>
    <w:rsid w:val="00DE71B2"/>
    <w:rsid w:val="00DF3698"/>
    <w:rsid w:val="00E0476B"/>
    <w:rsid w:val="00E140DA"/>
    <w:rsid w:val="00E23AFD"/>
    <w:rsid w:val="00E248E1"/>
    <w:rsid w:val="00E26E99"/>
    <w:rsid w:val="00E32227"/>
    <w:rsid w:val="00E338DF"/>
    <w:rsid w:val="00E352E8"/>
    <w:rsid w:val="00E35F52"/>
    <w:rsid w:val="00E50776"/>
    <w:rsid w:val="00E53BD8"/>
    <w:rsid w:val="00E55321"/>
    <w:rsid w:val="00E625F8"/>
    <w:rsid w:val="00E64494"/>
    <w:rsid w:val="00E7011E"/>
    <w:rsid w:val="00E70FBB"/>
    <w:rsid w:val="00E72A64"/>
    <w:rsid w:val="00E73B7A"/>
    <w:rsid w:val="00E85910"/>
    <w:rsid w:val="00E865CB"/>
    <w:rsid w:val="00E94266"/>
    <w:rsid w:val="00EA56C4"/>
    <w:rsid w:val="00EB085C"/>
    <w:rsid w:val="00EB4A40"/>
    <w:rsid w:val="00EC2648"/>
    <w:rsid w:val="00EC554E"/>
    <w:rsid w:val="00ED1FD6"/>
    <w:rsid w:val="00ED270E"/>
    <w:rsid w:val="00ED5CCF"/>
    <w:rsid w:val="00EE14A4"/>
    <w:rsid w:val="00EF1016"/>
    <w:rsid w:val="00EF2355"/>
    <w:rsid w:val="00EF3CD7"/>
    <w:rsid w:val="00EF5E9A"/>
    <w:rsid w:val="00F12CA7"/>
    <w:rsid w:val="00F17B7B"/>
    <w:rsid w:val="00F20713"/>
    <w:rsid w:val="00F35E67"/>
    <w:rsid w:val="00F37F9D"/>
    <w:rsid w:val="00F4782D"/>
    <w:rsid w:val="00F51CBD"/>
    <w:rsid w:val="00F52096"/>
    <w:rsid w:val="00F644B2"/>
    <w:rsid w:val="00F72D38"/>
    <w:rsid w:val="00F7344C"/>
    <w:rsid w:val="00F82809"/>
    <w:rsid w:val="00F85FCC"/>
    <w:rsid w:val="00FA1BC5"/>
    <w:rsid w:val="00FA46A9"/>
    <w:rsid w:val="00FA5EC3"/>
    <w:rsid w:val="00FD1D46"/>
    <w:rsid w:val="00FE0877"/>
    <w:rsid w:val="00FF54DD"/>
    <w:rsid w:val="02617000"/>
    <w:rsid w:val="120729F1"/>
    <w:rsid w:val="1B164865"/>
    <w:rsid w:val="24970645"/>
    <w:rsid w:val="27EA41F5"/>
    <w:rsid w:val="29BC4EC2"/>
    <w:rsid w:val="2A2C31FD"/>
    <w:rsid w:val="2A557CDA"/>
    <w:rsid w:val="2F5E7C89"/>
    <w:rsid w:val="3DC33094"/>
    <w:rsid w:val="3E1A7BCF"/>
    <w:rsid w:val="41E53EAF"/>
    <w:rsid w:val="42795714"/>
    <w:rsid w:val="42DA7231"/>
    <w:rsid w:val="48A2608D"/>
    <w:rsid w:val="49AA347B"/>
    <w:rsid w:val="49E54E01"/>
    <w:rsid w:val="4D597727"/>
    <w:rsid w:val="53792952"/>
    <w:rsid w:val="574054DE"/>
    <w:rsid w:val="591B3F37"/>
    <w:rsid w:val="59D016EC"/>
    <w:rsid w:val="608A78E4"/>
    <w:rsid w:val="649B2E55"/>
    <w:rsid w:val="66680A74"/>
    <w:rsid w:val="71F97AE5"/>
    <w:rsid w:val="749963C9"/>
    <w:rsid w:val="7A9C7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v:shadow on="t" obscured="f" color="#000000" opacity="65536f" offset="2pt,-2pt" offset2="-8pt,8pt" origin="0f,0f" matrix="65536f,0f,0f,65536f,0,0"/>
    </o:shapedefaults>
    <o:shapelayout v:ext="edit">
      <o:idmap v:ext="edit" data="1,7"/>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Document Map"/>
    <w:basedOn w:val="1"/>
    <w:uiPriority w:val="0"/>
    <w:pPr>
      <w:shd w:val="clear" w:color="auto" w:fill="000080"/>
    </w:pPr>
  </w:style>
  <w:style w:type="paragraph" w:styleId="5">
    <w:name w:val="annotation text"/>
    <w:qFormat/>
    <w:uiPriority w:val="0"/>
    <w:rPr>
      <w:rFonts w:ascii="Times New Roman" w:hAnsi="Times New Roman" w:eastAsia="宋体" w:cs="Times New Roman"/>
      <w:lang w:val="en-US" w:eastAsia="zh-CN" w:bidi="ar-SA"/>
    </w:rPr>
  </w:style>
  <w:style w:type="paragraph" w:styleId="6">
    <w:name w:val="Body Text Indent"/>
    <w:basedOn w:val="1"/>
    <w:link w:val="38"/>
    <w:qFormat/>
    <w:uiPriority w:val="0"/>
    <w:pPr>
      <w:spacing w:after="120"/>
      <w:ind w:left="420" w:leftChars="200"/>
    </w:pPr>
  </w:style>
  <w:style w:type="paragraph" w:styleId="7">
    <w:name w:val="Plain Text"/>
    <w:basedOn w:val="1"/>
    <w:link w:val="35"/>
    <w:qFormat/>
    <w:uiPriority w:val="0"/>
    <w:rPr>
      <w:rFonts w:ascii="宋体" w:hAnsi="Courier New" w:cs="Courier New"/>
      <w:color w:val="000000"/>
      <w:szCs w:val="21"/>
    </w:rPr>
  </w:style>
  <w:style w:type="paragraph" w:styleId="8">
    <w:name w:val="Balloon Text"/>
    <w:basedOn w:val="1"/>
    <w:link w:val="34"/>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after="120"/>
      <w:ind w:left="420" w:leftChars="200"/>
    </w:pPr>
    <w:rPr>
      <w:sz w:val="16"/>
      <w:szCs w:val="16"/>
    </w:rPr>
  </w:style>
  <w:style w:type="paragraph" w:styleId="12">
    <w:name w:val="Body Text 2"/>
    <w:basedOn w:val="1"/>
    <w:qFormat/>
    <w:uiPriority w:val="0"/>
    <w:pPr>
      <w:spacing w:after="120" w:line="480" w:lineRule="auto"/>
    </w:pPr>
  </w:style>
  <w:style w:type="paragraph" w:styleId="13">
    <w:name w:val="HTML Preformatted"/>
    <w:basedOn w:val="1"/>
    <w:link w:val="3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6">
    <w:name w:val="Table Grid"/>
    <w:basedOn w:val="15"/>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Strong"/>
    <w:qFormat/>
    <w:uiPriority w:val="0"/>
    <w:rPr>
      <w:b/>
      <w:bCs/>
    </w:rPr>
  </w:style>
  <w:style w:type="character" w:styleId="19">
    <w:name w:val="page number"/>
    <w:basedOn w:val="17"/>
    <w:qFormat/>
    <w:uiPriority w:val="0"/>
  </w:style>
  <w:style w:type="character" w:styleId="20">
    <w:name w:val="Emphasis"/>
    <w:basedOn w:val="17"/>
    <w:qFormat/>
    <w:uiPriority w:val="20"/>
    <w:rPr>
      <w:i/>
      <w:iCs/>
    </w:rPr>
  </w:style>
  <w:style w:type="character" w:styleId="21">
    <w:name w:val="Hyperlink"/>
    <w:qFormat/>
    <w:uiPriority w:val="0"/>
    <w:rPr>
      <w:color w:val="0000FF"/>
      <w:u w:val="single"/>
    </w:rPr>
  </w:style>
  <w:style w:type="character" w:customStyle="1" w:styleId="22">
    <w:name w:val="段 Char Char"/>
    <w:link w:val="23"/>
    <w:qFormat/>
    <w:uiPriority w:val="0"/>
    <w:rPr>
      <w:rFonts w:ascii="宋体"/>
      <w:sz w:val="21"/>
      <w:lang w:val="en-US" w:eastAsia="zh-CN" w:bidi="ar-SA"/>
    </w:rPr>
  </w:style>
  <w:style w:type="paragraph" w:customStyle="1" w:styleId="23">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
    <w:name w:val="要求"/>
    <w:basedOn w:val="23"/>
    <w:qFormat/>
    <w:uiPriority w:val="0"/>
    <w:pPr>
      <w:adjustRightInd w:val="0"/>
      <w:snapToGrid w:val="0"/>
      <w:ind w:left="200" w:leftChars="200" w:firstLine="200"/>
    </w:pPr>
  </w:style>
  <w:style w:type="paragraph" w:customStyle="1" w:styleId="25">
    <w:name w:val="示例×："/>
    <w:basedOn w:val="1"/>
    <w:qFormat/>
    <w:uiPriority w:val="0"/>
    <w:pPr>
      <w:widowControl/>
      <w:ind w:left="205" w:firstLine="363"/>
    </w:pPr>
    <w:rPr>
      <w:rFonts w:ascii="宋体"/>
      <w:kern w:val="0"/>
      <w:sz w:val="18"/>
      <w:szCs w:val="18"/>
    </w:rPr>
  </w:style>
  <w:style w:type="paragraph" w:customStyle="1" w:styleId="26">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
    <w:name w:val="Char Char1 Char Char Char Char"/>
    <w:basedOn w:val="1"/>
    <w:qFormat/>
    <w:uiPriority w:val="0"/>
    <w:pPr>
      <w:widowControl/>
      <w:spacing w:after="160" w:line="240" w:lineRule="exact"/>
      <w:jc w:val="left"/>
    </w:pPr>
  </w:style>
  <w:style w:type="paragraph" w:customStyle="1" w:styleId="2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29">
    <w:name w:val="p0"/>
    <w:basedOn w:val="1"/>
    <w:qFormat/>
    <w:uiPriority w:val="0"/>
    <w:pPr>
      <w:widowControl/>
    </w:pPr>
    <w:rPr>
      <w:kern w:val="0"/>
      <w:szCs w:val="21"/>
    </w:rPr>
  </w:style>
  <w:style w:type="paragraph" w:customStyle="1" w:styleId="30">
    <w:name w:val="Char Char1 Char Char Char Char1"/>
    <w:basedOn w:val="1"/>
    <w:qFormat/>
    <w:uiPriority w:val="0"/>
    <w:pPr>
      <w:widowControl/>
      <w:spacing w:after="160" w:line="240" w:lineRule="exact"/>
      <w:jc w:val="left"/>
    </w:pPr>
  </w:style>
  <w:style w:type="paragraph" w:customStyle="1" w:styleId="31">
    <w:name w:val="Char Char Char1 Char Char Char Char Char Char Char Char Char Char Char Char Char"/>
    <w:basedOn w:val="1"/>
    <w:qFormat/>
    <w:uiPriority w:val="0"/>
  </w:style>
  <w:style w:type="paragraph" w:customStyle="1" w:styleId="32">
    <w:name w:val="标题 21"/>
    <w:basedOn w:val="1"/>
    <w:qFormat/>
    <w:uiPriority w:val="0"/>
    <w:pPr>
      <w:autoSpaceDE w:val="0"/>
      <w:autoSpaceDN w:val="0"/>
      <w:adjustRightInd w:val="0"/>
      <w:jc w:val="left"/>
      <w:outlineLvl w:val="1"/>
    </w:pPr>
    <w:rPr>
      <w:rFonts w:ascii="黑体" w:eastAsia="黑体" w:cs="黑体"/>
      <w:kern w:val="0"/>
      <w:sz w:val="28"/>
      <w:szCs w:val="28"/>
    </w:rPr>
  </w:style>
  <w:style w:type="paragraph" w:customStyle="1" w:styleId="33">
    <w:name w:val="Table Paragraph"/>
    <w:basedOn w:val="1"/>
    <w:qFormat/>
    <w:uiPriority w:val="0"/>
    <w:pPr>
      <w:autoSpaceDE w:val="0"/>
      <w:autoSpaceDN w:val="0"/>
      <w:adjustRightInd w:val="0"/>
      <w:jc w:val="left"/>
    </w:pPr>
    <w:rPr>
      <w:kern w:val="0"/>
      <w:sz w:val="24"/>
    </w:rPr>
  </w:style>
  <w:style w:type="character" w:customStyle="1" w:styleId="34">
    <w:name w:val="批注框文本 Char"/>
    <w:link w:val="8"/>
    <w:qFormat/>
    <w:uiPriority w:val="0"/>
    <w:rPr>
      <w:kern w:val="2"/>
      <w:sz w:val="18"/>
      <w:szCs w:val="18"/>
    </w:rPr>
  </w:style>
  <w:style w:type="character" w:customStyle="1" w:styleId="35">
    <w:name w:val="纯文本 Char"/>
    <w:link w:val="7"/>
    <w:qFormat/>
    <w:uiPriority w:val="0"/>
    <w:rPr>
      <w:rFonts w:ascii="宋体" w:hAnsi="Courier New" w:cs="Courier New"/>
      <w:color w:val="000000"/>
      <w:kern w:val="2"/>
      <w:sz w:val="21"/>
      <w:szCs w:val="21"/>
    </w:rPr>
  </w:style>
  <w:style w:type="character" w:customStyle="1" w:styleId="36">
    <w:name w:val="16"/>
    <w:qFormat/>
    <w:uiPriority w:val="0"/>
    <w:rPr>
      <w:rFonts w:hint="default" w:ascii="Times New Roman" w:hAnsi="Times New Roman" w:cs="Times New Roman"/>
      <w:b/>
      <w:bCs/>
      <w:sz w:val="20"/>
      <w:szCs w:val="20"/>
    </w:rPr>
  </w:style>
  <w:style w:type="character" w:customStyle="1" w:styleId="37">
    <w:name w:val="HTML 预设格式 Char"/>
    <w:link w:val="13"/>
    <w:qFormat/>
    <w:uiPriority w:val="99"/>
    <w:rPr>
      <w:rFonts w:ascii="宋体" w:hAnsi="宋体" w:cs="宋体"/>
      <w:sz w:val="24"/>
      <w:szCs w:val="24"/>
    </w:rPr>
  </w:style>
  <w:style w:type="character" w:customStyle="1" w:styleId="38">
    <w:name w:val="正文文本缩进 Char"/>
    <w:link w:val="6"/>
    <w:qFormat/>
    <w:uiPriority w:val="0"/>
    <w:rPr>
      <w:kern w:val="2"/>
      <w:sz w:val="21"/>
      <w:szCs w:val="24"/>
    </w:rPr>
  </w:style>
  <w:style w:type="paragraph" w:customStyle="1" w:styleId="39">
    <w:name w:val="Heading 2"/>
    <w:basedOn w:val="1"/>
    <w:qFormat/>
    <w:uiPriority w:val="0"/>
    <w:pPr>
      <w:autoSpaceDE w:val="0"/>
      <w:autoSpaceDN w:val="0"/>
      <w:adjustRightInd w:val="0"/>
      <w:jc w:val="left"/>
      <w:outlineLvl w:val="1"/>
    </w:pPr>
    <w:rPr>
      <w:rFonts w:ascii="黑体" w:eastAsia="黑体" w:cs="黑体"/>
      <w:kern w:val="0"/>
      <w:sz w:val="28"/>
      <w:szCs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microsoft.com/office/2006/relationships/keyMapCustomizations" Target="customizations.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582"/>
    <customShpInfo spid="_x0000_s158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266CD4-A43C-40B0-81CE-A30F5EB315F9}">
  <ds:schemaRefs/>
</ds:datastoreItem>
</file>

<file path=docProps/app.xml><?xml version="1.0" encoding="utf-8"?>
<Properties xmlns="http://schemas.openxmlformats.org/officeDocument/2006/extended-properties" xmlns:vt="http://schemas.openxmlformats.org/officeDocument/2006/docPropsVTypes">
  <Template>Normal</Template>
  <Pages>10</Pages>
  <Words>1262</Words>
  <Characters>7194</Characters>
  <Lines>59</Lines>
  <Paragraphs>16</Paragraphs>
  <TotalTime>6</TotalTime>
  <ScaleCrop>false</ScaleCrop>
  <LinksUpToDate>false</LinksUpToDate>
  <CharactersWithSpaces>8440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2018-07-31T02:47:00Z</dcterms:created>
  <dc:creator>bys09</dc:creator>
  <cp:lastModifiedBy>hp</cp:lastModifiedBy>
  <cp:lastPrinted>2018-05-22T07:49:00Z</cp:lastPrinted>
  <dcterms:modified xsi:type="dcterms:W3CDTF">2025-12-31T07:11:00Z</dcterms:modified>
  <dc:title>制造计量器具许可</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FA6D839AB697415AB4F04FAC005DD514</vt:lpwstr>
  </property>
</Properties>
</file>