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rPr>
      </w:pPr>
      <w:r>
        <w:rPr>
          <w:sz w:val="44"/>
          <w:szCs w:val="44"/>
        </w:rPr>
        <w:pict>
          <v:shape id="_x0000_s1027" o:spid="_x0000_s1027" o:spt="202" type="#_x0000_t202" style="position:absolute;left:0pt;margin-left:297.75pt;margin-top:25.2pt;height:56.5pt;width:166.95pt;z-index:251659264;mso-width-relative:page;mso-height-relative:page;" stroked="f" coordsize="21600,21600">
            <v:path/>
            <v:fill focussize="0,0"/>
            <v:stroke on="f" joinstyle="miter"/>
            <v:imagedata o:title=""/>
            <o:lock v:ext="edit"/>
            <v:textbox>
              <w:txbxContent>
                <w:p>
                  <w:pPr>
                    <w:rPr>
                      <w:spacing w:val="-7"/>
                      <w:sz w:val="36"/>
                      <w:szCs w:val="36"/>
                    </w:rPr>
                  </w:pPr>
                  <w:r>
                    <w:rPr>
                      <w:spacing w:val="-7"/>
                      <w:sz w:val="36"/>
                      <w:szCs w:val="36"/>
                    </w:rPr>
                    <w:t>BSZN-</w:t>
                  </w:r>
                  <w:r>
                    <w:rPr>
                      <w:rFonts w:hint="eastAsia"/>
                      <w:spacing w:val="-7"/>
                      <w:sz w:val="36"/>
                      <w:szCs w:val="36"/>
                    </w:rPr>
                    <w:t>1100260000</w:t>
                  </w:r>
                </w:p>
                <w:p>
                  <w:pPr>
                    <w:rPr>
                      <w:rFonts w:ascii="黑体" w:eastAsia="黑体"/>
                      <w:color w:val="FF0000"/>
                      <w:spacing w:val="-6"/>
                      <w:szCs w:val="21"/>
                    </w:rPr>
                  </w:pPr>
                </w:p>
              </w:txbxContent>
            </v:textbox>
          </v:shape>
        </w:pict>
      </w:r>
      <w:r>
        <w:rPr>
          <w:sz w:val="44"/>
          <w:szCs w:val="44"/>
        </w:rPr>
        <w:pict>
          <v:shape id="_x0000_s1582" o:spid="_x0000_s1582" o:spt="136" type="#_x0000_t136" style="position:absolute;left:0pt;margin-left:-0.65pt;margin-top:0.7pt;height:42.5pt;width:127.55pt;z-index:251659264;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pPr>
        <w:rPr>
          <w:sz w:val="44"/>
          <w:szCs w:val="44"/>
        </w:rPr>
      </w:pPr>
    </w:p>
    <w:p>
      <w:pPr>
        <w:rPr>
          <w:sz w:val="44"/>
          <w:szCs w:val="44"/>
        </w:rPr>
      </w:pPr>
    </w:p>
    <w:p>
      <w:pPr>
        <w:rPr>
          <w:sz w:val="44"/>
          <w:szCs w:val="44"/>
        </w:rPr>
      </w:pPr>
    </w:p>
    <w:p>
      <w:pPr>
        <w:rPr>
          <w:sz w:val="44"/>
          <w:szCs w:val="44"/>
        </w:rPr>
      </w:pPr>
    </w:p>
    <w:p>
      <w:pPr>
        <w:rPr>
          <w:sz w:val="44"/>
          <w:szCs w:val="44"/>
        </w:rPr>
      </w:pPr>
    </w:p>
    <w:p>
      <w:pPr>
        <w:tabs>
          <w:tab w:val="left" w:pos="3135"/>
        </w:tabs>
        <w:jc w:val="center"/>
        <w:rPr>
          <w:rFonts w:ascii="方正小标宋简体" w:eastAsia="方正小标宋简体"/>
          <w:b/>
          <w:sz w:val="52"/>
          <w:szCs w:val="52"/>
        </w:rPr>
      </w:pPr>
      <w:r>
        <w:rPr>
          <w:rFonts w:ascii="方正小标宋简体" w:eastAsia="方正小标宋简体"/>
          <w:b/>
          <w:sz w:val="52"/>
          <w:szCs w:val="52"/>
        </w:rPr>
        <w:pict>
          <v:shape id="_x0000_s1584" o:spid="_x0000_s1584" o:spt="202" type="#_x0000_t202" style="position:absolute;left:0pt;margin-left:5.95pt;margin-top:230.85pt;height:153.7pt;width:412.3pt;mso-position-horizontal-relative:margin;mso-position-vertical-relative:margin;z-index:-251656192;mso-width-relative:margin;mso-height-relative:margin;" fillcolor="#FFFFFF" filled="t" stroked="t" coordsize="21600,21600">
            <v:path/>
            <v:fill on="t" color2="#FFFFFF" focussize="0,0"/>
            <v:stroke color="#FFFFFF" joinstyle="miter"/>
            <v:imagedata o:title=""/>
            <o:lock v:ext="edit" aspectratio="f"/>
            <v:textbox>
              <w:txbxContent>
                <w:p>
                  <w:pPr>
                    <w:adjustRightInd w:val="0"/>
                    <w:snapToGrid w:val="0"/>
                    <w:spacing w:line="800" w:lineRule="exact"/>
                    <w:jc w:val="center"/>
                    <w:rPr>
                      <w:rFonts w:hint="eastAsia" w:ascii="方正小标宋简体" w:hAnsi="宋体" w:eastAsia="方正小标宋简体" w:cs="Times New Roman"/>
                      <w:spacing w:val="0"/>
                      <w:sz w:val="52"/>
                      <w:szCs w:val="52"/>
                    </w:rPr>
                  </w:pPr>
                  <w:r>
                    <w:rPr>
                      <w:rFonts w:hint="eastAsia" w:ascii="方正小标宋简体" w:hAnsi="宋体" w:eastAsia="方正小标宋简体" w:cs="Times New Roman"/>
                      <w:spacing w:val="0"/>
                      <w:sz w:val="52"/>
                      <w:szCs w:val="52"/>
                    </w:rPr>
                    <w:t>在公路上增设或者改造</w:t>
                  </w:r>
                </w:p>
                <w:p>
                  <w:pPr>
                    <w:adjustRightInd w:val="0"/>
                    <w:snapToGrid w:val="0"/>
                    <w:spacing w:line="800" w:lineRule="exact"/>
                    <w:jc w:val="center"/>
                    <w:rPr>
                      <w:rFonts w:hint="eastAsia" w:ascii="方正小标宋简体" w:hAnsi="宋体" w:eastAsia="方正小标宋简体" w:cs="Times New Roman"/>
                      <w:spacing w:val="0"/>
                      <w:sz w:val="52"/>
                      <w:szCs w:val="52"/>
                    </w:rPr>
                  </w:pPr>
                  <w:r>
                    <w:rPr>
                      <w:rFonts w:hint="eastAsia" w:ascii="方正小标宋简体" w:hAnsi="宋体" w:eastAsia="方正小标宋简体" w:cs="Times New Roman"/>
                      <w:spacing w:val="0"/>
                      <w:sz w:val="52"/>
                      <w:szCs w:val="52"/>
                    </w:rPr>
                    <w:t>平面交叉道口的审批</w:t>
                  </w:r>
                </w:p>
                <w:p>
                  <w:pPr>
                    <w:adjustRightInd w:val="0"/>
                    <w:snapToGrid w:val="0"/>
                    <w:spacing w:line="800" w:lineRule="exact"/>
                    <w:jc w:val="center"/>
                    <w:rPr>
                      <w:rFonts w:ascii="方正小标宋简体" w:hAnsi="宋体" w:eastAsia="方正小标宋简体"/>
                      <w:sz w:val="52"/>
                      <w:szCs w:val="52"/>
                    </w:rPr>
                  </w:pPr>
                  <w:r>
                    <w:rPr>
                      <w:rFonts w:hint="eastAsia" w:ascii="方正小标宋简体" w:hAnsi="宋体" w:eastAsia="方正小标宋简体" w:cs="Times New Roman"/>
                      <w:spacing w:val="0"/>
                      <w:sz w:val="52"/>
                      <w:szCs w:val="52"/>
                    </w:rPr>
                    <w:t>办事指南</w:t>
                  </w:r>
                </w:p>
                <w:p/>
              </w:txbxContent>
            </v:textbox>
          </v:shape>
        </w:pict>
      </w:r>
    </w:p>
    <w:p>
      <w:pPr>
        <w:rPr>
          <w:rFonts w:ascii="宋体" w:hAnsi="宋体"/>
          <w:b/>
          <w:sz w:val="48"/>
          <w:szCs w:val="48"/>
        </w:rPr>
      </w:pPr>
    </w:p>
    <w:p>
      <w:pPr>
        <w:tabs>
          <w:tab w:val="left" w:pos="6210"/>
        </w:tabs>
        <w:jc w:val="left"/>
        <w:rPr>
          <w:rFonts w:ascii="黑体" w:hAnsi="黑体" w:eastAsia="黑体"/>
          <w:sz w:val="32"/>
          <w:szCs w:val="32"/>
        </w:rPr>
      </w:pPr>
      <w:r>
        <w:rPr>
          <w:rFonts w:ascii="黑体" w:hAnsi="黑体" w:eastAsia="黑体"/>
          <w:sz w:val="32"/>
          <w:szCs w:val="32"/>
        </w:rPr>
        <w:tab/>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spacing w:line="240" w:lineRule="exact"/>
        <w:jc w:val="center"/>
        <w:rPr>
          <w:rFonts w:ascii="黑体" w:hAnsi="黑体" w:eastAsia="黑体"/>
          <w:szCs w:val="21"/>
        </w:rPr>
      </w:pPr>
    </w:p>
    <w:p>
      <w:pPr>
        <w:adjustRightInd w:val="0"/>
        <w:snapToGrid w:val="0"/>
        <w:spacing w:before="100" w:beforeAutospacing="1" w:after="100" w:afterAutospacing="1" w:line="240" w:lineRule="exact"/>
        <w:jc w:val="center"/>
        <w:rPr>
          <w:rFonts w:hint="eastAsia" w:ascii="黑体" w:hAnsi="黑体" w:eastAsia="黑体"/>
          <w:sz w:val="32"/>
          <w:szCs w:val="32"/>
        </w:rPr>
      </w:pPr>
      <w:r>
        <w:rPr>
          <w:rFonts w:hint="eastAsia" w:ascii="黑体" w:hAnsi="黑体" w:eastAsia="黑体"/>
          <w:sz w:val="32"/>
          <w:szCs w:val="32"/>
        </w:rPr>
        <w:t>昆明市官渡区行政审批局</w:t>
      </w:r>
    </w:p>
    <w:p>
      <w:pPr>
        <w:jc w:val="center"/>
        <w:rPr>
          <w:color w:val="FF0000"/>
          <w:sz w:val="44"/>
          <w:szCs w:val="44"/>
        </w:rPr>
      </w:pPr>
      <w:r>
        <w:rPr>
          <w:rFonts w:hint="eastAsia" w:ascii="黑体" w:hAnsi="黑体" w:eastAsia="黑体"/>
          <w:color w:val="auto"/>
          <w:sz w:val="32"/>
          <w:szCs w:val="32"/>
        </w:rPr>
        <w:t>20</w:t>
      </w:r>
      <w:r>
        <w:rPr>
          <w:rFonts w:hint="eastAsia" w:ascii="黑体" w:hAnsi="黑体" w:eastAsia="黑体"/>
          <w:sz w:val="32"/>
          <w:szCs w:val="32"/>
          <w:lang w:val="en-US" w:eastAsia="zh-CN"/>
        </w:rPr>
        <w:t>25</w:t>
      </w:r>
      <w:r>
        <w:rPr>
          <w:rFonts w:hint="eastAsia" w:ascii="黑体" w:hAnsi="黑体" w:eastAsia="黑体"/>
          <w:sz w:val="32"/>
          <w:szCs w:val="32"/>
        </w:rPr>
        <w:t>年</w:t>
      </w:r>
      <w:r>
        <w:rPr>
          <w:rFonts w:hint="eastAsia" w:ascii="黑体" w:hAnsi="黑体" w:eastAsia="黑体"/>
          <w:sz w:val="32"/>
          <w:szCs w:val="32"/>
          <w:lang w:val="en-US" w:eastAsia="zh-CN"/>
        </w:rPr>
        <w:t>12</w:t>
      </w:r>
      <w:r>
        <w:rPr>
          <w:rFonts w:hint="eastAsia" w:ascii="黑体" w:hAnsi="黑体" w:eastAsia="黑体"/>
          <w:sz w:val="32"/>
          <w:szCs w:val="32"/>
        </w:rPr>
        <w:t>月</w:t>
      </w:r>
      <w:r>
        <w:rPr>
          <w:rFonts w:hint="eastAsia" w:ascii="黑体" w:hAnsi="黑体" w:eastAsia="黑体"/>
          <w:sz w:val="32"/>
          <w:szCs w:val="32"/>
          <w:lang w:val="en-US" w:eastAsia="zh-CN"/>
        </w:rPr>
        <w:t>1日</w:t>
      </w:r>
    </w:p>
    <w:p>
      <w:pPr>
        <w:rPr>
          <w:color w:val="FF0000"/>
          <w:sz w:val="44"/>
          <w:szCs w:val="44"/>
        </w:rPr>
        <w:sectPr>
          <w:footerReference r:id="rId3" w:type="default"/>
          <w:footerReference r:id="rId4" w:type="even"/>
          <w:pgSz w:w="11906" w:h="16838"/>
          <w:pgMar w:top="2098" w:right="1474" w:bottom="1985" w:left="1588" w:header="851" w:footer="992" w:gutter="0"/>
          <w:pgNumType w:fmt="numberInDash" w:start="1"/>
          <w:cols w:space="720" w:num="1"/>
          <w:titlePg/>
          <w:docGrid w:type="lines" w:linePitch="312" w:charSpace="0"/>
        </w:sectPr>
      </w:pPr>
    </w:p>
    <w:p>
      <w:pPr>
        <w:pStyle w:val="31"/>
        <w:kinsoku w:val="0"/>
        <w:overflowPunct w:val="0"/>
        <w:snapToGrid w:val="0"/>
        <w:spacing w:before="100" w:after="600" w:line="400" w:lineRule="exact"/>
        <w:jc w:val="center"/>
        <w:outlineLvl w:val="0"/>
        <w:rPr>
          <w:rFonts w:hAnsi="黑体"/>
          <w:sz w:val="36"/>
          <w:szCs w:val="36"/>
        </w:rPr>
      </w:pPr>
      <w:r>
        <w:rPr>
          <w:rFonts w:hint="eastAsia" w:ascii="黑体" w:hAnsi="黑体" w:eastAsia="黑体" w:cs="黑体"/>
          <w:kern w:val="0"/>
          <w:sz w:val="36"/>
          <w:szCs w:val="36"/>
          <w:lang w:val="en-US" w:eastAsia="zh-CN" w:bidi="ar-SA"/>
        </w:rPr>
        <w:t>在公路上增设或者改造平面交叉道口审批办事指南</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一、受理范围</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1.申请内容：在公路上增设或者改造平面交叉道口的审批申请。</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2.申请人范围：公民、法人或其他组织</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3.申请条件：在公路上增设或者改造平面交叉道口的，申请人应当按照《公路法》、《公路安全保护条例》规定，事先向路政许可主体提交申请。</w:t>
      </w:r>
    </w:p>
    <w:p>
      <w:pPr>
        <w:pStyle w:val="12"/>
        <w:keepNext w:val="0"/>
        <w:keepLines w:val="0"/>
        <w:pageBreakBefore w:val="0"/>
        <w:shd w:val="clear" w:color="auto" w:fill="FFFFFF"/>
        <w:wordWrap/>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4．不予受理的法定情形：</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（1）申请事项依法不需要取得行政许可的。</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（2）申请事项依法不属于本行政机关职权范围的。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（3）申请材料不齐全或者不符合法定形式的。</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val="en-US" w:eastAsia="zh-CN"/>
        </w:rPr>
        <w:t>设定</w:t>
      </w:r>
      <w:r>
        <w:rPr>
          <w:rFonts w:hint="eastAsia" w:ascii="黑体" w:hAnsi="黑体" w:eastAsia="黑体"/>
          <w:color w:val="auto"/>
          <w:sz w:val="32"/>
          <w:szCs w:val="32"/>
        </w:rPr>
        <w:t>依据</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 xml:space="preserve">《中华人民共和国公路法》第五十五条 在公路上增设平面交叉道口，必须按照国家有关规定经过批准，并按照国家规定的技术标准建设。 </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《公路安全保护条例》第二十七条　进行下列涉路施工活动，建设单位应当向公路管理机构提出申请：（六）在公路上增设或者改造平面交叉道口。</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宋体"/>
          <w:color w:val="auto"/>
          <w:sz w:val="32"/>
          <w:szCs w:val="32"/>
        </w:rPr>
      </w:pPr>
      <w:r>
        <w:rPr>
          <w:rFonts w:hint="eastAsia" w:ascii="黑体" w:hAnsi="黑体" w:eastAsia="黑体"/>
          <w:color w:val="auto"/>
          <w:sz w:val="32"/>
          <w:szCs w:val="32"/>
        </w:rPr>
        <w:t>三、实施机关</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宋体" w:hAnsi="宋体"/>
          <w:color w:val="auto"/>
          <w:sz w:val="32"/>
          <w:szCs w:val="32"/>
        </w:rPr>
      </w:pPr>
      <w:r>
        <w:rPr>
          <w:rFonts w:hint="eastAsia" w:ascii="仿宋_GB2312" w:hAnsi="仿宋_GB2312" w:eastAsia="仿宋_GB2312" w:cs="仿宋_GB2312"/>
          <w:color w:val="auto"/>
          <w:sz w:val="32"/>
          <w:szCs w:val="32"/>
        </w:rPr>
        <w:t>昆明市官渡区行政审批局，是办理该行政许可事项的法定机构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负责该行政许可事项的审查并作出行政许可决定。</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四、许可条件</w:t>
      </w:r>
    </w:p>
    <w:p>
      <w:pPr>
        <w:keepNext w:val="0"/>
        <w:keepLines w:val="0"/>
        <w:pageBreakBefore w:val="0"/>
        <w:wordWrap/>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（一）予以批准的条件：</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1.申请事项依法需要取得行政许可的。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2.申请事项依法属于本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职权范围的。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3.申请材料齐全或者符合法定形式的。</w:t>
      </w:r>
    </w:p>
    <w:p>
      <w:pPr>
        <w:keepNext w:val="0"/>
        <w:keepLines w:val="0"/>
        <w:pageBreakBefore w:val="0"/>
        <w:wordWrap/>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（二）不予批准的情形：</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1.申请事项依法不需要取得行政许可的。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2.申请事项依法不属于本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职权范围的。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ascii="微软雅黑" w:hAnsi="微软雅黑" w:eastAsia="微软雅黑"/>
          <w:color w:val="auto"/>
          <w:sz w:val="32"/>
          <w:szCs w:val="32"/>
        </w:rPr>
      </w:pPr>
      <w:r>
        <w:rPr>
          <w:rFonts w:hint="eastAsia" w:ascii="仿宋_GB2312" w:hAnsi="仿宋_GB2312" w:eastAsia="仿宋_GB2312" w:cs="仿宋_GB2312"/>
          <w:color w:val="auto"/>
          <w:sz w:val="32"/>
          <w:szCs w:val="32"/>
        </w:rPr>
        <w:t>3.申请材料不齐全或者不符合法定形式的。</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宋体" w:hAnsi="宋体"/>
          <w:color w:val="auto"/>
          <w:sz w:val="32"/>
          <w:szCs w:val="32"/>
        </w:rPr>
      </w:pPr>
      <w:r>
        <w:rPr>
          <w:rFonts w:hint="eastAsia" w:ascii="黑体" w:hAnsi="黑体" w:eastAsia="黑体"/>
          <w:color w:val="auto"/>
          <w:sz w:val="32"/>
          <w:szCs w:val="32"/>
        </w:rPr>
        <w:t>五、许可数量</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宋体" w:hAnsi="宋体"/>
          <w:color w:val="auto"/>
          <w:sz w:val="32"/>
          <w:szCs w:val="32"/>
        </w:rPr>
      </w:pPr>
      <w:r>
        <w:rPr>
          <w:rFonts w:hint="eastAsia" w:ascii="黑体" w:hAnsi="黑体" w:eastAsia="黑体" w:cs="黑体"/>
          <w:color w:val="auto"/>
          <w:sz w:val="32"/>
          <w:szCs w:val="32"/>
        </w:rPr>
        <w:t>六、受理形式和地点</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受理形式：窗口和网上均可受理。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受理地点：官渡区国投大厦4号楼</w:t>
      </w:r>
      <w:r>
        <w:rPr>
          <w:rFonts w:hint="eastAsia" w:ascii="仿宋_GB2312" w:hAnsi="仿宋_GB2312" w:eastAsia="仿宋_GB2312" w:cs="仿宋_GB2312"/>
          <w:color w:val="auto"/>
          <w:sz w:val="32"/>
          <w:szCs w:val="32"/>
          <w:lang w:val="en-US" w:eastAsia="zh-CN"/>
        </w:rPr>
        <w:t>政务</w:t>
      </w:r>
      <w:r>
        <w:rPr>
          <w:rFonts w:hint="eastAsia" w:ascii="仿宋_GB2312" w:hAnsi="仿宋_GB2312" w:eastAsia="仿宋_GB2312" w:cs="仿宋_GB2312"/>
          <w:color w:val="auto"/>
          <w:sz w:val="32"/>
          <w:szCs w:val="32"/>
        </w:rPr>
        <w:t xml:space="preserve">服务中心窗口。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交通方式：可乘坐第169、174、A12、232、252、253路公交车到达。</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办理网址：http://zwfw.yn.gov.cn/portal/#/home “云南省政务服务网 ”</w:t>
      </w:r>
    </w:p>
    <w:p>
      <w:pPr>
        <w:keepNext w:val="0"/>
        <w:keepLines w:val="0"/>
        <w:pageBreakBefore w:val="0"/>
        <w:widowControl/>
        <w:wordWrap/>
        <w:topLinePunct w:val="0"/>
        <w:autoSpaceDE/>
        <w:autoSpaceDN/>
        <w:bidi w:val="0"/>
        <w:spacing w:line="480" w:lineRule="exact"/>
        <w:ind w:firstLine="640" w:firstLineChars="200"/>
        <w:jc w:val="left"/>
        <w:textAlignment w:val="auto"/>
        <w:rPr>
          <w:rFonts w:ascii="黑体" w:hAnsi="黑体" w:eastAsia="黑体"/>
          <w:color w:val="auto"/>
          <w:sz w:val="32"/>
          <w:szCs w:val="32"/>
        </w:rPr>
      </w:pPr>
      <w:r>
        <w:rPr>
          <w:rFonts w:hint="eastAsia" w:ascii="黑体" w:hAnsi="黑体" w:eastAsia="黑体"/>
          <w:color w:val="auto"/>
          <w:sz w:val="32"/>
          <w:szCs w:val="32"/>
        </w:rPr>
        <w:t>七、申请材料</w:t>
      </w:r>
    </w:p>
    <w:p>
      <w:pPr>
        <w:keepNext w:val="0"/>
        <w:keepLines w:val="0"/>
        <w:pageBreakBefore w:val="0"/>
        <w:widowControl w:val="0"/>
        <w:kinsoku w:val="0"/>
        <w:wordWrap/>
        <w:overflowPunct w:val="0"/>
        <w:topLinePunct w:val="0"/>
        <w:autoSpaceDE/>
        <w:autoSpaceDN/>
        <w:bidi w:val="0"/>
        <w:snapToGrid/>
        <w:spacing w:line="48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在公路上增设或者改造平面交叉道口等</w:t>
      </w:r>
    </w:p>
    <w:p>
      <w:pPr>
        <w:keepNext w:val="0"/>
        <w:keepLines w:val="0"/>
        <w:pageBreakBefore w:val="0"/>
        <w:widowControl w:val="0"/>
        <w:kinsoku w:val="0"/>
        <w:wordWrap/>
        <w:overflowPunct w:val="0"/>
        <w:topLinePunct w:val="0"/>
        <w:autoSpaceDE/>
        <w:autoSpaceDN/>
        <w:bidi w:val="0"/>
        <w:snapToGrid/>
        <w:spacing w:line="48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设施许可事项申请材料目录</w:t>
      </w:r>
    </w:p>
    <w:tbl>
      <w:tblPr>
        <w:tblStyle w:val="14"/>
        <w:tblW w:w="9204" w:type="dxa"/>
        <w:jc w:val="center"/>
        <w:tblLayout w:type="fixed"/>
        <w:tblCellMar>
          <w:top w:w="0" w:type="dxa"/>
          <w:left w:w="0" w:type="dxa"/>
          <w:bottom w:w="0" w:type="dxa"/>
          <w:right w:w="0" w:type="dxa"/>
        </w:tblCellMar>
      </w:tblPr>
      <w:tblGrid>
        <w:gridCol w:w="667"/>
        <w:gridCol w:w="4460"/>
        <w:gridCol w:w="1380"/>
        <w:gridCol w:w="1287"/>
        <w:gridCol w:w="1410"/>
      </w:tblGrid>
      <w:tr>
        <w:tblPrEx>
          <w:tblCellMar>
            <w:top w:w="0" w:type="dxa"/>
            <w:left w:w="0" w:type="dxa"/>
            <w:bottom w:w="0" w:type="dxa"/>
            <w:right w:w="0" w:type="dxa"/>
          </w:tblCellMar>
        </w:tblPrEx>
        <w:trPr>
          <w:trHeight w:val="563" w:hRule="exact"/>
          <w:jc w:val="center"/>
        </w:trPr>
        <w:tc>
          <w:tcPr>
            <w:tcW w:w="667" w:type="dxa"/>
            <w:tcBorders>
              <w:top w:val="single" w:color="000000" w:sz="8" w:space="0"/>
              <w:left w:val="single" w:color="000000" w:sz="8"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11"/>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rPr>
              <w:t>序</w:t>
            </w:r>
            <w:r>
              <w:rPr>
                <w:rFonts w:hint="eastAsia" w:ascii="仿宋_GB2312" w:hAnsi="仿宋_GB2312" w:eastAsia="仿宋_GB2312" w:cs="仿宋_GB2312"/>
                <w:sz w:val="24"/>
                <w:szCs w:val="24"/>
              </w:rPr>
              <w:t>号</w:t>
            </w:r>
          </w:p>
        </w:tc>
        <w:tc>
          <w:tcPr>
            <w:tcW w:w="4460"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34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材料</w:t>
            </w:r>
            <w:r>
              <w:rPr>
                <w:rFonts w:hint="eastAsia" w:ascii="仿宋_GB2312" w:hAnsi="仿宋_GB2312" w:eastAsia="仿宋_GB2312" w:cs="仿宋_GB2312"/>
                <w:sz w:val="24"/>
                <w:szCs w:val="24"/>
              </w:rPr>
              <w:t>名称</w:t>
            </w:r>
          </w:p>
        </w:tc>
        <w:tc>
          <w:tcPr>
            <w:tcW w:w="1380"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材料</w:t>
            </w:r>
            <w:r>
              <w:rPr>
                <w:rFonts w:hint="eastAsia" w:ascii="仿宋_GB2312" w:hAnsi="仿宋_GB2312" w:eastAsia="仿宋_GB2312" w:cs="仿宋_GB2312"/>
                <w:sz w:val="24"/>
                <w:szCs w:val="24"/>
              </w:rPr>
              <w:t>形式</w:t>
            </w:r>
          </w:p>
        </w:tc>
        <w:tc>
          <w:tcPr>
            <w:tcW w:w="1287"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0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份</w:t>
            </w:r>
            <w:r>
              <w:rPr>
                <w:rFonts w:hint="eastAsia" w:ascii="仿宋_GB2312" w:hAnsi="仿宋_GB2312" w:eastAsia="仿宋_GB2312" w:cs="仿宋_GB2312"/>
                <w:sz w:val="24"/>
                <w:szCs w:val="24"/>
              </w:rPr>
              <w:t>数</w:t>
            </w:r>
          </w:p>
        </w:tc>
        <w:tc>
          <w:tcPr>
            <w:tcW w:w="1410" w:type="dxa"/>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widowControl w:val="0"/>
              <w:kinsoku w:val="0"/>
              <w:wordWrap/>
              <w:overflowPunct w:val="0"/>
              <w:topLinePunct w:val="0"/>
              <w:bidi w:val="0"/>
              <w:snapToGrid/>
              <w:spacing w:line="480" w:lineRule="exact"/>
              <w:ind w:left="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其他</w:t>
            </w:r>
            <w:r>
              <w:rPr>
                <w:rFonts w:hint="eastAsia" w:ascii="仿宋_GB2312" w:hAnsi="仿宋_GB2312" w:eastAsia="仿宋_GB2312" w:cs="仿宋_GB2312"/>
                <w:sz w:val="24"/>
                <w:szCs w:val="24"/>
              </w:rPr>
              <w:t>要求</w:t>
            </w:r>
          </w:p>
        </w:tc>
      </w:tr>
      <w:tr>
        <w:tblPrEx>
          <w:tblCellMar>
            <w:top w:w="0" w:type="dxa"/>
            <w:left w:w="0" w:type="dxa"/>
            <w:bottom w:w="0" w:type="dxa"/>
            <w:right w:w="0" w:type="dxa"/>
          </w:tblCellMar>
        </w:tblPrEx>
        <w:trPr>
          <w:trHeight w:val="533" w:hRule="exact"/>
          <w:jc w:val="center"/>
        </w:trPr>
        <w:tc>
          <w:tcPr>
            <w:tcW w:w="667" w:type="dxa"/>
            <w:tcBorders>
              <w:top w:val="single" w:color="000000" w:sz="8" w:space="0"/>
              <w:left w:val="single" w:color="000000" w:sz="8"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4460" w:type="dxa"/>
            <w:tcBorders>
              <w:top w:val="single" w:color="000000" w:sz="8"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交通行政许可申请书</w:t>
            </w:r>
          </w:p>
        </w:tc>
        <w:tc>
          <w:tcPr>
            <w:tcW w:w="1380" w:type="dxa"/>
            <w:tcBorders>
              <w:top w:val="single" w:color="000000" w:sz="8"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原件</w:t>
            </w:r>
          </w:p>
        </w:tc>
        <w:tc>
          <w:tcPr>
            <w:tcW w:w="1287" w:type="dxa"/>
            <w:tcBorders>
              <w:top w:val="single" w:color="000000" w:sz="8"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p>
        </w:tc>
        <w:tc>
          <w:tcPr>
            <w:tcW w:w="1410" w:type="dxa"/>
            <w:vMerge w:val="restart"/>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widowControl w:val="0"/>
              <w:kinsoku w:val="0"/>
              <w:wordWrap/>
              <w:overflowPunct w:val="0"/>
              <w:topLinePunct w:val="0"/>
              <w:bidi w:val="0"/>
              <w:snapToGrid/>
              <w:spacing w:line="480" w:lineRule="exact"/>
              <w:ind w:left="102"/>
              <w:jc w:val="center"/>
              <w:textAlignment w:val="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577" w:hRule="exact"/>
          <w:jc w:val="center"/>
        </w:trPr>
        <w:tc>
          <w:tcPr>
            <w:tcW w:w="667" w:type="dxa"/>
            <w:tcBorders>
              <w:top w:val="single" w:color="000000" w:sz="4" w:space="0"/>
              <w:left w:val="single" w:color="000000" w:sz="8"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设计和施工方案</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原件</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p>
        </w:tc>
        <w:tc>
          <w:tcPr>
            <w:tcW w:w="1410"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widowControl w:val="0"/>
              <w:kinsoku w:val="0"/>
              <w:wordWrap/>
              <w:overflowPunct w:val="0"/>
              <w:topLinePunct w:val="0"/>
              <w:bidi w:val="0"/>
              <w:snapToGrid/>
              <w:spacing w:line="480" w:lineRule="exact"/>
              <w:ind w:left="102"/>
              <w:jc w:val="center"/>
              <w:textAlignment w:val="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009" w:hRule="exact"/>
          <w:jc w:val="center"/>
        </w:trPr>
        <w:tc>
          <w:tcPr>
            <w:tcW w:w="667" w:type="dxa"/>
            <w:tcBorders>
              <w:top w:val="single" w:color="000000" w:sz="4" w:space="0"/>
              <w:left w:val="single" w:color="000000" w:sz="8"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保障公路、公路附属设施质量和安全的技术评价报告</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原件</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p>
        </w:tc>
        <w:tc>
          <w:tcPr>
            <w:tcW w:w="1410"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widowControl w:val="0"/>
              <w:kinsoku w:val="0"/>
              <w:wordWrap/>
              <w:overflowPunct w:val="0"/>
              <w:topLinePunct w:val="0"/>
              <w:bidi w:val="0"/>
              <w:snapToGrid/>
              <w:spacing w:line="480" w:lineRule="exact"/>
              <w:ind w:left="102"/>
              <w:jc w:val="center"/>
              <w:textAlignment w:val="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56" w:hRule="exact"/>
          <w:jc w:val="center"/>
        </w:trPr>
        <w:tc>
          <w:tcPr>
            <w:tcW w:w="667" w:type="dxa"/>
            <w:tcBorders>
              <w:top w:val="single" w:color="000000" w:sz="4" w:space="0"/>
              <w:left w:val="single" w:color="000000" w:sz="8"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4460"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处置施工险情和意外事故的应急方案</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原件</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68" w:leftChars="0" w:right="172" w:right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p>
        </w:tc>
        <w:tc>
          <w:tcPr>
            <w:tcW w:w="1410"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widowControl w:val="0"/>
              <w:kinsoku w:val="0"/>
              <w:wordWrap/>
              <w:overflowPunct w:val="0"/>
              <w:topLinePunct w:val="0"/>
              <w:bidi w:val="0"/>
              <w:snapToGrid/>
              <w:spacing w:line="480" w:lineRule="exact"/>
              <w:ind w:left="102"/>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spacing w:line="48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 xml:space="preserve">八、办结时限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受理时限：12个工作日。</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法定办理时限: 12个工作日。</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承诺办理时限：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个工作日（不含实地勘查、意见征询、论证评审、组织听证时间）。</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九、许可收费及依据</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本许可事项不收费。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十、办理流程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宋体" w:hAnsi="宋体"/>
          <w:b/>
          <w:color w:val="auto"/>
          <w:sz w:val="24"/>
        </w:rPr>
      </w:pPr>
      <w:r>
        <w:rPr>
          <w:rFonts w:hint="eastAsia" w:ascii="仿宋_GB2312" w:hAnsi="仿宋_GB2312" w:eastAsia="仿宋_GB2312" w:cs="仿宋_GB2312"/>
          <w:b w:val="0"/>
          <w:bCs/>
          <w:color w:val="auto"/>
          <w:sz w:val="32"/>
          <w:szCs w:val="32"/>
        </w:rPr>
        <w:t>（一）申请</w:t>
      </w:r>
      <w:r>
        <w:rPr>
          <w:rFonts w:ascii="宋体" w:hAnsi="宋体"/>
          <w:b/>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（1）窗口提交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接收申请的实施机关：昆明市官渡区</w:t>
      </w:r>
      <w:r>
        <w:rPr>
          <w:rFonts w:hint="eastAsia" w:ascii="仿宋_GB2312" w:hAnsi="仿宋_GB2312" w:eastAsia="仿宋_GB2312" w:cs="仿宋_GB2312"/>
          <w:color w:val="auto"/>
          <w:sz w:val="32"/>
          <w:szCs w:val="32"/>
          <w:lang w:val="en-US" w:eastAsia="zh-CN"/>
        </w:rPr>
        <w:t>行政审批局</w:t>
      </w:r>
      <w:r>
        <w:rPr>
          <w:rFonts w:hint="eastAsia" w:ascii="仿宋_GB2312" w:hAnsi="仿宋_GB2312" w:eastAsia="仿宋_GB2312" w:cs="仿宋_GB2312"/>
          <w:color w:val="auto"/>
          <w:sz w:val="32"/>
          <w:szCs w:val="32"/>
        </w:rPr>
        <w:t>；</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（2）网络提交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网址：http://zwfw.yn.gov.cn/portal/#/home “云南省政务服务网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2.提交时间：</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窗口提交：星期一至星期五上午9:00～12:00，下午13:00～17:00（法定节假日除外）。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网络提交：时间不限。</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（二）受理</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1.接受材料，对材料符合要求的，准予受理，并向申请人发送《受理通知书》。</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2.对申请材料不符合要求且可以通过补正达到要求的，当场或者在5日内向申请人发送《申请材料补正告知书》并一次性告知，逾期不告知的，自收到申请材料之日起即为受理。</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3.对申请材料不符合要求的，将作出不予受理的决定，并发出《不予受理决定书》。</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（三）审核</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受理后4个工作日内完成书面审查，自作出受理决定之日起 20个工作日内组织专家考核组完成现场考核。申请人应根据实施机关出具的《行政许可安全评估报告》做好现场考评的相关准备。</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（四）许可决定及送达方式</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自作出决定之日起 4日内，许可结果将在</w:t>
      </w:r>
      <w:r>
        <w:rPr>
          <w:rFonts w:hint="eastAsia" w:ascii="仿宋_GB2312" w:hAnsi="仿宋_GB2312" w:eastAsia="仿宋_GB2312" w:cs="仿宋_GB2312"/>
          <w:color w:val="auto"/>
          <w:sz w:val="32"/>
          <w:szCs w:val="32"/>
          <w:lang w:val="en-US" w:eastAsia="zh-CN"/>
        </w:rPr>
        <w:t>政府门户网站上</w:t>
      </w:r>
      <w:r>
        <w:rPr>
          <w:rFonts w:hint="eastAsia" w:ascii="仿宋_GB2312" w:hAnsi="仿宋_GB2312" w:eastAsia="仿宋_GB2312" w:cs="仿宋_GB2312"/>
          <w:color w:val="auto"/>
          <w:sz w:val="32"/>
          <w:szCs w:val="32"/>
        </w:rPr>
        <w:t>公开。</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办理结果：对许可通过的单位，颁发《交通行政许可证》。</w:t>
      </w:r>
    </w:p>
    <w:p>
      <w:pPr>
        <w:keepNext w:val="0"/>
        <w:keepLines w:val="0"/>
        <w:pageBreakBefore w:val="0"/>
        <w:widowControl w:val="0"/>
        <w:kinsoku/>
        <w:wordWrap/>
        <w:overflowPunct/>
        <w:topLinePunct w:val="0"/>
        <w:autoSpaceDE/>
        <w:autoSpaceDN/>
        <w:bidi w:val="0"/>
        <w:spacing w:line="48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对不予许可的单位，下发《不予行政许可决定书》。</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送达方式：到</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十一、许可服务</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b w:val="0"/>
          <w:bCs/>
          <w:color w:val="auto"/>
          <w:sz w:val="32"/>
          <w:szCs w:val="32"/>
        </w:rPr>
      </w:pPr>
      <w:r>
        <w:rPr>
          <w:rFonts w:hint="eastAsia" w:ascii="仿宋_GB2312" w:hAnsi="仿宋_GB2312" w:eastAsia="仿宋_GB2312" w:cs="仿宋_GB2312"/>
          <w:b w:val="0"/>
          <w:bCs/>
          <w:color w:val="auto"/>
          <w:sz w:val="32"/>
          <w:szCs w:val="32"/>
        </w:rPr>
        <w:t>（一）咨询</w:t>
      </w:r>
      <w:r>
        <w:rPr>
          <w:rFonts w:hint="eastAsia" w:ascii="宋体" w:hAnsi="宋体"/>
          <w:b w:val="0"/>
          <w:bCs/>
          <w:color w:val="auto"/>
          <w:sz w:val="32"/>
          <w:szCs w:val="32"/>
        </w:rPr>
        <w:t xml:space="preserve"> </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1.咨询方式</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（1）窗口咨询。</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（2）电话咨询。电话号码：(0871) 6</w:t>
      </w:r>
      <w:r>
        <w:rPr>
          <w:rFonts w:hint="eastAsia" w:ascii="仿宋_GB2312" w:hAnsi="仿宋_GB2312" w:eastAsia="仿宋_GB2312" w:cs="仿宋_GB2312"/>
          <w:color w:val="auto"/>
          <w:sz w:val="32"/>
          <w:szCs w:val="32"/>
          <w:lang w:val="en-US" w:eastAsia="zh-CN"/>
        </w:rPr>
        <w:t>6190385</w:t>
      </w:r>
    </w:p>
    <w:p>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网络咨询。http://zwfw.yn.gov.cn/portal/#/home “云南省政务服务网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2.咨询回复</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回复方式：窗口回复、电话回复、网络回复</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回复机构：昆明市官渡区行政审批局</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回复时限：窗口咨询和电话咨询当场回复；网络咨询自收到咨询件后3个工作日内回复。</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（二）办理进程查询</w:t>
      </w:r>
    </w:p>
    <w:p>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申请人可通过电话号码：(0871)6</w:t>
      </w:r>
      <w:r>
        <w:rPr>
          <w:rFonts w:hint="eastAsia" w:ascii="仿宋_GB2312" w:hAnsi="仿宋_GB2312" w:eastAsia="仿宋_GB2312" w:cs="仿宋_GB2312"/>
          <w:color w:val="auto"/>
          <w:sz w:val="32"/>
          <w:szCs w:val="32"/>
          <w:lang w:val="en-US" w:eastAsia="zh-CN"/>
        </w:rPr>
        <w:t>6190385</w:t>
      </w:r>
      <w:r>
        <w:rPr>
          <w:rFonts w:hint="eastAsia" w:ascii="仿宋_GB2312" w:hAnsi="仿宋_GB2312" w:eastAsia="仿宋_GB2312" w:cs="仿宋_GB2312"/>
          <w:color w:val="auto"/>
          <w:sz w:val="32"/>
          <w:szCs w:val="32"/>
        </w:rPr>
        <w:t>或 “云南省政务服务网 ”http://zwfw.yn.gov.cn/portal/#/home 查询审批事项办理进程。</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（三）监督投诉</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窗口投诉：</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电话投诉：(0871) 6</w:t>
      </w:r>
      <w:r>
        <w:rPr>
          <w:rFonts w:hint="eastAsia" w:ascii="仿宋_GB2312" w:hAnsi="仿宋_GB2312" w:eastAsia="仿宋_GB2312" w:cs="仿宋_GB2312"/>
          <w:color w:val="auto"/>
          <w:sz w:val="32"/>
          <w:szCs w:val="32"/>
          <w:lang w:val="en-US" w:eastAsia="zh-CN"/>
        </w:rPr>
        <w:t>6190385</w:t>
      </w:r>
    </w:p>
    <w:p>
      <w:pPr>
        <w:ind w:firstLine="640" w:firstLineChars="200"/>
        <w:rPr>
          <w:rFonts w:hint="eastAsia"/>
        </w:rPr>
      </w:pPr>
      <w:r>
        <w:rPr>
          <w:rFonts w:hint="eastAsia" w:ascii="仿宋_GB2312" w:hAnsi="仿宋_GB2312" w:eastAsia="仿宋_GB2312" w:cs="仿宋_GB2312"/>
          <w:color w:val="auto"/>
          <w:sz w:val="32"/>
          <w:szCs w:val="32"/>
        </w:rPr>
        <w:t xml:space="preserve">网上投诉：http://zwfw.yn.gov.cn/ </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（四）行政复议或行政诉讼</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民、法人或者其他组织认为具体行政行为侵犯其合法权益的，可以向官渡区行政审批局进行投诉，可以自知道该具体行政行为之日起六十日内向官渡区人民政府或官渡区行政审批局提出行政复议，或应当自知道或应当知道作出行政行为之日起六个月内依法向有管辖权限的人民法院提起行政诉讼。</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行政复议机关名称：昆明市官渡区人民政府。</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地址：官渡区云秀路2898号。</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联系方式：(0871)67152522。</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诉讼机关：昆明市官渡区人民法院。</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地址：昆明市官渡区雨龙路1619号。</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联系方式：（0871）67275888。</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kinsoku w:val="0"/>
        <w:overflowPunct w:val="0"/>
        <w:spacing w:line="400" w:lineRule="exact"/>
        <w:jc w:val="both"/>
        <w:rPr>
          <w:rFonts w:hint="eastAsia" w:ascii="黑体" w:hAnsi="黑体" w:eastAsia="黑体"/>
          <w:color w:val="auto"/>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 xml:space="preserve">1  </w:t>
      </w:r>
      <w:r>
        <w:rPr>
          <w:rFonts w:hint="eastAsia" w:ascii="黑体" w:hAnsi="黑体" w:eastAsia="黑体"/>
          <w:color w:val="auto"/>
          <w:sz w:val="28"/>
          <w:szCs w:val="28"/>
          <w:lang w:val="en-US" w:eastAsia="zh-CN"/>
        </w:rPr>
        <w:t>行政许可事项办件</w:t>
      </w:r>
      <w:r>
        <w:rPr>
          <w:rFonts w:hint="eastAsia" w:ascii="黑体" w:hAnsi="黑体" w:eastAsia="黑体"/>
          <w:color w:val="auto"/>
          <w:sz w:val="28"/>
          <w:szCs w:val="28"/>
        </w:rPr>
        <w:t>流程图</w:t>
      </w:r>
    </w:p>
    <w:p>
      <w:pPr>
        <w:kinsoku w:val="0"/>
        <w:overflowPunct w:val="0"/>
        <w:spacing w:line="400" w:lineRule="exact"/>
        <w:jc w:val="both"/>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附件2  申请书</w:t>
      </w:r>
    </w:p>
    <w:p>
      <w:pPr>
        <w:jc w:val="both"/>
        <w:rPr>
          <w:rFonts w:ascii="黑体" w:hAnsi="黑体" w:eastAsia="黑体"/>
          <w:sz w:val="28"/>
          <w:szCs w:val="28"/>
        </w:rPr>
      </w:pPr>
    </w:p>
    <w:p>
      <w:pPr>
        <w:jc w:val="both"/>
        <w:rPr>
          <w:rFonts w:ascii="黑体" w:hAnsi="黑体" w:eastAsia="黑体"/>
          <w:sz w:val="28"/>
          <w:szCs w:val="28"/>
        </w:rPr>
      </w:pPr>
    </w:p>
    <w:p>
      <w:pPr>
        <w:jc w:val="both"/>
        <w:rPr>
          <w:rFonts w:ascii="黑体" w:hAnsi="黑体" w:eastAsia="黑体"/>
          <w:sz w:val="28"/>
          <w:szCs w:val="28"/>
        </w:rPr>
      </w:pPr>
    </w:p>
    <w:p>
      <w:pPr>
        <w:jc w:val="both"/>
        <w:rPr>
          <w:rFonts w:ascii="黑体" w:hAnsi="黑体" w:eastAsia="黑体"/>
          <w:sz w:val="28"/>
          <w:szCs w:val="28"/>
        </w:rPr>
      </w:pPr>
    </w:p>
    <w:p>
      <w:pPr>
        <w:jc w:val="both"/>
        <w:rPr>
          <w:rFonts w:ascii="黑体" w:hAnsi="黑体" w:eastAsia="黑体"/>
          <w:sz w:val="28"/>
          <w:szCs w:val="28"/>
        </w:rPr>
      </w:pPr>
    </w:p>
    <w:p>
      <w:pPr>
        <w:jc w:val="both"/>
        <w:rPr>
          <w:rFonts w:ascii="黑体" w:hAnsi="黑体" w:eastAsia="黑体"/>
          <w:sz w:val="28"/>
          <w:szCs w:val="28"/>
        </w:rPr>
      </w:pPr>
      <w:bookmarkStart w:id="0" w:name="_GoBack"/>
      <w:bookmarkEnd w:id="0"/>
    </w:p>
    <w:p>
      <w:pPr>
        <w:jc w:val="both"/>
        <w:rPr>
          <w:rFonts w:ascii="黑体" w:hAnsi="黑体" w:eastAsia="黑体"/>
          <w:sz w:val="28"/>
          <w:szCs w:val="28"/>
        </w:rPr>
      </w:pPr>
    </w:p>
    <w:p>
      <w:pPr>
        <w:jc w:val="both"/>
        <w:rPr>
          <w:rFonts w:ascii="黑体" w:hAnsi="黑体" w:eastAsia="黑体"/>
          <w:sz w:val="28"/>
          <w:szCs w:val="28"/>
        </w:rPr>
      </w:pPr>
    </w:p>
    <w:p>
      <w:pPr>
        <w:jc w:val="both"/>
        <w:rPr>
          <w:rFonts w:hint="eastAsia" w:ascii="黑体" w:hAnsi="黑体" w:eastAsia="黑体"/>
          <w:color w:val="auto"/>
          <w:sz w:val="28"/>
          <w:szCs w:val="28"/>
        </w:rPr>
      </w:pPr>
      <w:r>
        <w:rPr>
          <w:rFonts w:hint="eastAsia" w:ascii="黑体" w:hAnsi="黑体" w:eastAsia="黑体"/>
          <w:sz w:val="24"/>
          <w:szCs w:val="24"/>
        </w:rPr>
        <w:t>附件</w:t>
      </w:r>
      <w:r>
        <w:rPr>
          <w:rFonts w:hint="eastAsia" w:ascii="黑体" w:hAnsi="黑体" w:eastAsia="黑体"/>
          <w:sz w:val="24"/>
          <w:szCs w:val="24"/>
          <w:lang w:val="en-US" w:eastAsia="zh-CN"/>
        </w:rPr>
        <w:t xml:space="preserve">1 </w:t>
      </w:r>
      <w:r>
        <w:rPr>
          <w:rFonts w:hint="eastAsia" w:ascii="黑体" w:hAnsi="黑体" w:eastAsia="黑体"/>
          <w:sz w:val="28"/>
          <w:szCs w:val="28"/>
          <w:lang w:val="en-US" w:eastAsia="zh-CN"/>
        </w:rPr>
        <w:t xml:space="preserve">  </w:t>
      </w:r>
    </w:p>
    <w:p>
      <w:r>
        <w:rPr>
          <w:rFonts w:hint="eastAsia" w:ascii="方正小标宋简体" w:hAnsi="方正小标宋简体" w:eastAsia="方正小标宋简体" w:cs="方正小标宋简体"/>
          <w:b w:val="0"/>
          <w:bCs w:val="0"/>
          <w:sz w:val="44"/>
          <w:szCs w:val="44"/>
          <w:lang w:val="en-US" w:eastAsia="zh-CN"/>
        </w:rPr>
        <w:pict>
          <v:shape id="图片 57" o:spid="_x0000_s7482" o:spt="75" alt="123456" type="#_x0000_t75" style="position:absolute;left:0pt;margin-left:-26.9pt;margin-top:8.3pt;height:572.25pt;width:482.4pt;mso-wrap-distance-bottom:0pt;mso-wrap-distance-left:9pt;mso-wrap-distance-right:9pt;mso-wrap-distance-top:0pt;z-index:251661312;mso-width-relative:page;mso-height-relative:page;" filled="f" o:preferrelative="t" stroked="f" coordsize="21600,21600">
            <v:path/>
            <v:fill on="f" focussize="0,0"/>
            <v:stroke on="f"/>
            <v:imagedata r:id="rId7" o:title="123456"/>
            <o:lock v:ext="edit" aspectratio="t"/>
            <w10:wrap type="square"/>
          </v:shape>
        </w:pict>
      </w:r>
    </w:p>
    <w:p>
      <w:pPr>
        <w:jc w:val="center"/>
      </w:pPr>
    </w:p>
    <w:p>
      <w:pPr>
        <w:jc w:val="center"/>
      </w:pPr>
    </w:p>
    <w:p>
      <w:pPr>
        <w:jc w:val="center"/>
      </w:pPr>
    </w:p>
    <w:p>
      <w:pPr>
        <w:jc w:val="both"/>
        <w:rPr>
          <w:rFonts w:hint="eastAsia" w:ascii="黑体" w:hAnsi="黑体" w:eastAsia="黑体" w:cs="黑体"/>
          <w:sz w:val="24"/>
          <w:szCs w:val="24"/>
          <w:lang w:val="en-US" w:eastAsia="zh-CN"/>
        </w:rPr>
      </w:pPr>
    </w:p>
    <w:p>
      <w:pPr>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附件2</w:t>
      </w:r>
    </w:p>
    <w:p>
      <w:pPr>
        <w:jc w:val="center"/>
      </w:pPr>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025"/>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top"/>
          </w:tcPr>
          <w:p>
            <w:pPr>
              <w:jc w:val="center"/>
              <w:rPr>
                <w:b/>
                <w:sz w:val="24"/>
                <w:szCs w:val="24"/>
              </w:rPr>
            </w:pPr>
            <w:r>
              <w:rPr>
                <w:rFonts w:hint="eastAsia"/>
                <w:b/>
                <w:sz w:val="24"/>
                <w:szCs w:val="24"/>
                <w:lang w:eastAsia="zh-CN"/>
              </w:rPr>
              <w:t>交通</w:t>
            </w:r>
            <w:r>
              <w:rPr>
                <w:rFonts w:hint="eastAsia"/>
                <w:b/>
                <w:sz w:val="24"/>
                <w:szCs w:val="24"/>
              </w:rPr>
              <w:t>行政许可申请书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restart"/>
            <w:tcBorders>
              <w:right w:val="single" w:color="auto" w:sz="4" w:space="0"/>
            </w:tcBorders>
            <w:vAlign w:val="top"/>
          </w:tcPr>
          <w:p>
            <w:pPr>
              <w:jc w:val="center"/>
            </w:pPr>
            <w:r>
              <w:rPr>
                <w:rFonts w:hint="eastAsia"/>
              </w:rPr>
              <w:t>申请</w:t>
            </w:r>
            <w:r>
              <w:rPr>
                <w:rFonts w:hint="eastAsia"/>
                <w:lang w:eastAsia="zh-CN"/>
              </w:rPr>
              <w:t>人</w:t>
            </w:r>
          </w:p>
          <w:p>
            <w:pPr>
              <w:jc w:val="center"/>
            </w:pPr>
            <w:r>
              <w:rPr>
                <w:rFonts w:hint="eastAsia"/>
              </w:rPr>
              <w:t>（及法定代表人）</w:t>
            </w:r>
          </w:p>
          <w:p>
            <w:pPr>
              <w:jc w:val="center"/>
            </w:pPr>
            <w:r>
              <w:rPr>
                <w:rFonts w:hint="eastAsia"/>
              </w:rPr>
              <w:t>名称</w:t>
            </w:r>
          </w:p>
        </w:tc>
        <w:tc>
          <w:tcPr>
            <w:tcW w:w="2025" w:type="dxa"/>
            <w:vMerge w:val="restart"/>
            <w:tcBorders>
              <w:left w:val="single" w:color="auto" w:sz="4" w:space="0"/>
            </w:tcBorders>
            <w:vAlign w:val="top"/>
          </w:tcPr>
          <w:p>
            <w:pPr>
              <w:widowControl/>
              <w:jc w:val="left"/>
              <w:rPr>
                <w:rFonts w:ascii="仿宋" w:hAnsi="仿宋" w:eastAsia="仿宋"/>
              </w:rPr>
            </w:pPr>
          </w:p>
        </w:tc>
        <w:tc>
          <w:tcPr>
            <w:tcW w:w="2131" w:type="dxa"/>
            <w:vAlign w:val="top"/>
          </w:tcPr>
          <w:p>
            <w:r>
              <w:rPr>
                <w:rFonts w:hint="eastAsia"/>
              </w:rPr>
              <w:t>联系人姓名</w:t>
            </w:r>
          </w:p>
        </w:tc>
        <w:tc>
          <w:tcPr>
            <w:tcW w:w="2131" w:type="dxa"/>
            <w:vAlign w:val="top"/>
          </w:tcPr>
          <w:p>
            <w:pP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tc>
        <w:tc>
          <w:tcPr>
            <w:tcW w:w="2025" w:type="dxa"/>
            <w:vMerge w:val="continue"/>
            <w:tcBorders>
              <w:left w:val="single" w:color="auto" w:sz="4" w:space="0"/>
            </w:tcBorders>
            <w:vAlign w:val="top"/>
          </w:tcPr>
          <w:p/>
        </w:tc>
        <w:tc>
          <w:tcPr>
            <w:tcW w:w="2131" w:type="dxa"/>
            <w:vAlign w:val="top"/>
          </w:tcPr>
          <w:p>
            <w:r>
              <w:rPr>
                <w:rFonts w:hint="eastAsia"/>
              </w:rPr>
              <w:t>联系人电话</w:t>
            </w:r>
          </w:p>
        </w:tc>
        <w:tc>
          <w:tcPr>
            <w:tcW w:w="2131" w:type="dxa"/>
            <w:vAlign w:val="top"/>
          </w:tcPr>
          <w:p>
            <w:pP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tc>
        <w:tc>
          <w:tcPr>
            <w:tcW w:w="2025" w:type="dxa"/>
            <w:vMerge w:val="continue"/>
            <w:tcBorders>
              <w:left w:val="single" w:color="auto" w:sz="4" w:space="0"/>
            </w:tcBorders>
            <w:vAlign w:val="top"/>
          </w:tcPr>
          <w:p/>
        </w:tc>
        <w:tc>
          <w:tcPr>
            <w:tcW w:w="2131" w:type="dxa"/>
            <w:vAlign w:val="top"/>
          </w:tcPr>
          <w:p>
            <w:pPr>
              <w:jc w:val="left"/>
            </w:pPr>
            <w:r>
              <w:rPr>
                <w:rFonts w:hint="eastAsia"/>
              </w:rPr>
              <w:t>联系人手机</w:t>
            </w:r>
          </w:p>
        </w:tc>
        <w:tc>
          <w:tcPr>
            <w:tcW w:w="2131" w:type="dxa"/>
            <w:vAlign w:val="top"/>
          </w:tcPr>
          <w:p>
            <w:pPr>
              <w:rPr>
                <w:rStyle w:val="19"/>
                <w:rFonts w:ascii="仿宋" w:hAnsi="仿宋" w:eastAsia="仿宋"/>
                <w:i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restart"/>
            <w:tcBorders>
              <w:right w:val="single" w:color="auto" w:sz="4" w:space="0"/>
            </w:tcBorders>
            <w:vAlign w:val="top"/>
          </w:tcPr>
          <w:p>
            <w:pPr>
              <w:jc w:val="both"/>
              <w:rPr>
                <w:rFonts w:hint="eastAsia"/>
              </w:rPr>
            </w:pPr>
          </w:p>
          <w:p>
            <w:pPr>
              <w:jc w:val="center"/>
            </w:pPr>
            <w:r>
              <w:rPr>
                <w:rFonts w:hint="eastAsia"/>
              </w:rPr>
              <w:t>申请人（法定代表人</w:t>
            </w:r>
          </w:p>
          <w:p>
            <w:pPr>
              <w:jc w:val="center"/>
            </w:pPr>
            <w:r>
              <w:rPr>
                <w:rFonts w:hint="eastAsia"/>
              </w:rPr>
              <w:t>）住址</w:t>
            </w:r>
          </w:p>
        </w:tc>
        <w:tc>
          <w:tcPr>
            <w:tcW w:w="2025" w:type="dxa"/>
            <w:vMerge w:val="restart"/>
            <w:tcBorders>
              <w:left w:val="single" w:color="auto" w:sz="4" w:space="0"/>
            </w:tcBorders>
            <w:vAlign w:val="top"/>
          </w:tcPr>
          <w:p>
            <w:pPr>
              <w:widowControl/>
              <w:jc w:val="left"/>
              <w:rPr>
                <w:rFonts w:ascii="仿宋" w:hAnsi="仿宋" w:eastAsia="仿宋"/>
                <w:szCs w:val="21"/>
              </w:rPr>
            </w:pPr>
          </w:p>
        </w:tc>
        <w:tc>
          <w:tcPr>
            <w:tcW w:w="2131" w:type="dxa"/>
            <w:vAlign w:val="top"/>
          </w:tcPr>
          <w:p>
            <w:r>
              <w:rPr>
                <w:rFonts w:hint="eastAsia"/>
              </w:rPr>
              <w:t>统一社会信用代码</w:t>
            </w:r>
          </w:p>
        </w:tc>
        <w:tc>
          <w:tcPr>
            <w:tcW w:w="2131" w:type="dxa"/>
            <w:vAlign w:val="top"/>
          </w:tcPr>
          <w:p>
            <w:pPr>
              <w:rPr>
                <w:rFonts w:ascii="华文楷体" w:hAnsi="华文楷体" w:eastAsia="华文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tc>
        <w:tc>
          <w:tcPr>
            <w:tcW w:w="2025" w:type="dxa"/>
            <w:vMerge w:val="continue"/>
            <w:tcBorders>
              <w:left w:val="single" w:color="auto" w:sz="4" w:space="0"/>
            </w:tcBorders>
            <w:vAlign w:val="top"/>
          </w:tcPr>
          <w:p/>
        </w:tc>
        <w:tc>
          <w:tcPr>
            <w:tcW w:w="2131" w:type="dxa"/>
            <w:vAlign w:val="top"/>
          </w:tcPr>
          <w:p>
            <w:r>
              <w:rPr>
                <w:rFonts w:hint="eastAsia"/>
              </w:rPr>
              <w:t>Email</w:t>
            </w:r>
          </w:p>
        </w:tc>
        <w:tc>
          <w:tcPr>
            <w:tcW w:w="2131"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tc>
        <w:tc>
          <w:tcPr>
            <w:tcW w:w="2025" w:type="dxa"/>
            <w:vMerge w:val="continue"/>
            <w:tcBorders>
              <w:left w:val="single" w:color="auto" w:sz="4" w:space="0"/>
            </w:tcBorders>
            <w:vAlign w:val="top"/>
          </w:tcPr>
          <w:p/>
        </w:tc>
        <w:tc>
          <w:tcPr>
            <w:tcW w:w="2131" w:type="dxa"/>
            <w:vAlign w:val="top"/>
          </w:tcPr>
          <w:p>
            <w:r>
              <w:rPr>
                <w:rFonts w:hint="eastAsia"/>
              </w:rPr>
              <w:t>传真</w:t>
            </w:r>
          </w:p>
        </w:tc>
        <w:tc>
          <w:tcPr>
            <w:tcW w:w="2131"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tc>
        <w:tc>
          <w:tcPr>
            <w:tcW w:w="2025" w:type="dxa"/>
            <w:vMerge w:val="continue"/>
            <w:tcBorders>
              <w:left w:val="single" w:color="auto" w:sz="4" w:space="0"/>
            </w:tcBorders>
            <w:vAlign w:val="top"/>
          </w:tcPr>
          <w:p/>
        </w:tc>
        <w:tc>
          <w:tcPr>
            <w:tcW w:w="2131" w:type="dxa"/>
            <w:vAlign w:val="top"/>
          </w:tcPr>
          <w:p>
            <w:r>
              <w:rPr>
                <w:rFonts w:hint="eastAsia"/>
              </w:rPr>
              <w:t>法定代表人居民身</w:t>
            </w:r>
          </w:p>
          <w:p>
            <w:r>
              <w:rPr>
                <w:rFonts w:hint="eastAsia"/>
              </w:rPr>
              <w:t>份证号</w:t>
            </w:r>
          </w:p>
        </w:tc>
        <w:tc>
          <w:tcPr>
            <w:tcW w:w="2131"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top"/>
          </w:tcPr>
          <w:p>
            <w:r>
              <w:rPr>
                <w:rFonts w:hint="eastAsia"/>
              </w:rPr>
              <w:t>实施地点线路（包括公里桩号及左、右侧位置）：</w:t>
            </w:r>
          </w:p>
          <w:p>
            <w:pPr>
              <w:rPr>
                <w:rFonts w:ascii="仿宋" w:hAnsi="仿宋" w:eastAsia="仿宋"/>
              </w:rPr>
            </w:pP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jc w:val="center"/>
        </w:trPr>
        <w:tc>
          <w:tcPr>
            <w:tcW w:w="8522" w:type="dxa"/>
            <w:gridSpan w:val="4"/>
            <w:vAlign w:val="top"/>
          </w:tcPr>
          <w:p>
            <w:r>
              <w:rPr>
                <w:rFonts w:hint="eastAsia"/>
              </w:rPr>
              <w:t>申请许可理由：</w:t>
            </w:r>
          </w:p>
          <w:p>
            <w:pPr>
              <w:rPr>
                <w:rFonts w:ascii="仿宋" w:hAnsi="仿宋" w:eastAsia="仿宋"/>
              </w:rPr>
            </w:pPr>
          </w:p>
          <w:p>
            <w:pPr>
              <w:rPr>
                <w:rFonts w:ascii="华文楷体" w:hAnsi="华文楷体" w:eastAsia="华文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top"/>
          </w:tcPr>
          <w:p>
            <w:r>
              <w:rPr>
                <w:rFonts w:hint="eastAsia"/>
              </w:rPr>
              <w:t>申请人应提交材料：</w:t>
            </w:r>
          </w:p>
          <w:p>
            <w:pPr>
              <w:numPr>
                <w:ilvl w:val="0"/>
                <w:numId w:val="1"/>
              </w:numPr>
              <w:rPr>
                <w:rFonts w:hint="eastAsia"/>
                <w:lang w:val="en-US" w:eastAsia="zh-CN"/>
              </w:rPr>
            </w:pPr>
            <w:r>
              <w:rPr>
                <w:rFonts w:hint="eastAsia"/>
              </w:rPr>
              <w:t>申请（主要理由、地点（公路名称、起止桩号及公路边坡外缘或者公路界桩的距离）施工期</w:t>
            </w:r>
            <w:r>
              <w:rPr>
                <w:rFonts w:hint="eastAsia"/>
                <w:lang w:eastAsia="zh-CN"/>
              </w:rPr>
              <w:t>）</w:t>
            </w:r>
          </w:p>
          <w:p>
            <w:pPr>
              <w:numPr>
                <w:ilvl w:val="0"/>
                <w:numId w:val="0"/>
              </w:numPr>
              <w:rPr>
                <w:rFonts w:hint="eastAsia"/>
                <w:lang w:eastAsia="zh-CN"/>
              </w:rPr>
            </w:pPr>
            <w:r>
              <w:rPr>
                <w:rFonts w:hint="eastAsia"/>
                <w:lang w:val="en-US" w:eastAsia="zh-CN"/>
              </w:rPr>
              <w:t>2.</w:t>
            </w:r>
            <w:r>
              <w:rPr>
                <w:rFonts w:hint="eastAsia"/>
              </w:rPr>
              <w:t>由代理人申请的，提供建设单位、个人授权委托书</w:t>
            </w:r>
            <w:r>
              <w:rPr>
                <w:rFonts w:hint="eastAsia"/>
                <w:lang w:eastAsia="zh-CN"/>
              </w:rPr>
              <w:t>；</w:t>
            </w:r>
          </w:p>
          <w:p>
            <w:r>
              <w:rPr>
                <w:rFonts w:hint="eastAsia"/>
                <w:lang w:val="en-US" w:eastAsia="zh-CN"/>
              </w:rPr>
              <w:t>3.</w:t>
            </w:r>
            <w:r>
              <w:rPr>
                <w:rFonts w:hint="eastAsia"/>
              </w:rPr>
              <w:t>符合有关技术标准、规范要求的设计和</w:t>
            </w:r>
            <w:r>
              <w:rPr>
                <w:rFonts w:hint="eastAsia"/>
                <w:lang w:eastAsia="zh-CN"/>
              </w:rPr>
              <w:t>施工方案</w:t>
            </w:r>
            <w:r>
              <w:rPr>
                <w:rFonts w:hint="eastAsia"/>
              </w:rPr>
              <w:t>（工程简介、具体作业地点、计划进度与施工期限、与公路有关的详细图纸、对公路及附属设施的安全保障措施等）</w:t>
            </w:r>
            <w:r>
              <w:rPr>
                <w:rFonts w:hint="eastAsia"/>
                <w:lang w:eastAsia="zh-CN"/>
              </w:rPr>
              <w:t>；</w:t>
            </w:r>
          </w:p>
          <w:p>
            <w:r>
              <w:rPr>
                <w:rFonts w:hint="eastAsia"/>
                <w:lang w:val="en-US" w:eastAsia="zh-CN"/>
              </w:rPr>
              <w:t>4.</w:t>
            </w:r>
            <w:r>
              <w:rPr>
                <w:rFonts w:hint="eastAsia"/>
              </w:rPr>
              <w:t>处置施工险情和意外事故的应急方案</w:t>
            </w:r>
            <w:r>
              <w:rPr>
                <w:rFonts w:hint="eastAsia"/>
                <w:lang w:eastAsia="zh-CN"/>
              </w:rPr>
              <w:t>；</w:t>
            </w:r>
          </w:p>
          <w:p>
            <w:r>
              <w:rPr>
                <w:rFonts w:hint="eastAsia"/>
                <w:lang w:val="en-US" w:eastAsia="zh-CN"/>
              </w:rPr>
              <w:t>5.</w:t>
            </w:r>
            <w:r>
              <w:rPr>
                <w:rFonts w:hint="eastAsia"/>
              </w:rPr>
              <w:t>关于保障公路、公路附属设施质量和安全的技术评价报告</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top"/>
          </w:tcPr>
          <w:p>
            <w:r>
              <w:rPr>
                <w:rFonts w:hint="eastAsia"/>
              </w:rPr>
              <w:t>申请人提交的材料：</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vAlign w:val="top"/>
          </w:tcPr>
          <w:p>
            <w:r>
              <w:rPr>
                <w:rFonts w:hint="eastAsia"/>
              </w:rPr>
              <w:t>申请人签字（盖章）：</w:t>
            </w:r>
          </w:p>
          <w:p/>
          <w:p/>
        </w:tc>
      </w:tr>
    </w:tbl>
    <w:p>
      <w:pPr>
        <w:jc w:val="both"/>
        <w:sectPr>
          <w:headerReference r:id="rId5" w:type="default"/>
          <w:pgSz w:w="11906" w:h="16838"/>
          <w:pgMar w:top="1701" w:right="1361" w:bottom="1587" w:left="1361" w:header="851" w:footer="851" w:gutter="0"/>
          <w:pgNumType w:fmt="numberInDash" w:start="1"/>
          <w:cols w:space="720" w:num="1"/>
          <w:docGrid w:type="lines" w:linePitch="312" w:charSpace="0"/>
        </w:sectPr>
      </w:pPr>
    </w:p>
    <w:p>
      <w:pPr>
        <w:jc w:val="left"/>
      </w:pPr>
    </w:p>
    <w:sectPr>
      <w:pgSz w:w="11906" w:h="16838"/>
      <w:pgMar w:top="1701" w:right="1418" w:bottom="1418" w:left="1701" w:header="851" w:footer="851"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769" w:y="51"/>
      <w:jc w:val="right"/>
      <w:rPr>
        <w:rStyle w:val="18"/>
        <w:rFonts w:ascii="宋体" w:hAnsi="宋体"/>
      </w:rPr>
    </w:pPr>
    <w:r>
      <w:rPr>
        <w:rStyle w:val="18"/>
        <w:rFonts w:ascii="宋体" w:hAnsi="宋体"/>
      </w:rPr>
      <w:fldChar w:fldCharType="begin"/>
    </w:r>
    <w:r>
      <w:rPr>
        <w:rStyle w:val="18"/>
        <w:rFonts w:ascii="宋体" w:hAnsi="宋体"/>
      </w:rPr>
      <w:instrText xml:space="preserve">PAGE  </w:instrText>
    </w:r>
    <w:r>
      <w:rPr>
        <w:rStyle w:val="18"/>
        <w:rFonts w:ascii="宋体" w:hAnsi="宋体"/>
      </w:rPr>
      <w:fldChar w:fldCharType="separate"/>
    </w:r>
    <w:r>
      <w:rPr>
        <w:rStyle w:val="18"/>
        <w:rFonts w:ascii="宋体" w:hAnsi="宋体"/>
      </w:rPr>
      <w:t>- 4 -</w:t>
    </w:r>
    <w:r>
      <w:rPr>
        <w:rStyle w:val="18"/>
        <w:rFonts w:ascii="宋体" w:hAnsi="宋体"/>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E10F8"/>
    <w:multiLevelType w:val="singleLevel"/>
    <w:tmpl w:val="5CDE10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135C"/>
    <w:rsid w:val="00034E9D"/>
    <w:rsid w:val="00051C59"/>
    <w:rsid w:val="0005450E"/>
    <w:rsid w:val="00061751"/>
    <w:rsid w:val="00066FB8"/>
    <w:rsid w:val="00075964"/>
    <w:rsid w:val="00091E2C"/>
    <w:rsid w:val="000959CB"/>
    <w:rsid w:val="000A3AD0"/>
    <w:rsid w:val="000A7AEA"/>
    <w:rsid w:val="000C4AE5"/>
    <w:rsid w:val="000D122C"/>
    <w:rsid w:val="000E6C44"/>
    <w:rsid w:val="000F13B7"/>
    <w:rsid w:val="000F398B"/>
    <w:rsid w:val="000F4F7A"/>
    <w:rsid w:val="00103824"/>
    <w:rsid w:val="00107AD4"/>
    <w:rsid w:val="00110C7D"/>
    <w:rsid w:val="001209B5"/>
    <w:rsid w:val="001230CD"/>
    <w:rsid w:val="00124D78"/>
    <w:rsid w:val="00125C11"/>
    <w:rsid w:val="00137FBE"/>
    <w:rsid w:val="00145F38"/>
    <w:rsid w:val="00146B0E"/>
    <w:rsid w:val="001542B0"/>
    <w:rsid w:val="0015434E"/>
    <w:rsid w:val="001647A5"/>
    <w:rsid w:val="00172A27"/>
    <w:rsid w:val="00173479"/>
    <w:rsid w:val="0018691D"/>
    <w:rsid w:val="0019218C"/>
    <w:rsid w:val="00193035"/>
    <w:rsid w:val="001A2DC1"/>
    <w:rsid w:val="001A47B0"/>
    <w:rsid w:val="001A6B09"/>
    <w:rsid w:val="001B380D"/>
    <w:rsid w:val="001C72AA"/>
    <w:rsid w:val="001D0B44"/>
    <w:rsid w:val="001F41BA"/>
    <w:rsid w:val="001F46A3"/>
    <w:rsid w:val="001F5547"/>
    <w:rsid w:val="002056C1"/>
    <w:rsid w:val="002079EB"/>
    <w:rsid w:val="00214AF9"/>
    <w:rsid w:val="0023704B"/>
    <w:rsid w:val="002440F8"/>
    <w:rsid w:val="0024411E"/>
    <w:rsid w:val="002646D9"/>
    <w:rsid w:val="00270DB9"/>
    <w:rsid w:val="002814D9"/>
    <w:rsid w:val="00281866"/>
    <w:rsid w:val="002853AF"/>
    <w:rsid w:val="00285FF9"/>
    <w:rsid w:val="00287768"/>
    <w:rsid w:val="00290A6B"/>
    <w:rsid w:val="00292C5B"/>
    <w:rsid w:val="002A4799"/>
    <w:rsid w:val="002A745F"/>
    <w:rsid w:val="002B4A50"/>
    <w:rsid w:val="002C122A"/>
    <w:rsid w:val="002C3FFD"/>
    <w:rsid w:val="002C7D0D"/>
    <w:rsid w:val="002D7AED"/>
    <w:rsid w:val="002E0B82"/>
    <w:rsid w:val="002F077B"/>
    <w:rsid w:val="002F3BF9"/>
    <w:rsid w:val="003004F8"/>
    <w:rsid w:val="003007B0"/>
    <w:rsid w:val="00314A44"/>
    <w:rsid w:val="00317C0A"/>
    <w:rsid w:val="00330529"/>
    <w:rsid w:val="00332D61"/>
    <w:rsid w:val="0033799C"/>
    <w:rsid w:val="00341335"/>
    <w:rsid w:val="00350C5B"/>
    <w:rsid w:val="00354EC3"/>
    <w:rsid w:val="0036174B"/>
    <w:rsid w:val="00363C73"/>
    <w:rsid w:val="00371B13"/>
    <w:rsid w:val="00372763"/>
    <w:rsid w:val="00376D22"/>
    <w:rsid w:val="003850F3"/>
    <w:rsid w:val="00391B0E"/>
    <w:rsid w:val="0039613D"/>
    <w:rsid w:val="003962F3"/>
    <w:rsid w:val="003A22DE"/>
    <w:rsid w:val="003A7BF3"/>
    <w:rsid w:val="003B4F98"/>
    <w:rsid w:val="003B693B"/>
    <w:rsid w:val="003D3AE5"/>
    <w:rsid w:val="003D3C3E"/>
    <w:rsid w:val="003D4302"/>
    <w:rsid w:val="003F1DC3"/>
    <w:rsid w:val="003F5A24"/>
    <w:rsid w:val="003F7B22"/>
    <w:rsid w:val="004019D1"/>
    <w:rsid w:val="0042024F"/>
    <w:rsid w:val="0042438E"/>
    <w:rsid w:val="00430C8F"/>
    <w:rsid w:val="00431FB2"/>
    <w:rsid w:val="004458A8"/>
    <w:rsid w:val="00483F30"/>
    <w:rsid w:val="00497B9E"/>
    <w:rsid w:val="004A5D1A"/>
    <w:rsid w:val="004A70E1"/>
    <w:rsid w:val="004B4D6B"/>
    <w:rsid w:val="004C2681"/>
    <w:rsid w:val="004D4A8F"/>
    <w:rsid w:val="004D4B83"/>
    <w:rsid w:val="004D5EA8"/>
    <w:rsid w:val="004E3895"/>
    <w:rsid w:val="004F179F"/>
    <w:rsid w:val="004F50A8"/>
    <w:rsid w:val="004F6550"/>
    <w:rsid w:val="00503653"/>
    <w:rsid w:val="00520E38"/>
    <w:rsid w:val="00552DAE"/>
    <w:rsid w:val="00556142"/>
    <w:rsid w:val="005567B4"/>
    <w:rsid w:val="00570AB9"/>
    <w:rsid w:val="005802D3"/>
    <w:rsid w:val="00582DD0"/>
    <w:rsid w:val="00592896"/>
    <w:rsid w:val="005944B0"/>
    <w:rsid w:val="005B3AD1"/>
    <w:rsid w:val="005B3C0B"/>
    <w:rsid w:val="005B6C3A"/>
    <w:rsid w:val="005D3D3B"/>
    <w:rsid w:val="005D4A31"/>
    <w:rsid w:val="00616F3C"/>
    <w:rsid w:val="00624DE4"/>
    <w:rsid w:val="0062580F"/>
    <w:rsid w:val="00632BC2"/>
    <w:rsid w:val="00635845"/>
    <w:rsid w:val="00643441"/>
    <w:rsid w:val="00646E88"/>
    <w:rsid w:val="00650F82"/>
    <w:rsid w:val="00653A95"/>
    <w:rsid w:val="00660349"/>
    <w:rsid w:val="0066463F"/>
    <w:rsid w:val="00665ED7"/>
    <w:rsid w:val="00677055"/>
    <w:rsid w:val="006773E9"/>
    <w:rsid w:val="00681591"/>
    <w:rsid w:val="00681911"/>
    <w:rsid w:val="00681F43"/>
    <w:rsid w:val="0068236A"/>
    <w:rsid w:val="00687B58"/>
    <w:rsid w:val="00691063"/>
    <w:rsid w:val="0069223B"/>
    <w:rsid w:val="006926CB"/>
    <w:rsid w:val="006929EF"/>
    <w:rsid w:val="0069719B"/>
    <w:rsid w:val="006A26B4"/>
    <w:rsid w:val="006C23E7"/>
    <w:rsid w:val="006C248B"/>
    <w:rsid w:val="006C7BB9"/>
    <w:rsid w:val="006D5C0B"/>
    <w:rsid w:val="006F0EDB"/>
    <w:rsid w:val="006F532E"/>
    <w:rsid w:val="0071393F"/>
    <w:rsid w:val="00716C73"/>
    <w:rsid w:val="007275A9"/>
    <w:rsid w:val="00746CA3"/>
    <w:rsid w:val="00750B5F"/>
    <w:rsid w:val="00751618"/>
    <w:rsid w:val="007530E6"/>
    <w:rsid w:val="00771FBD"/>
    <w:rsid w:val="00776DB3"/>
    <w:rsid w:val="00783932"/>
    <w:rsid w:val="00783A19"/>
    <w:rsid w:val="00785148"/>
    <w:rsid w:val="00792E24"/>
    <w:rsid w:val="007B2687"/>
    <w:rsid w:val="007B5D9E"/>
    <w:rsid w:val="007B63F9"/>
    <w:rsid w:val="007D0C5D"/>
    <w:rsid w:val="007D3ED2"/>
    <w:rsid w:val="007E0C8E"/>
    <w:rsid w:val="007F0369"/>
    <w:rsid w:val="007F1D1D"/>
    <w:rsid w:val="007F53AC"/>
    <w:rsid w:val="00814107"/>
    <w:rsid w:val="00814546"/>
    <w:rsid w:val="00815BEE"/>
    <w:rsid w:val="00816C64"/>
    <w:rsid w:val="00817A9A"/>
    <w:rsid w:val="00823659"/>
    <w:rsid w:val="00824ACC"/>
    <w:rsid w:val="008261C0"/>
    <w:rsid w:val="00827686"/>
    <w:rsid w:val="00830A8B"/>
    <w:rsid w:val="00834749"/>
    <w:rsid w:val="0083490C"/>
    <w:rsid w:val="00846EBD"/>
    <w:rsid w:val="00852906"/>
    <w:rsid w:val="00857680"/>
    <w:rsid w:val="00857BC7"/>
    <w:rsid w:val="00863FDC"/>
    <w:rsid w:val="00875165"/>
    <w:rsid w:val="0088083C"/>
    <w:rsid w:val="008874BD"/>
    <w:rsid w:val="00887C56"/>
    <w:rsid w:val="008913BB"/>
    <w:rsid w:val="008A4ABB"/>
    <w:rsid w:val="008B3944"/>
    <w:rsid w:val="008E0C32"/>
    <w:rsid w:val="008E7EAC"/>
    <w:rsid w:val="008F2D3D"/>
    <w:rsid w:val="008F5E9C"/>
    <w:rsid w:val="00901AAB"/>
    <w:rsid w:val="00903985"/>
    <w:rsid w:val="0092716D"/>
    <w:rsid w:val="0093716B"/>
    <w:rsid w:val="0095117E"/>
    <w:rsid w:val="00951C8B"/>
    <w:rsid w:val="00952A1D"/>
    <w:rsid w:val="00954EC4"/>
    <w:rsid w:val="00961203"/>
    <w:rsid w:val="009679F9"/>
    <w:rsid w:val="009719E4"/>
    <w:rsid w:val="009738D7"/>
    <w:rsid w:val="009758D5"/>
    <w:rsid w:val="00993429"/>
    <w:rsid w:val="0099469D"/>
    <w:rsid w:val="00994F61"/>
    <w:rsid w:val="00996A57"/>
    <w:rsid w:val="009B2F82"/>
    <w:rsid w:val="009B3035"/>
    <w:rsid w:val="009B76FA"/>
    <w:rsid w:val="009C3A18"/>
    <w:rsid w:val="009C640E"/>
    <w:rsid w:val="009C783A"/>
    <w:rsid w:val="009D470C"/>
    <w:rsid w:val="009E36A9"/>
    <w:rsid w:val="009F1C88"/>
    <w:rsid w:val="009F3862"/>
    <w:rsid w:val="00A0083F"/>
    <w:rsid w:val="00A019C5"/>
    <w:rsid w:val="00A0304E"/>
    <w:rsid w:val="00A102AA"/>
    <w:rsid w:val="00A12849"/>
    <w:rsid w:val="00A1419A"/>
    <w:rsid w:val="00A1490C"/>
    <w:rsid w:val="00A31671"/>
    <w:rsid w:val="00A318F4"/>
    <w:rsid w:val="00A34A7F"/>
    <w:rsid w:val="00A44DFB"/>
    <w:rsid w:val="00A476B1"/>
    <w:rsid w:val="00A5672B"/>
    <w:rsid w:val="00A6290B"/>
    <w:rsid w:val="00A634FD"/>
    <w:rsid w:val="00A7721C"/>
    <w:rsid w:val="00A802AE"/>
    <w:rsid w:val="00A93D06"/>
    <w:rsid w:val="00AA24D5"/>
    <w:rsid w:val="00AA4A11"/>
    <w:rsid w:val="00AA4EF3"/>
    <w:rsid w:val="00AB13A2"/>
    <w:rsid w:val="00AB4F93"/>
    <w:rsid w:val="00AC7CB8"/>
    <w:rsid w:val="00AF6697"/>
    <w:rsid w:val="00AF6A2F"/>
    <w:rsid w:val="00B067C2"/>
    <w:rsid w:val="00B12F53"/>
    <w:rsid w:val="00B24CE5"/>
    <w:rsid w:val="00B25F13"/>
    <w:rsid w:val="00B319A6"/>
    <w:rsid w:val="00B51370"/>
    <w:rsid w:val="00B526AE"/>
    <w:rsid w:val="00B54760"/>
    <w:rsid w:val="00B56BAC"/>
    <w:rsid w:val="00B57FDA"/>
    <w:rsid w:val="00B61A3F"/>
    <w:rsid w:val="00B627CB"/>
    <w:rsid w:val="00B64CD8"/>
    <w:rsid w:val="00B64F0F"/>
    <w:rsid w:val="00B65B09"/>
    <w:rsid w:val="00B75FA9"/>
    <w:rsid w:val="00B806AA"/>
    <w:rsid w:val="00B8070C"/>
    <w:rsid w:val="00B81206"/>
    <w:rsid w:val="00B84907"/>
    <w:rsid w:val="00B9064C"/>
    <w:rsid w:val="00B93D46"/>
    <w:rsid w:val="00BB1A13"/>
    <w:rsid w:val="00BB24A2"/>
    <w:rsid w:val="00BC65DC"/>
    <w:rsid w:val="00BE0721"/>
    <w:rsid w:val="00BE1EFD"/>
    <w:rsid w:val="00C05948"/>
    <w:rsid w:val="00C3038C"/>
    <w:rsid w:val="00C30A6E"/>
    <w:rsid w:val="00C318F1"/>
    <w:rsid w:val="00C33C29"/>
    <w:rsid w:val="00C356A6"/>
    <w:rsid w:val="00C405AF"/>
    <w:rsid w:val="00C44A76"/>
    <w:rsid w:val="00C44EF9"/>
    <w:rsid w:val="00C504CA"/>
    <w:rsid w:val="00C518FB"/>
    <w:rsid w:val="00C56829"/>
    <w:rsid w:val="00C56E54"/>
    <w:rsid w:val="00C57C6B"/>
    <w:rsid w:val="00C6522B"/>
    <w:rsid w:val="00C70A60"/>
    <w:rsid w:val="00C73789"/>
    <w:rsid w:val="00C74034"/>
    <w:rsid w:val="00C800D3"/>
    <w:rsid w:val="00C83976"/>
    <w:rsid w:val="00C85695"/>
    <w:rsid w:val="00C93C04"/>
    <w:rsid w:val="00CA383A"/>
    <w:rsid w:val="00CB2CA0"/>
    <w:rsid w:val="00CC0FE9"/>
    <w:rsid w:val="00CD3358"/>
    <w:rsid w:val="00CE19FA"/>
    <w:rsid w:val="00CE53D9"/>
    <w:rsid w:val="00CE7DED"/>
    <w:rsid w:val="00CF6137"/>
    <w:rsid w:val="00D05B3B"/>
    <w:rsid w:val="00D15AD2"/>
    <w:rsid w:val="00D17C5D"/>
    <w:rsid w:val="00D34F99"/>
    <w:rsid w:val="00D374CD"/>
    <w:rsid w:val="00D54981"/>
    <w:rsid w:val="00D54D64"/>
    <w:rsid w:val="00D62DD1"/>
    <w:rsid w:val="00D7273C"/>
    <w:rsid w:val="00D80DD7"/>
    <w:rsid w:val="00D9534E"/>
    <w:rsid w:val="00D95BDA"/>
    <w:rsid w:val="00D95CB5"/>
    <w:rsid w:val="00DB7B3E"/>
    <w:rsid w:val="00DC1D80"/>
    <w:rsid w:val="00DD0D16"/>
    <w:rsid w:val="00DD244D"/>
    <w:rsid w:val="00DE1580"/>
    <w:rsid w:val="00DE314D"/>
    <w:rsid w:val="00DE71B2"/>
    <w:rsid w:val="00DF3698"/>
    <w:rsid w:val="00E0476B"/>
    <w:rsid w:val="00E140DA"/>
    <w:rsid w:val="00E23AFD"/>
    <w:rsid w:val="00E248E1"/>
    <w:rsid w:val="00E26E99"/>
    <w:rsid w:val="00E32227"/>
    <w:rsid w:val="00E352E8"/>
    <w:rsid w:val="00E50776"/>
    <w:rsid w:val="00E53BD8"/>
    <w:rsid w:val="00E55321"/>
    <w:rsid w:val="00E64494"/>
    <w:rsid w:val="00E7011E"/>
    <w:rsid w:val="00E70FBB"/>
    <w:rsid w:val="00E72A64"/>
    <w:rsid w:val="00E73B7A"/>
    <w:rsid w:val="00E85910"/>
    <w:rsid w:val="00E8624F"/>
    <w:rsid w:val="00E865CB"/>
    <w:rsid w:val="00E94266"/>
    <w:rsid w:val="00EA56C4"/>
    <w:rsid w:val="00EA6363"/>
    <w:rsid w:val="00EB085C"/>
    <w:rsid w:val="00EB2C50"/>
    <w:rsid w:val="00EB4715"/>
    <w:rsid w:val="00EC2648"/>
    <w:rsid w:val="00ED1FD6"/>
    <w:rsid w:val="00ED270E"/>
    <w:rsid w:val="00ED5CCF"/>
    <w:rsid w:val="00EE14A4"/>
    <w:rsid w:val="00EF1016"/>
    <w:rsid w:val="00EF2355"/>
    <w:rsid w:val="00EF3CD7"/>
    <w:rsid w:val="00EF5E9A"/>
    <w:rsid w:val="00F00727"/>
    <w:rsid w:val="00F12CA7"/>
    <w:rsid w:val="00F17B7B"/>
    <w:rsid w:val="00F20713"/>
    <w:rsid w:val="00F243D3"/>
    <w:rsid w:val="00F35E67"/>
    <w:rsid w:val="00F37F9D"/>
    <w:rsid w:val="00F4782D"/>
    <w:rsid w:val="00F51CBD"/>
    <w:rsid w:val="00F52096"/>
    <w:rsid w:val="00F644B2"/>
    <w:rsid w:val="00F65960"/>
    <w:rsid w:val="00F72D38"/>
    <w:rsid w:val="00F7344C"/>
    <w:rsid w:val="00F82809"/>
    <w:rsid w:val="00F85FCC"/>
    <w:rsid w:val="00F94792"/>
    <w:rsid w:val="00FA5EC3"/>
    <w:rsid w:val="00FE0877"/>
    <w:rsid w:val="00FF54DD"/>
    <w:rsid w:val="0CF71CD1"/>
    <w:rsid w:val="11E35F26"/>
    <w:rsid w:val="16FD0788"/>
    <w:rsid w:val="24CB2132"/>
    <w:rsid w:val="2B2F466D"/>
    <w:rsid w:val="2F6A04C5"/>
    <w:rsid w:val="37FE571A"/>
    <w:rsid w:val="39D46E57"/>
    <w:rsid w:val="3BA016A7"/>
    <w:rsid w:val="3F254356"/>
    <w:rsid w:val="44AC01A7"/>
    <w:rsid w:val="46D873D4"/>
    <w:rsid w:val="488B1B25"/>
    <w:rsid w:val="4BB35B57"/>
    <w:rsid w:val="4DC96B6D"/>
    <w:rsid w:val="65743FC1"/>
    <w:rsid w:val="6BD465A4"/>
    <w:rsid w:val="6D8F32BA"/>
    <w:rsid w:val="74D06E02"/>
    <w:rsid w:val="7A64227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v:shadow on="t" obscured="f" color="#000000" opacity="65536f" offset="2pt,-2pt" offset2="-8pt,8pt" origin="0f,0f" matrix="65536f,0f,0f,65536f,0,0"/>
    </o:shapedefaults>
    <o:shapelayout v:ext="edit">
      <o:idmap v:ext="edit" data="1,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qFormat/>
    <w:uiPriority w:val="99"/>
    <w:pPr>
      <w:spacing w:after="120"/>
    </w:pPr>
  </w:style>
  <w:style w:type="paragraph" w:styleId="3">
    <w:name w:val="Document Map"/>
    <w:basedOn w:val="1"/>
    <w:uiPriority w:val="0"/>
    <w:pPr>
      <w:shd w:val="clear" w:color="auto" w:fill="000080"/>
    </w:pPr>
  </w:style>
  <w:style w:type="paragraph" w:styleId="4">
    <w:name w:val="annotation text"/>
    <w:uiPriority w:val="0"/>
    <w:rPr>
      <w:rFonts w:ascii="Times New Roman" w:hAnsi="Times New Roman" w:eastAsia="宋体" w:cs="Times New Roman"/>
      <w:lang w:val="en-US" w:eastAsia="zh-CN" w:bidi="ar-SA"/>
    </w:rPr>
  </w:style>
  <w:style w:type="paragraph" w:styleId="5">
    <w:name w:val="Body Text Indent"/>
    <w:basedOn w:val="1"/>
    <w:link w:val="37"/>
    <w:qFormat/>
    <w:uiPriority w:val="0"/>
    <w:pPr>
      <w:spacing w:after="120"/>
      <w:ind w:left="420" w:leftChars="200"/>
    </w:pPr>
  </w:style>
  <w:style w:type="paragraph" w:styleId="6">
    <w:name w:val="Plain Text"/>
    <w:basedOn w:val="1"/>
    <w:link w:val="34"/>
    <w:qFormat/>
    <w:uiPriority w:val="0"/>
    <w:rPr>
      <w:rFonts w:ascii="宋体" w:hAnsi="Courier New"/>
      <w:color w:val="000000"/>
      <w:szCs w:val="21"/>
    </w:rPr>
  </w:style>
  <w:style w:type="paragraph" w:styleId="7">
    <w:name w:val="Balloon Text"/>
    <w:basedOn w:val="1"/>
    <w:link w:val="3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Body Text 2"/>
    <w:basedOn w:val="1"/>
    <w:qFormat/>
    <w:uiPriority w:val="0"/>
    <w:pPr>
      <w:spacing w:after="120" w:line="480" w:lineRule="auto"/>
    </w:pPr>
  </w:style>
  <w:style w:type="paragraph" w:styleId="12">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Emphasis"/>
    <w:basedOn w:val="16"/>
    <w:qFormat/>
    <w:uiPriority w:val="20"/>
    <w:rPr>
      <w:i/>
      <w:iCs/>
    </w:rPr>
  </w:style>
  <w:style w:type="character" w:styleId="20">
    <w:name w:val="Hyperlink"/>
    <w:qFormat/>
    <w:uiPriority w:val="0"/>
    <w:rPr>
      <w:color w:val="0000FF"/>
      <w:u w:val="single"/>
    </w:rPr>
  </w:style>
  <w:style w:type="character" w:customStyle="1" w:styleId="21">
    <w:name w:val="段 Char Char"/>
    <w:link w:val="22"/>
    <w:qFormat/>
    <w:uiPriority w:val="0"/>
    <w:rPr>
      <w:rFonts w:ascii="宋体"/>
      <w:sz w:val="21"/>
      <w:lang w:val="en-US" w:eastAsia="zh-CN" w:bidi="ar-SA"/>
    </w:rPr>
  </w:style>
  <w:style w:type="paragraph" w:customStyle="1" w:styleId="22">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要求"/>
    <w:basedOn w:val="22"/>
    <w:qFormat/>
    <w:uiPriority w:val="0"/>
    <w:pPr>
      <w:adjustRightInd w:val="0"/>
      <w:snapToGrid w:val="0"/>
      <w:ind w:left="200" w:leftChars="200" w:firstLine="200"/>
    </w:pPr>
  </w:style>
  <w:style w:type="paragraph" w:customStyle="1" w:styleId="24">
    <w:name w:val="示例×："/>
    <w:basedOn w:val="1"/>
    <w:qFormat/>
    <w:uiPriority w:val="0"/>
    <w:pPr>
      <w:widowControl/>
      <w:ind w:left="205" w:firstLine="363"/>
    </w:pPr>
    <w:rPr>
      <w:rFonts w:ascii="宋体"/>
      <w:kern w:val="0"/>
      <w:sz w:val="18"/>
      <w:szCs w:val="18"/>
    </w:rPr>
  </w:style>
  <w:style w:type="paragraph" w:customStyle="1" w:styleId="25">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Char Char1 Char Char Char Char"/>
    <w:basedOn w:val="1"/>
    <w:qFormat/>
    <w:uiPriority w:val="0"/>
    <w:pPr>
      <w:widowControl/>
      <w:spacing w:after="160" w:line="240" w:lineRule="exact"/>
      <w:jc w:val="left"/>
    </w:pPr>
  </w:style>
  <w:style w:type="paragraph" w:customStyle="1" w:styleId="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
    <w:name w:val="p0"/>
    <w:basedOn w:val="1"/>
    <w:qFormat/>
    <w:uiPriority w:val="0"/>
    <w:pPr>
      <w:widowControl/>
    </w:pPr>
    <w:rPr>
      <w:kern w:val="0"/>
      <w:szCs w:val="21"/>
    </w:rPr>
  </w:style>
  <w:style w:type="paragraph" w:customStyle="1" w:styleId="29">
    <w:name w:val="Char Char1 Char Char Char Char1"/>
    <w:basedOn w:val="1"/>
    <w:qFormat/>
    <w:uiPriority w:val="0"/>
    <w:pPr>
      <w:widowControl/>
      <w:spacing w:after="160" w:line="240" w:lineRule="exact"/>
      <w:jc w:val="left"/>
    </w:pPr>
  </w:style>
  <w:style w:type="paragraph" w:customStyle="1" w:styleId="30">
    <w:name w:val="Char Char Char1 Char Char Char Char Char Char Char Char Char Char Char Char Char"/>
    <w:basedOn w:val="1"/>
    <w:qFormat/>
    <w:uiPriority w:val="0"/>
  </w:style>
  <w:style w:type="paragraph" w:customStyle="1" w:styleId="31">
    <w:name w:val="标题 21"/>
    <w:basedOn w:val="1"/>
    <w:qFormat/>
    <w:uiPriority w:val="0"/>
    <w:pPr>
      <w:autoSpaceDE w:val="0"/>
      <w:autoSpaceDN w:val="0"/>
      <w:adjustRightInd w:val="0"/>
      <w:jc w:val="left"/>
      <w:outlineLvl w:val="1"/>
    </w:pPr>
    <w:rPr>
      <w:rFonts w:ascii="黑体" w:eastAsia="黑体" w:cs="黑体"/>
      <w:kern w:val="0"/>
      <w:sz w:val="28"/>
      <w:szCs w:val="28"/>
    </w:rPr>
  </w:style>
  <w:style w:type="paragraph" w:customStyle="1" w:styleId="32">
    <w:name w:val="Table Paragraph"/>
    <w:basedOn w:val="1"/>
    <w:qFormat/>
    <w:uiPriority w:val="0"/>
    <w:pPr>
      <w:autoSpaceDE w:val="0"/>
      <w:autoSpaceDN w:val="0"/>
      <w:adjustRightInd w:val="0"/>
      <w:jc w:val="left"/>
    </w:pPr>
    <w:rPr>
      <w:kern w:val="0"/>
      <w:sz w:val="24"/>
    </w:rPr>
  </w:style>
  <w:style w:type="character" w:customStyle="1" w:styleId="33">
    <w:name w:val="批注框文本 Char"/>
    <w:link w:val="7"/>
    <w:qFormat/>
    <w:uiPriority w:val="0"/>
    <w:rPr>
      <w:kern w:val="2"/>
      <w:sz w:val="18"/>
      <w:szCs w:val="18"/>
    </w:rPr>
  </w:style>
  <w:style w:type="character" w:customStyle="1" w:styleId="34">
    <w:name w:val="纯文本 Char"/>
    <w:link w:val="6"/>
    <w:qFormat/>
    <w:uiPriority w:val="0"/>
    <w:rPr>
      <w:rFonts w:ascii="宋体" w:hAnsi="Courier New" w:cs="Courier New"/>
      <w:color w:val="000000"/>
      <w:kern w:val="2"/>
      <w:sz w:val="21"/>
      <w:szCs w:val="21"/>
    </w:rPr>
  </w:style>
  <w:style w:type="character" w:customStyle="1" w:styleId="35">
    <w:name w:val="16"/>
    <w:qFormat/>
    <w:uiPriority w:val="0"/>
    <w:rPr>
      <w:rFonts w:hint="default" w:ascii="Times New Roman" w:hAnsi="Times New Roman" w:cs="Times New Roman"/>
      <w:b/>
      <w:bCs/>
      <w:sz w:val="20"/>
      <w:szCs w:val="20"/>
    </w:rPr>
  </w:style>
  <w:style w:type="character" w:customStyle="1" w:styleId="36">
    <w:name w:val="HTML 预设格式 Char"/>
    <w:link w:val="12"/>
    <w:qFormat/>
    <w:uiPriority w:val="99"/>
    <w:rPr>
      <w:rFonts w:ascii="宋体" w:hAnsi="宋体" w:cs="宋体"/>
      <w:sz w:val="24"/>
      <w:szCs w:val="24"/>
    </w:rPr>
  </w:style>
  <w:style w:type="character" w:customStyle="1" w:styleId="37">
    <w:name w:val="正文文本缩进 Char"/>
    <w:basedOn w:val="16"/>
    <w:link w:val="5"/>
    <w:qFormat/>
    <w:uiPriority w:val="0"/>
    <w:rPr>
      <w:kern w:val="2"/>
      <w:sz w:val="21"/>
      <w:szCs w:val="24"/>
    </w:rPr>
  </w:style>
  <w:style w:type="character" w:customStyle="1" w:styleId="38">
    <w:name w:val="正文文本 Char"/>
    <w:basedOn w:val="16"/>
    <w:link w:val="2"/>
    <w:qFormat/>
    <w:uiPriority w:val="99"/>
    <w:rPr>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582"/>
    <customShpInfo spid="_x0000_s1584"/>
    <customShpInfo spid="_x0000_s748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C61CF-A637-4DB0-84E5-535173882262}">
  <ds:schemaRefs/>
</ds:datastoreItem>
</file>

<file path=docProps/app.xml><?xml version="1.0" encoding="utf-8"?>
<Properties xmlns="http://schemas.openxmlformats.org/officeDocument/2006/extended-properties" xmlns:vt="http://schemas.openxmlformats.org/officeDocument/2006/docPropsVTypes">
  <Template>Normal</Template>
  <Pages>19</Pages>
  <Words>1188</Words>
  <Characters>6774</Characters>
  <Lines>56</Lines>
  <Paragraphs>15</Paragraphs>
  <TotalTime>0</TotalTime>
  <ScaleCrop>false</ScaleCrop>
  <LinksUpToDate>false</LinksUpToDate>
  <CharactersWithSpaces>7947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2018-05-24T02:17:00Z</dcterms:created>
  <dc:creator>bys09</dc:creator>
  <cp:lastModifiedBy>Dell</cp:lastModifiedBy>
  <cp:lastPrinted>2022-03-29T06:29:00Z</cp:lastPrinted>
  <dcterms:modified xsi:type="dcterms:W3CDTF">2025-12-25T07:30:38Z</dcterms:modified>
  <dc:title>制造计量器具许可</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4367EC4C9B7C4CEFB16272008ED1653E</vt:lpwstr>
  </property>
</Properties>
</file>