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2D3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lang w:val="en-US" w:eastAsia="zh-CN"/>
        </w:rPr>
      </w:pPr>
      <w:r>
        <w:rPr>
          <w:rFonts w:hint="default" w:ascii="Times New Roman" w:hAnsi="Times New Roman" w:eastAsia="方正小标宋简体" w:cs="Times New Roman"/>
          <w:sz w:val="44"/>
          <w:szCs w:val="44"/>
          <w:lang w:val="en-US" w:eastAsia="zh-CN"/>
        </w:rPr>
        <w:t>昆明市官渡区人民政府</w:t>
      </w:r>
    </w:p>
    <w:p w14:paraId="2C698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官渡区2024年地方财政决算的报告</w:t>
      </w:r>
    </w:p>
    <w:p w14:paraId="27B0072E">
      <w:pPr>
        <w:pStyle w:val="2"/>
        <w:rPr>
          <w:rFonts w:hint="default"/>
          <w:lang w:val="en-US" w:eastAsia="zh-CN"/>
        </w:rPr>
      </w:pPr>
    </w:p>
    <w:p w14:paraId="047B2275">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color w:val="auto"/>
          <w:sz w:val="32"/>
          <w:szCs w:val="32"/>
          <w:highlight w:val="none"/>
          <w:shd w:val="clear" w:color="auto" w:fill="auto"/>
          <w:lang w:val="en-US" w:eastAsia="zh-CN"/>
        </w:rPr>
        <w:t>—</w:t>
      </w:r>
      <w:r>
        <w:rPr>
          <w:rFonts w:hint="eastAsia" w:ascii="Times New Roman" w:hAnsi="Times New Roman" w:eastAsia="楷体_GB2312" w:cs="Times New Roman"/>
          <w:color w:val="auto"/>
          <w:sz w:val="32"/>
          <w:szCs w:val="32"/>
          <w:highlight w:val="none"/>
          <w:shd w:val="clear" w:color="auto" w:fill="auto"/>
          <w:lang w:val="en-US" w:eastAsia="zh-CN"/>
        </w:rPr>
        <w:t>2025</w:t>
      </w:r>
      <w:r>
        <w:rPr>
          <w:rFonts w:hint="default" w:ascii="Times New Roman" w:hAnsi="Times New Roman" w:eastAsia="楷体_GB2312" w:cs="Times New Roman"/>
          <w:color w:val="auto"/>
          <w:sz w:val="32"/>
          <w:szCs w:val="32"/>
          <w:highlight w:val="none"/>
          <w:shd w:val="clear" w:color="auto" w:fill="auto"/>
          <w:lang w:val="en-US" w:eastAsia="zh-CN"/>
        </w:rPr>
        <w:t>年</w:t>
      </w:r>
      <w:r>
        <w:rPr>
          <w:rFonts w:hint="eastAsia" w:eastAsia="楷体_GB2312" w:cs="Times New Roman"/>
          <w:color w:val="auto"/>
          <w:sz w:val="32"/>
          <w:szCs w:val="32"/>
          <w:highlight w:val="none"/>
          <w:shd w:val="clear" w:color="auto" w:fill="auto"/>
          <w:lang w:val="en-US" w:eastAsia="zh-CN"/>
        </w:rPr>
        <w:t>9</w:t>
      </w:r>
      <w:r>
        <w:rPr>
          <w:rFonts w:hint="default" w:ascii="Times New Roman" w:hAnsi="Times New Roman" w:eastAsia="楷体_GB2312" w:cs="Times New Roman"/>
          <w:color w:val="auto"/>
          <w:sz w:val="32"/>
          <w:szCs w:val="32"/>
          <w:highlight w:val="none"/>
          <w:shd w:val="clear" w:color="auto" w:fill="auto"/>
          <w:lang w:val="en-US" w:eastAsia="zh-CN"/>
        </w:rPr>
        <w:t>月</w:t>
      </w:r>
      <w:r>
        <w:rPr>
          <w:rFonts w:hint="eastAsia" w:ascii="Times New Roman" w:hAnsi="Times New Roman" w:eastAsia="楷体_GB2312" w:cs="Times New Roman"/>
          <w:color w:val="auto"/>
          <w:sz w:val="32"/>
          <w:szCs w:val="32"/>
          <w:highlight w:val="none"/>
          <w:shd w:val="clear" w:color="auto" w:fill="auto"/>
          <w:lang w:val="en-US" w:eastAsia="zh-CN"/>
        </w:rPr>
        <w:t>30</w:t>
      </w:r>
      <w:r>
        <w:rPr>
          <w:rFonts w:hint="default" w:ascii="Times New Roman" w:hAnsi="Times New Roman" w:eastAsia="楷体_GB2312" w:cs="Times New Roman"/>
          <w:color w:val="auto"/>
          <w:sz w:val="32"/>
          <w:szCs w:val="32"/>
          <w:highlight w:val="none"/>
          <w:shd w:val="clear" w:color="auto" w:fill="auto"/>
          <w:lang w:val="en-US" w:eastAsia="zh-CN"/>
        </w:rPr>
        <w:t>日在</w:t>
      </w:r>
      <w:r>
        <w:rPr>
          <w:rFonts w:hint="eastAsia" w:ascii="Times New Roman" w:hAnsi="Times New Roman" w:eastAsia="楷体_GB2312" w:cs="Times New Roman"/>
          <w:sz w:val="32"/>
          <w:szCs w:val="32"/>
          <w:highlight w:val="none"/>
          <w:lang w:eastAsia="zh-CN"/>
        </w:rPr>
        <w:t>官渡区</w:t>
      </w:r>
      <w:r>
        <w:rPr>
          <w:rFonts w:hint="default" w:ascii="Times New Roman" w:hAnsi="Times New Roman" w:eastAsia="楷体_GB2312" w:cs="Times New Roman"/>
          <w:sz w:val="32"/>
          <w:szCs w:val="32"/>
          <w:highlight w:val="none"/>
        </w:rPr>
        <w:t>第</w:t>
      </w:r>
      <w:r>
        <w:rPr>
          <w:rFonts w:hint="default" w:ascii="Times New Roman" w:hAnsi="Times New Roman" w:eastAsia="楷体_GB2312" w:cs="Times New Roman"/>
          <w:sz w:val="32"/>
          <w:szCs w:val="32"/>
          <w:highlight w:val="none"/>
          <w:lang w:val="en-US" w:eastAsia="zh-CN"/>
        </w:rPr>
        <w:t>十七</w:t>
      </w:r>
      <w:r>
        <w:rPr>
          <w:rFonts w:hint="default" w:ascii="Times New Roman" w:hAnsi="Times New Roman" w:eastAsia="楷体_GB2312" w:cs="Times New Roman"/>
          <w:sz w:val="32"/>
          <w:szCs w:val="32"/>
          <w:highlight w:val="none"/>
        </w:rPr>
        <w:t>届人</w:t>
      </w:r>
      <w:r>
        <w:rPr>
          <w:rFonts w:hint="eastAsia" w:ascii="Times New Roman" w:hAnsi="Times New Roman" w:eastAsia="楷体_GB2312" w:cs="Times New Roman"/>
          <w:sz w:val="32"/>
          <w:szCs w:val="32"/>
          <w:highlight w:val="none"/>
          <w:lang w:eastAsia="zh-CN"/>
        </w:rPr>
        <w:t>民代表</w:t>
      </w:r>
      <w:r>
        <w:rPr>
          <w:rFonts w:hint="default" w:ascii="Times New Roman" w:hAnsi="Times New Roman" w:eastAsia="楷体_GB2312" w:cs="Times New Roman"/>
          <w:sz w:val="32"/>
          <w:szCs w:val="32"/>
          <w:highlight w:val="none"/>
        </w:rPr>
        <w:t>大</w:t>
      </w:r>
      <w:r>
        <w:rPr>
          <w:rFonts w:hint="eastAsia" w:ascii="Times New Roman" w:hAnsi="Times New Roman" w:eastAsia="楷体_GB2312" w:cs="Times New Roman"/>
          <w:sz w:val="32"/>
          <w:szCs w:val="32"/>
          <w:highlight w:val="none"/>
          <w:lang w:eastAsia="zh-CN"/>
        </w:rPr>
        <w:t>会</w:t>
      </w:r>
      <w:r>
        <w:rPr>
          <w:rFonts w:hint="default" w:ascii="Times New Roman" w:hAnsi="Times New Roman" w:eastAsia="楷体_GB2312" w:cs="Times New Roman"/>
          <w:sz w:val="32"/>
          <w:szCs w:val="32"/>
          <w:highlight w:val="none"/>
        </w:rPr>
        <w:t>常委会第</w:t>
      </w:r>
      <w:r>
        <w:rPr>
          <w:rFonts w:hint="eastAsia" w:ascii="Times New Roman" w:hAnsi="Times New Roman" w:eastAsia="楷体_GB2312" w:cs="Times New Roman"/>
          <w:sz w:val="32"/>
          <w:szCs w:val="32"/>
          <w:highlight w:val="none"/>
          <w:lang w:val="en-US" w:eastAsia="zh-CN"/>
        </w:rPr>
        <w:t>三十二</w:t>
      </w:r>
      <w:r>
        <w:rPr>
          <w:rFonts w:hint="default" w:ascii="Times New Roman" w:hAnsi="Times New Roman" w:eastAsia="楷体_GB2312" w:cs="Times New Roman"/>
          <w:sz w:val="32"/>
          <w:szCs w:val="32"/>
          <w:highlight w:val="none"/>
        </w:rPr>
        <w:t>次会</w:t>
      </w:r>
      <w:r>
        <w:rPr>
          <w:rFonts w:hint="default" w:ascii="Times New Roman" w:hAnsi="Times New Roman" w:eastAsia="楷体_GB2312" w:cs="Times New Roman"/>
          <w:sz w:val="32"/>
          <w:szCs w:val="32"/>
          <w:highlight w:val="none"/>
          <w:lang w:eastAsia="zh-CN"/>
        </w:rPr>
        <w:t>议</w:t>
      </w:r>
      <w:r>
        <w:rPr>
          <w:rFonts w:hint="default" w:ascii="Times New Roman" w:hAnsi="Times New Roman" w:eastAsia="楷体_GB2312" w:cs="Times New Roman"/>
          <w:sz w:val="32"/>
          <w:szCs w:val="32"/>
          <w:highlight w:val="none"/>
        </w:rPr>
        <w:t>上</w:t>
      </w:r>
    </w:p>
    <w:p w14:paraId="58184C0A">
      <w:pPr>
        <w:keepNext w:val="0"/>
        <w:keepLines w:val="0"/>
        <w:pageBreakBefore w:val="0"/>
        <w:widowControl w:val="0"/>
        <w:kinsoku/>
        <w:wordWrap/>
        <w:overflowPunct w:val="0"/>
        <w:topLinePunct/>
        <w:autoSpaceDE/>
        <w:autoSpaceDN/>
        <w:bidi w:val="0"/>
        <w:adjustRightInd w:val="0"/>
        <w:snapToGrid w:val="0"/>
        <w:spacing w:line="560" w:lineRule="exact"/>
        <w:jc w:val="center"/>
        <w:textAlignment w:val="auto"/>
        <w:rPr>
          <w:rFonts w:hint="default" w:ascii="Times New Roman" w:hAnsi="Times New Roman" w:eastAsia="楷体_GB2312" w:cs="Times New Roman"/>
          <w:color w:val="auto"/>
          <w:sz w:val="32"/>
          <w:szCs w:val="32"/>
          <w:highlight w:val="none"/>
          <w:shd w:val="clear" w:color="auto" w:fill="auto"/>
          <w:lang w:val="en-US" w:eastAsia="zh-CN"/>
        </w:rPr>
      </w:pPr>
    </w:p>
    <w:p w14:paraId="67FDFF76">
      <w:pPr>
        <w:keepNext w:val="0"/>
        <w:keepLines w:val="0"/>
        <w:pageBreakBefore w:val="0"/>
        <w:widowControl w:val="0"/>
        <w:tabs>
          <w:tab w:val="left" w:pos="608"/>
        </w:tabs>
        <w:kinsoku/>
        <w:wordWrap/>
        <w:overflowPunct w:val="0"/>
        <w:topLinePunct/>
        <w:autoSpaceDE/>
        <w:autoSpaceDN/>
        <w:bidi w:val="0"/>
        <w:adjustRightInd w:val="0"/>
        <w:snapToGrid w:val="0"/>
        <w:spacing w:line="560" w:lineRule="exact"/>
        <w:jc w:val="left"/>
        <w:textAlignment w:val="auto"/>
        <w:rPr>
          <w:rFonts w:hint="default" w:ascii="Times New Roman" w:hAnsi="Times New Roman" w:eastAsia="仿宋" w:cs="Times New Roman"/>
          <w:snapToGrid w:val="0"/>
          <w:color w:val="000000"/>
          <w:spacing w:val="7"/>
          <w:kern w:val="0"/>
          <w:sz w:val="32"/>
          <w:szCs w:val="32"/>
          <w:highlight w:val="none"/>
          <w:lang w:val="en-US" w:eastAsia="zh-CN" w:bidi="ar-SA"/>
        </w:rPr>
      </w:pPr>
      <w:r>
        <w:rPr>
          <w:rFonts w:hint="eastAsia" w:eastAsia="仿宋_GB2312" w:cs="Times New Roman"/>
          <w:color w:val="auto"/>
          <w:sz w:val="32"/>
          <w:szCs w:val="32"/>
          <w:highlight w:val="none"/>
          <w:shd w:val="clear" w:color="auto" w:fill="auto"/>
          <w:lang w:val="en-US" w:eastAsia="zh-CN"/>
        </w:rPr>
        <w:t>主任、</w:t>
      </w:r>
      <w:r>
        <w:rPr>
          <w:rFonts w:hint="default" w:ascii="Times New Roman" w:hAnsi="Times New Roman" w:eastAsia="仿宋_GB2312" w:cs="Times New Roman"/>
          <w:color w:val="auto"/>
          <w:sz w:val="32"/>
          <w:szCs w:val="32"/>
          <w:highlight w:val="none"/>
          <w:shd w:val="clear" w:color="auto" w:fill="auto"/>
          <w:lang w:val="en-US" w:eastAsia="en-US"/>
        </w:rPr>
        <w:t>各位副主任、各位委员</w:t>
      </w:r>
      <w:r>
        <w:rPr>
          <w:rFonts w:hint="default" w:ascii="Times New Roman" w:hAnsi="Times New Roman" w:eastAsia="仿宋_GB2312" w:cs="Times New Roman"/>
          <w:color w:val="auto"/>
          <w:sz w:val="32"/>
          <w:szCs w:val="32"/>
          <w:highlight w:val="none"/>
          <w:shd w:val="clear" w:color="auto" w:fill="auto"/>
          <w:lang w:val="en-US" w:eastAsia="zh-CN"/>
        </w:rPr>
        <w:t>：</w:t>
      </w:r>
    </w:p>
    <w:p w14:paraId="6812E834">
      <w:pPr>
        <w:keepNext w:val="0"/>
        <w:keepLines w:val="0"/>
        <w:pageBreakBefore w:val="0"/>
        <w:widowControl w:val="0"/>
        <w:kinsoku/>
        <w:wordWrap/>
        <w:overflowPunct w:val="0"/>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宋体" w:hAnsi="宋体" w:eastAsia="仿宋_GB2312" w:cs="仿宋_GB2312"/>
          <w:color w:val="000000"/>
          <w:sz w:val="32"/>
          <w:szCs w:val="32"/>
          <w:highlight w:val="none"/>
          <w:lang w:eastAsia="zh-CN"/>
        </w:rPr>
        <w:t>受区人民政府委托</w:t>
      </w:r>
      <w:r>
        <w:rPr>
          <w:rFonts w:hint="default" w:ascii="Times New Roman" w:hAnsi="Times New Roman" w:eastAsia="仿宋_GB2312" w:cs="Times New Roman"/>
          <w:color w:val="auto"/>
          <w:sz w:val="32"/>
          <w:szCs w:val="32"/>
          <w:highlight w:val="none"/>
          <w:shd w:val="clear" w:color="auto" w:fill="auto"/>
        </w:rPr>
        <w:t>，现</w:t>
      </w:r>
      <w:r>
        <w:rPr>
          <w:rFonts w:hint="default" w:ascii="Times New Roman" w:hAnsi="Times New Roman" w:eastAsia="仿宋_GB2312" w:cs="Times New Roman"/>
          <w:color w:val="000000"/>
          <w:sz w:val="32"/>
          <w:szCs w:val="32"/>
          <w:highlight w:val="none"/>
        </w:rPr>
        <w:t>向</w:t>
      </w:r>
      <w:r>
        <w:rPr>
          <w:rFonts w:hint="default"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人大常委会报告官渡区</w:t>
      </w:r>
      <w:r>
        <w:rPr>
          <w:rFonts w:hint="default" w:ascii="Times New Roman" w:hAnsi="Times New Roman" w:eastAsia="仿宋_GB2312" w:cs="Times New Roman"/>
          <w:color w:val="000000"/>
          <w:sz w:val="32"/>
          <w:szCs w:val="32"/>
          <w:highlight w:val="none"/>
          <w:lang w:val="en-US" w:eastAsia="zh-CN"/>
        </w:rPr>
        <w:t>2024</w:t>
      </w:r>
      <w:r>
        <w:rPr>
          <w:rFonts w:hint="default" w:ascii="Times New Roman" w:hAnsi="Times New Roman" w:eastAsia="仿宋_GB2312" w:cs="Times New Roman"/>
          <w:color w:val="000000"/>
          <w:sz w:val="32"/>
          <w:szCs w:val="32"/>
          <w:highlight w:val="none"/>
        </w:rPr>
        <w:t>年地方财政决算</w:t>
      </w:r>
      <w:r>
        <w:rPr>
          <w:rFonts w:hint="default" w:ascii="Times New Roman" w:hAnsi="Times New Roman" w:eastAsia="仿宋_GB2312" w:cs="Times New Roman"/>
          <w:color w:val="000000"/>
          <w:sz w:val="32"/>
          <w:szCs w:val="32"/>
          <w:highlight w:val="none"/>
          <w:lang w:eastAsia="zh-CN"/>
        </w:rPr>
        <w:t>情况</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sz w:val="32"/>
          <w:szCs w:val="32"/>
          <w:highlight w:val="none"/>
          <w:shd w:val="clear" w:color="auto" w:fill="auto"/>
        </w:rPr>
        <w:t>请予审查。</w:t>
      </w:r>
    </w:p>
    <w:p w14:paraId="438FC529">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一、2024年地方财政收支决算情况</w:t>
      </w:r>
    </w:p>
    <w:p w14:paraId="72C1DE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年</w:t>
      </w:r>
      <w:r>
        <w:rPr>
          <w:rFonts w:hint="default" w:ascii="Times New Roman" w:hAnsi="Times New Roman" w:eastAsia="仿宋_GB2312" w:cs="Times New Roman"/>
          <w:i w:val="0"/>
          <w:iCs w:val="0"/>
          <w:caps w:val="0"/>
          <w:color w:val="000000"/>
          <w:spacing w:val="0"/>
          <w:sz w:val="32"/>
          <w:szCs w:val="32"/>
          <w:highlight w:val="none"/>
          <w:shd w:val="clear" w:color="auto" w:fill="FFFFFF"/>
        </w:rPr>
        <w:t>是</w:t>
      </w:r>
      <w:r>
        <w:rPr>
          <w:rFonts w:hint="eastAsia" w:ascii="Times New Roman" w:hAnsi="Times New Roman" w:eastAsia="仿宋_GB2312" w:cs="Times New Roman"/>
          <w:i w:val="0"/>
          <w:iCs w:val="0"/>
          <w:caps w:val="0"/>
          <w:color w:val="000000"/>
          <w:spacing w:val="0"/>
          <w:sz w:val="32"/>
          <w:szCs w:val="32"/>
          <w:highlight w:val="none"/>
          <w:shd w:val="clear" w:color="auto" w:fill="FFFFFF"/>
          <w:lang w:eastAsia="zh-CN"/>
        </w:rPr>
        <w:t>实现“十四五”规划目标任务的关键一年</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lang w:eastAsia="zh-CN"/>
        </w:rPr>
        <w:t>面对复杂严峻的发展环境，区政府财政部门坚持以习近平新时代中国特色社会主义思想为指导，</w:t>
      </w:r>
      <w:r>
        <w:rPr>
          <w:rFonts w:hint="default" w:ascii="Times New Roman" w:hAnsi="Times New Roman" w:eastAsia="仿宋_GB2312" w:cs="Times New Roman"/>
          <w:i w:val="0"/>
          <w:iCs w:val="0"/>
          <w:caps w:val="0"/>
          <w:color w:val="000000"/>
          <w:spacing w:val="0"/>
          <w:sz w:val="32"/>
          <w:szCs w:val="32"/>
          <w:highlight w:val="none"/>
          <w:shd w:val="clear" w:color="auto" w:fill="FFFFFF"/>
        </w:rPr>
        <w:t>深入学习贯彻党的二十大和二十届二中、三中全会精神</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、中央经济工作会议精神，</w:t>
      </w:r>
      <w:r>
        <w:rPr>
          <w:rFonts w:hint="default" w:ascii="Times New Roman" w:hAnsi="Times New Roman" w:eastAsia="仿宋_GB2312" w:cs="Times New Roman"/>
          <w:color w:val="000000"/>
          <w:sz w:val="32"/>
          <w:szCs w:val="32"/>
          <w:highlight w:val="none"/>
          <w:lang w:val="en-US" w:eastAsia="zh-CN"/>
        </w:rPr>
        <w:t>严格执行人大</w:t>
      </w:r>
      <w:r>
        <w:rPr>
          <w:rFonts w:hint="default" w:ascii="Times New Roman" w:hAnsi="Times New Roman" w:eastAsia="仿宋_GB2312" w:cs="Times New Roman"/>
          <w:color w:val="000000"/>
          <w:sz w:val="32"/>
          <w:szCs w:val="32"/>
          <w:highlight w:val="none"/>
        </w:rPr>
        <w:t>批准的财政预算，</w:t>
      </w:r>
      <w:r>
        <w:rPr>
          <w:rFonts w:hint="default" w:ascii="Times New Roman" w:hAnsi="Times New Roman" w:eastAsia="仿宋_GB2312" w:cs="Times New Roman"/>
          <w:i w:val="0"/>
          <w:iCs w:val="0"/>
          <w:caps w:val="0"/>
          <w:color w:val="000000"/>
          <w:spacing w:val="0"/>
          <w:sz w:val="32"/>
          <w:szCs w:val="32"/>
          <w:highlight w:val="none"/>
          <w:shd w:val="clear" w:color="auto" w:fill="FFFFFF"/>
        </w:rPr>
        <w:t>始终贯彻稳中求进的工作总基调，全力加强收入组织，</w:t>
      </w:r>
      <w:r>
        <w:rPr>
          <w:rFonts w:hint="default" w:ascii="Times New Roman" w:hAnsi="Times New Roman" w:eastAsia="仿宋_GB2312" w:cs="Times New Roman"/>
          <w:color w:val="000000"/>
          <w:sz w:val="32"/>
          <w:szCs w:val="32"/>
          <w:highlight w:val="none"/>
        </w:rPr>
        <w:t>科学统筹财政资源，</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持续增进民生福祉，有效防范及化解</w:t>
      </w:r>
      <w:r>
        <w:rPr>
          <w:rFonts w:hint="default" w:ascii="Times New Roman" w:hAnsi="Times New Roman" w:eastAsia="仿宋_GB2312" w:cs="Times New Roman"/>
          <w:i w:val="0"/>
          <w:iCs w:val="0"/>
          <w:caps w:val="0"/>
          <w:color w:val="000000"/>
          <w:spacing w:val="0"/>
          <w:sz w:val="32"/>
          <w:szCs w:val="32"/>
          <w:highlight w:val="none"/>
          <w:shd w:val="clear" w:color="auto" w:fill="FFFFFF"/>
        </w:rPr>
        <w:t>重</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点领域风险，</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财政改革发展各项工作扎实推进，财政运行难中求进、总体平稳。</w:t>
      </w:r>
      <w:r>
        <w:rPr>
          <w:rFonts w:hint="default" w:ascii="Times New Roman" w:hAnsi="Times New Roman" w:eastAsia="仿宋_GB2312" w:cs="Times New Roman"/>
          <w:color w:val="000000"/>
          <w:sz w:val="32"/>
          <w:szCs w:val="32"/>
          <w:highlight w:val="none"/>
        </w:rPr>
        <w:t>现将</w:t>
      </w:r>
      <w:r>
        <w:rPr>
          <w:rFonts w:hint="default" w:ascii="Times New Roman" w:hAnsi="Times New Roman" w:eastAsia="仿宋_GB2312" w:cs="Times New Roman"/>
          <w:color w:val="000000"/>
          <w:sz w:val="32"/>
          <w:szCs w:val="32"/>
          <w:highlight w:val="none"/>
          <w:lang w:eastAsia="zh-CN"/>
        </w:rPr>
        <w:t>地方财政决算</w:t>
      </w:r>
      <w:r>
        <w:rPr>
          <w:rFonts w:hint="default" w:ascii="Times New Roman" w:hAnsi="Times New Roman" w:eastAsia="仿宋_GB2312" w:cs="Times New Roman"/>
          <w:color w:val="000000"/>
          <w:sz w:val="32"/>
          <w:szCs w:val="32"/>
          <w:highlight w:val="none"/>
        </w:rPr>
        <w:t>有关事项报告如下</w:t>
      </w:r>
      <w:r>
        <w:rPr>
          <w:rFonts w:hint="default" w:ascii="Times New Roman" w:hAnsi="Times New Roman" w:eastAsia="仿宋_GB2312" w:cs="Times New Roman"/>
          <w:color w:val="000000"/>
          <w:sz w:val="32"/>
          <w:szCs w:val="32"/>
          <w:highlight w:val="none"/>
          <w:lang w:eastAsia="zh-CN"/>
        </w:rPr>
        <w:t>：</w:t>
      </w:r>
    </w:p>
    <w:p w14:paraId="5475BFE9">
      <w:pPr>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outlineLvl w:val="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（一）地方一般公共预算收支</w:t>
      </w:r>
      <w:r>
        <w:rPr>
          <w:rFonts w:hint="default" w:ascii="Times New Roman" w:hAnsi="Times New Roman" w:eastAsia="楷体_GB2312" w:cs="Times New Roman"/>
          <w:color w:val="000000"/>
          <w:sz w:val="32"/>
          <w:szCs w:val="32"/>
          <w:highlight w:val="none"/>
          <w:lang w:eastAsia="zh-CN"/>
        </w:rPr>
        <w:t>决算</w:t>
      </w:r>
      <w:r>
        <w:rPr>
          <w:rFonts w:hint="default" w:ascii="Times New Roman" w:hAnsi="Times New Roman" w:eastAsia="楷体_GB2312" w:cs="Times New Roman"/>
          <w:color w:val="000000"/>
          <w:sz w:val="32"/>
          <w:szCs w:val="32"/>
          <w:highlight w:val="none"/>
        </w:rPr>
        <w:t>情况</w:t>
      </w:r>
    </w:p>
    <w:p w14:paraId="06FE4B3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地方一般公共预算收入361,412万元，为年初预算的</w:t>
      </w:r>
      <w:r>
        <w:rPr>
          <w:rFonts w:hint="eastAsia" w:ascii="Times New Roman" w:hAnsi="Times New Roman" w:eastAsia="仿宋_GB2312" w:cs="Times New Roman"/>
          <w:color w:val="000000"/>
          <w:sz w:val="32"/>
          <w:szCs w:val="32"/>
          <w:highlight w:val="none"/>
          <w:lang w:val="en-US" w:eastAsia="zh-CN"/>
        </w:rPr>
        <w:t>83.15</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，为调整预算的</w:t>
      </w:r>
      <w:r>
        <w:rPr>
          <w:rFonts w:hint="eastAsia" w:ascii="Times New Roman" w:hAnsi="Times New Roman" w:eastAsia="仿宋_GB2312" w:cs="Times New Roman"/>
          <w:color w:val="000000"/>
          <w:sz w:val="32"/>
          <w:szCs w:val="32"/>
          <w:highlight w:val="none"/>
          <w:lang w:val="en-US" w:eastAsia="zh-CN"/>
        </w:rPr>
        <w:t>99.89</w:t>
      </w:r>
      <w:r>
        <w:rPr>
          <w:rFonts w:hint="default" w:ascii="Times New Roman" w:hAnsi="Times New Roman" w:eastAsia="仿宋_GB2312" w:cs="Times New Roman"/>
          <w:color w:val="000000"/>
          <w:sz w:val="32"/>
          <w:szCs w:val="32"/>
          <w:highlight w:val="none"/>
          <w:lang w:val="en-US" w:eastAsia="zh-CN"/>
        </w:rPr>
        <w:t>%，比2023年</w:t>
      </w:r>
      <w:r>
        <w:rPr>
          <w:rFonts w:hint="eastAsia" w:ascii="Times New Roman" w:hAnsi="Times New Roman" w:eastAsia="仿宋_GB2312" w:cs="Times New Roman"/>
          <w:color w:val="000000"/>
          <w:sz w:val="32"/>
          <w:szCs w:val="32"/>
          <w:highlight w:val="none"/>
          <w:lang w:val="en-US" w:eastAsia="zh-CN"/>
        </w:rPr>
        <w:t>下</w:t>
      </w:r>
      <w:r>
        <w:rPr>
          <w:rFonts w:hint="default" w:ascii="Times New Roman" w:hAnsi="Times New Roman" w:eastAsia="仿宋_GB2312" w:cs="Times New Roman"/>
          <w:color w:val="000000"/>
          <w:sz w:val="32"/>
          <w:szCs w:val="32"/>
          <w:highlight w:val="none"/>
          <w:lang w:val="en-US" w:eastAsia="zh-CN"/>
        </w:rPr>
        <w:t>降14.35%。</w:t>
      </w:r>
      <w:r>
        <w:rPr>
          <w:rFonts w:hint="default" w:ascii="Times New Roman" w:hAnsi="Times New Roman" w:eastAsia="仿宋_GB2312" w:cs="Times New Roman"/>
          <w:color w:val="000000"/>
          <w:sz w:val="32"/>
          <w:szCs w:val="32"/>
          <w:highlight w:val="none"/>
          <w:lang w:eastAsia="zh-CN"/>
        </w:rPr>
        <w:t>加上上级补助收入360,425万元、上年结余收入45,969万元、调入资金12,284万元、动用预算稳定调节基金20,050万元，收入总计800,140万元。地方一般公共预算支出573,628万元，为年初预算的</w:t>
      </w:r>
      <w:r>
        <w:rPr>
          <w:rFonts w:hint="eastAsia" w:ascii="Times New Roman" w:hAnsi="Times New Roman" w:eastAsia="仿宋_GB2312" w:cs="Times New Roman"/>
          <w:color w:val="000000"/>
          <w:sz w:val="32"/>
          <w:szCs w:val="32"/>
          <w:highlight w:val="none"/>
          <w:lang w:val="en-US" w:eastAsia="zh-CN"/>
        </w:rPr>
        <w:t>98.34</w:t>
      </w:r>
      <w:r>
        <w:rPr>
          <w:rFonts w:hint="default" w:ascii="Times New Roman" w:hAnsi="Times New Roman" w:eastAsia="仿宋_GB2312" w:cs="Times New Roman"/>
          <w:color w:val="000000"/>
          <w:sz w:val="32"/>
          <w:szCs w:val="32"/>
          <w:highlight w:val="none"/>
          <w:lang w:val="en-US" w:eastAsia="zh-CN"/>
        </w:rPr>
        <w:t>%，为</w:t>
      </w:r>
      <w:r>
        <w:rPr>
          <w:rFonts w:hint="default" w:ascii="Times New Roman" w:hAnsi="Times New Roman" w:eastAsia="仿宋_GB2312" w:cs="Times New Roman"/>
          <w:color w:val="000000"/>
          <w:sz w:val="32"/>
          <w:szCs w:val="32"/>
          <w:highlight w:val="none"/>
          <w:lang w:eastAsia="zh-CN"/>
        </w:rPr>
        <w:t>调整预算的</w:t>
      </w:r>
      <w:r>
        <w:rPr>
          <w:rFonts w:hint="default" w:ascii="Times New Roman" w:hAnsi="Times New Roman" w:eastAsia="仿宋_GB2312" w:cs="Times New Roman"/>
          <w:color w:val="000000"/>
          <w:sz w:val="32"/>
          <w:szCs w:val="32"/>
          <w:highlight w:val="none"/>
          <w:lang w:val="en-US" w:eastAsia="zh-CN"/>
        </w:rPr>
        <w:t>99.78%，比2023年增长4.25%。</w:t>
      </w:r>
      <w:r>
        <w:rPr>
          <w:rFonts w:hint="default" w:ascii="Times New Roman" w:hAnsi="Times New Roman" w:eastAsia="仿宋_GB2312" w:cs="Times New Roman"/>
          <w:color w:val="000000"/>
          <w:sz w:val="32"/>
          <w:szCs w:val="32"/>
          <w:highlight w:val="none"/>
          <w:lang w:eastAsia="zh-CN"/>
        </w:rPr>
        <w:t>加上地方政府一般债务还本支出340万元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上解上级支出111,615万元、调出资金9,969</w:t>
      </w:r>
      <w:r>
        <w:rPr>
          <w:rFonts w:hint="default" w:ascii="Times New Roman" w:hAnsi="Times New Roman" w:eastAsia="仿宋_GB2312" w:cs="Times New Roman"/>
          <w:color w:val="000000"/>
          <w:sz w:val="32"/>
          <w:szCs w:val="32"/>
          <w:highlight w:val="none"/>
          <w:lang w:val="en-US" w:eastAsia="zh-CN"/>
        </w:rPr>
        <w:t>万元、</w:t>
      </w:r>
      <w:r>
        <w:rPr>
          <w:rFonts w:hint="default" w:ascii="Times New Roman" w:hAnsi="Times New Roman" w:eastAsia="仿宋_GB2312" w:cs="Times New Roman"/>
          <w:color w:val="000000"/>
          <w:sz w:val="32"/>
          <w:szCs w:val="32"/>
          <w:highlight w:val="none"/>
          <w:lang w:eastAsia="zh-CN"/>
        </w:rPr>
        <w:t>年终结余104,588万元</w:t>
      </w:r>
      <w:r>
        <w:rPr>
          <w:rFonts w:hint="eastAsia" w:ascii="Times New Roman" w:hAnsi="Times New Roman" w:eastAsia="仿宋_GB2312" w:cs="Times New Roman"/>
          <w:color w:val="000000"/>
          <w:sz w:val="32"/>
          <w:szCs w:val="32"/>
          <w:highlight w:val="none"/>
          <w:lang w:eastAsia="zh-CN"/>
        </w:rPr>
        <w:t>（结余均为结转下年支出，主要是城中村改造和配套基础设施建设、</w:t>
      </w:r>
      <w:r>
        <w:rPr>
          <w:rFonts w:hint="eastAsia" w:ascii="Times New Roman" w:hAnsi="Times New Roman" w:eastAsia="仿宋_GB2312" w:cs="Times New Roman"/>
          <w:color w:val="000000"/>
          <w:sz w:val="32"/>
          <w:szCs w:val="32"/>
          <w:highlight w:val="none"/>
          <w:lang w:val="en-US" w:eastAsia="zh-CN"/>
        </w:rPr>
        <w:t>滇池保护治理、湿地建设、城市管网及污水处理等项目因未达到支付条件或上级下达预算指标到县区时间较晚，导致无法支付形成结转</w:t>
      </w:r>
      <w:r>
        <w:rPr>
          <w:rFonts w:hint="eastAsia" w:ascii="Times New Roman" w:hAnsi="Times New Roman" w:eastAsia="仿宋_GB2312" w:cs="Times New Roman"/>
          <w:color w:val="000000"/>
          <w:sz w:val="32"/>
          <w:szCs w:val="32"/>
          <w:highlight w:val="none"/>
          <w:lang w:eastAsia="zh-CN"/>
        </w:rPr>
        <w:t>），支</w:t>
      </w:r>
      <w:r>
        <w:rPr>
          <w:rFonts w:hint="default" w:ascii="Times New Roman" w:hAnsi="Times New Roman" w:eastAsia="仿宋_GB2312" w:cs="Times New Roman"/>
          <w:color w:val="000000"/>
          <w:sz w:val="32"/>
          <w:szCs w:val="32"/>
          <w:highlight w:val="none"/>
          <w:lang w:eastAsia="zh-CN"/>
        </w:rPr>
        <w:t>出总计800,140万元。收支平衡。</w:t>
      </w:r>
    </w:p>
    <w:p w14:paraId="6A3A039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与向区第十七届人民代表大会第四次会议报告的执行数相比，全区一般公共预算收支无变化。收支总计减少5</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952万元，主要是由于结算政策调整，上级补助收入增加2</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446万元，调入资金减少8</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398万元，两项增减导致收入总计减少5</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952万元；上解上级支出减少5</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952万元，导致支出总计减少5</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952万元。均属决算整理期的正常变动。</w:t>
      </w:r>
    </w:p>
    <w:p w14:paraId="5A541A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lang w:val="en-US" w:eastAsia="zh-CN"/>
        </w:rPr>
      </w:pPr>
      <w:r>
        <w:rPr>
          <w:rFonts w:hint="eastAsia" w:ascii="Times New Roman" w:hAnsi="Times New Roman" w:eastAsia="仿宋_GB2312" w:cs="Times New Roman"/>
          <w:color w:val="000000"/>
          <w:kern w:val="2"/>
          <w:sz w:val="32"/>
          <w:szCs w:val="32"/>
          <w:highlight w:val="none"/>
          <w:lang w:val="en-US" w:eastAsia="zh-CN" w:bidi="ar-SA"/>
        </w:rPr>
        <w:t>其他需说明报告事项：2024年，预备费预算安排5,833万元，实际支出用于高火险期防灭火15.42万元，应急水利设施运营100万元，房屋安全整治64.83万元，应急污水排抽100万元，</w:t>
      </w:r>
      <w:r>
        <w:rPr>
          <w:rFonts w:hint="eastAsia" w:ascii="Times New Roman" w:hAnsi="Times New Roman" w:eastAsia="仿宋_GB2312" w:cs="Times New Roman"/>
          <w:strike w:val="0"/>
          <w:color w:val="000000"/>
          <w:kern w:val="2"/>
          <w:sz w:val="32"/>
          <w:szCs w:val="32"/>
          <w:highlight w:val="none"/>
          <w:lang w:val="en-US" w:eastAsia="zh-CN" w:bidi="ar-SA"/>
        </w:rPr>
        <w:t>污染防治生态环境保护250万元，应急安全隐患排查20.65万元，</w:t>
      </w:r>
      <w:r>
        <w:rPr>
          <w:rFonts w:hint="eastAsia" w:ascii="Times New Roman" w:hAnsi="Times New Roman" w:eastAsia="仿宋_GB2312" w:cs="Times New Roman"/>
          <w:color w:val="000000"/>
          <w:kern w:val="2"/>
          <w:sz w:val="32"/>
          <w:szCs w:val="32"/>
          <w:highlight w:val="none"/>
          <w:lang w:val="en-US" w:eastAsia="zh-CN" w:bidi="ar-SA"/>
        </w:rPr>
        <w:t>剩余5,282.1万元全部用于补充预算稳定调节基金后平衡年度预算。</w:t>
      </w:r>
    </w:p>
    <w:p w14:paraId="728E6180">
      <w:pPr>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outlineLvl w:val="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（二）政府性基金预算收支</w:t>
      </w:r>
      <w:r>
        <w:rPr>
          <w:rFonts w:hint="default" w:ascii="Times New Roman" w:hAnsi="Times New Roman" w:eastAsia="楷体_GB2312" w:cs="Times New Roman"/>
          <w:color w:val="000000"/>
          <w:sz w:val="32"/>
          <w:szCs w:val="32"/>
          <w:highlight w:val="none"/>
          <w:lang w:eastAsia="zh-CN"/>
        </w:rPr>
        <w:t>决算</w:t>
      </w:r>
      <w:r>
        <w:rPr>
          <w:rFonts w:hint="default" w:ascii="Times New Roman" w:hAnsi="Times New Roman" w:eastAsia="楷体_GB2312" w:cs="Times New Roman"/>
          <w:color w:val="000000"/>
          <w:sz w:val="32"/>
          <w:szCs w:val="32"/>
          <w:highlight w:val="none"/>
        </w:rPr>
        <w:t>情况</w:t>
      </w:r>
    </w:p>
    <w:p w14:paraId="7CC81CE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政府性基金预算收入37,620万元，为年初预算的95.37%，为调整预算的100.55%，比2023年增长46.75%。加上上级补助收入162,408万元、上年结余收入922万元、调入资金9,969万元、地方政府专项债券转贷收入132,086万元，收入总计343,005万元。政府性基金预算支出180,784万元，为年初预算的504.55%，为调整预算的99.66%，比2023年增长135.75%。加上地方政府专项债务还本支出144,086万元、</w:t>
      </w:r>
      <w:r>
        <w:rPr>
          <w:rFonts w:hint="default" w:ascii="Times New Roman" w:hAnsi="Times New Roman" w:eastAsia="仿宋_GB2312" w:cs="Times New Roman"/>
          <w:color w:val="000000"/>
          <w:sz w:val="32"/>
          <w:szCs w:val="32"/>
          <w:highlight w:val="none"/>
          <w:lang w:eastAsia="zh-CN"/>
        </w:rPr>
        <w:t>上解上级支出4,259万元、</w:t>
      </w:r>
      <w:r>
        <w:rPr>
          <w:rFonts w:hint="default" w:ascii="Times New Roman" w:hAnsi="Times New Roman" w:eastAsia="仿宋_GB2312" w:cs="Times New Roman"/>
          <w:color w:val="000000"/>
          <w:sz w:val="32"/>
          <w:szCs w:val="32"/>
          <w:highlight w:val="none"/>
          <w:lang w:val="en-US" w:eastAsia="zh-CN"/>
        </w:rPr>
        <w:t>调出资金892万元、年终结余12,984万元</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eastAsia="zh-CN"/>
        </w:rPr>
        <w:t>均为结转下年支出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，支出总计343,005万元。收支平衡。</w:t>
      </w:r>
    </w:p>
    <w:p w14:paraId="66DB7D7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与向区第十七届人民代表大会第四次会议报告的执行数相比，全区政府性基金预算收支无变化。收支总计总体无变化，支出方调出资金减少1万元，年终结余增加1万元，两项增减导致支出总计无变化，属决算整理期的正常变动。</w:t>
      </w:r>
    </w:p>
    <w:p w14:paraId="726C5D9A">
      <w:pPr>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outlineLvl w:val="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（三）国有资本经营预算收支</w:t>
      </w:r>
      <w:r>
        <w:rPr>
          <w:rFonts w:hint="default" w:ascii="Times New Roman" w:hAnsi="Times New Roman" w:eastAsia="楷体_GB2312" w:cs="Times New Roman"/>
          <w:color w:val="000000"/>
          <w:sz w:val="32"/>
          <w:szCs w:val="32"/>
          <w:highlight w:val="none"/>
          <w:lang w:eastAsia="zh-CN"/>
        </w:rPr>
        <w:t>决算</w:t>
      </w:r>
      <w:r>
        <w:rPr>
          <w:rFonts w:hint="default" w:ascii="Times New Roman" w:hAnsi="Times New Roman" w:eastAsia="楷体_GB2312" w:cs="Times New Roman"/>
          <w:color w:val="000000"/>
          <w:sz w:val="32"/>
          <w:szCs w:val="32"/>
          <w:highlight w:val="none"/>
        </w:rPr>
        <w:t>情况</w:t>
      </w:r>
    </w:p>
    <w:p w14:paraId="767C8CA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国有资本经营预算收入2,081万元，为年初预算的74.91%，为调整预算的100.00%，比2023年</w:t>
      </w:r>
      <w:r>
        <w:rPr>
          <w:rFonts w:hint="eastAsia" w:ascii="Times New Roman" w:hAnsi="Times New Roman" w:eastAsia="仿宋_GB2312" w:cs="Times New Roman"/>
          <w:color w:val="000000"/>
          <w:sz w:val="32"/>
          <w:szCs w:val="32"/>
          <w:highlight w:val="none"/>
          <w:lang w:val="en-US" w:eastAsia="zh-CN"/>
        </w:rPr>
        <w:t>下</w:t>
      </w:r>
      <w:r>
        <w:rPr>
          <w:rFonts w:hint="default" w:ascii="Times New Roman" w:hAnsi="Times New Roman" w:eastAsia="仿宋_GB2312" w:cs="Times New Roman"/>
          <w:color w:val="000000"/>
          <w:sz w:val="32"/>
          <w:szCs w:val="32"/>
          <w:highlight w:val="none"/>
          <w:lang w:val="en-US" w:eastAsia="zh-CN"/>
        </w:rPr>
        <w:t>降65.03%。加上上级补助收入858万元、上年结余收入45万元，收入方总计2,984万元。国有资本经营预算支出395万元，为年初预算的46.09%，为调整预算的46.09%，比2023年下降73.74%。加上调出资金2,095万元、年终结余494万元</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eastAsia="zh-CN"/>
        </w:rPr>
        <w:t>均为结转下年支出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，支出方总计2,984万元。收支平衡。</w:t>
      </w:r>
    </w:p>
    <w:p w14:paraId="12936CF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与向区第十七届人民代表大会第四次会议报告的执行数相比，无变化。</w:t>
      </w:r>
    </w:p>
    <w:p w14:paraId="0CBBF0B2">
      <w:pPr>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outlineLvl w:val="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（四）社会保险基金预算收支</w:t>
      </w:r>
      <w:r>
        <w:rPr>
          <w:rFonts w:hint="default" w:ascii="Times New Roman" w:hAnsi="Times New Roman" w:eastAsia="楷体_GB2312" w:cs="Times New Roman"/>
          <w:color w:val="000000"/>
          <w:sz w:val="32"/>
          <w:szCs w:val="32"/>
          <w:highlight w:val="none"/>
          <w:lang w:eastAsia="zh-CN"/>
        </w:rPr>
        <w:t>决算</w:t>
      </w:r>
      <w:r>
        <w:rPr>
          <w:rFonts w:hint="default" w:ascii="Times New Roman" w:hAnsi="Times New Roman" w:eastAsia="楷体_GB2312" w:cs="Times New Roman"/>
          <w:color w:val="000000"/>
          <w:sz w:val="32"/>
          <w:szCs w:val="32"/>
          <w:highlight w:val="none"/>
        </w:rPr>
        <w:t>情况</w:t>
      </w:r>
    </w:p>
    <w:p w14:paraId="4DB08C58">
      <w:pPr>
        <w:pStyle w:val="5"/>
        <w:ind w:left="0" w:leftChars="0" w:firstLine="640" w:firstLineChars="200"/>
        <w:rPr>
          <w:rFonts w:hint="default"/>
          <w:color w:val="000000"/>
          <w:highlight w:val="none"/>
          <w:lang w:val="en-US" w:eastAsia="zh-CN"/>
        </w:rPr>
      </w:pPr>
      <w:r>
        <w:rPr>
          <w:rFonts w:hint="default" w:ascii="Times New Roman" w:hAnsi="Times New Roman" w:cs="Times New Roman"/>
          <w:color w:val="000000"/>
          <w:highlight w:val="none"/>
        </w:rPr>
        <w:t>官渡区社会保险基金统一由省市财政部门统筹，所有社保基金年终由上级财政部门统一结算，全区社会保险基金预算收支平衡情况不作反映。</w:t>
      </w:r>
    </w:p>
    <w:p w14:paraId="4CE48B91">
      <w:pPr>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outlineLvl w:val="0"/>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（五）地方政府债务情况</w:t>
      </w:r>
    </w:p>
    <w:p w14:paraId="5EA5AAA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2024年底全区政府法定债务余额为1,145,992.49万元，其中：一般债券余额161,506.49万元，专项债券余额为984,486万元。从债务期限来看，</w:t>
      </w:r>
      <w:r>
        <w:rPr>
          <w:rFonts w:hint="default" w:ascii="Times New Roman" w:hAnsi="Times New Roman" w:eastAsia="仿宋_GB2312" w:cs="Times New Roman"/>
          <w:color w:val="000000"/>
          <w:sz w:val="32"/>
          <w:szCs w:val="32"/>
          <w:highlight w:val="none"/>
          <w:lang w:val="en-US" w:eastAsia="zh-CN"/>
        </w:rPr>
        <w:t>3年内到期债务192,580万元，3-10年（不含3年）到期债务937,412.49万元，10年（不含10年）以上到期债务16,000万元。</w:t>
      </w:r>
    </w:p>
    <w:p w14:paraId="18ED50D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一般债券余额161,506.49万元，2024年偿还一般债券本息共计5,002.77万元，其中：一般债券到期还本340万元（通过财政预算资金偿还），一般债券到期付息4,662.77万元。</w:t>
      </w:r>
    </w:p>
    <w:p w14:paraId="54B5E4C3">
      <w:pPr>
        <w:pStyle w:val="6"/>
        <w:keepNext w:val="0"/>
        <w:keepLines w:val="0"/>
        <w:pageBreakBefore w:val="0"/>
        <w:kinsoku/>
        <w:wordWrap/>
        <w:overflowPunct/>
        <w:topLinePunct w:val="0"/>
        <w:bidi w:val="0"/>
        <w:adjustRightInd/>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专项债券余额984,486万元，2024年偿还专项债券本息共计150,137.39万元，其中：专项债券到期还本120,000万元（通过项目单位自筹资金偿还12,000万元，通过再融资专项债券偿还108,000万元）,专项债券到期付息30,137.39万元。2024年发行再融资专项债券132,086万元，其中:偿还到期专债本金108,000万元，偿还存量债务24,086万元。</w:t>
      </w:r>
    </w:p>
    <w:p w14:paraId="6B09A09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按照《昆明市财政局关于核定2024年政府债务限额的通知》（昆财债〔202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号）明确202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年总限额为1</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169</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486万元，其中：一般</w:t>
      </w:r>
      <w:r>
        <w:rPr>
          <w:rFonts w:hint="eastAsia" w:eastAsia="仿宋_GB2312" w:cs="Times New Roman"/>
          <w:color w:val="000000"/>
          <w:sz w:val="32"/>
          <w:szCs w:val="32"/>
          <w:highlight w:val="none"/>
          <w:lang w:val="en-US" w:eastAsia="zh-CN"/>
        </w:rPr>
        <w:t>债务</w:t>
      </w:r>
      <w:r>
        <w:rPr>
          <w:rFonts w:hint="default" w:ascii="Times New Roman" w:hAnsi="Times New Roman" w:eastAsia="仿宋_GB2312" w:cs="Times New Roman"/>
          <w:color w:val="000000"/>
          <w:sz w:val="32"/>
          <w:szCs w:val="32"/>
          <w:highlight w:val="none"/>
          <w:lang w:val="en-US" w:eastAsia="zh-CN"/>
        </w:rPr>
        <w:t>171</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400万元，专项</w:t>
      </w:r>
      <w:r>
        <w:rPr>
          <w:rFonts w:hint="eastAsia" w:eastAsia="仿宋_GB2312" w:cs="Times New Roman"/>
          <w:color w:val="000000"/>
          <w:sz w:val="32"/>
          <w:szCs w:val="32"/>
          <w:highlight w:val="none"/>
          <w:lang w:val="en-US" w:eastAsia="zh-CN"/>
        </w:rPr>
        <w:t>债务</w:t>
      </w:r>
      <w:r>
        <w:rPr>
          <w:rFonts w:hint="default" w:ascii="Times New Roman" w:hAnsi="Times New Roman" w:eastAsia="仿宋_GB2312" w:cs="Times New Roman"/>
          <w:color w:val="000000"/>
          <w:sz w:val="32"/>
          <w:szCs w:val="32"/>
          <w:highlight w:val="none"/>
          <w:lang w:val="en-US" w:eastAsia="zh-CN"/>
        </w:rPr>
        <w:t>998</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086万元。</w:t>
      </w:r>
      <w:r>
        <w:rPr>
          <w:rFonts w:hint="default" w:ascii="Times New Roman" w:hAnsi="Times New Roman" w:eastAsia="仿宋_GB2312" w:cs="Times New Roman"/>
          <w:snapToGrid w:val="0"/>
          <w:color w:val="000000"/>
          <w:kern w:val="2"/>
          <w:sz w:val="32"/>
          <w:szCs w:val="32"/>
          <w:lang w:val="en-US" w:eastAsia="zh-CN" w:bidi="ar-SA"/>
        </w:rPr>
        <w:t>债务余额未超过债务限额</w:t>
      </w:r>
      <w:r>
        <w:rPr>
          <w:rFonts w:hint="default" w:ascii="Times New Roman" w:hAnsi="Times New Roman" w:eastAsia="仿宋_GB2312" w:cs="Times New Roman"/>
          <w:color w:val="000000"/>
          <w:sz w:val="32"/>
          <w:szCs w:val="32"/>
          <w:highlight w:val="none"/>
          <w:lang w:val="en-US" w:eastAsia="zh-CN"/>
        </w:rPr>
        <w:t>。</w:t>
      </w:r>
    </w:p>
    <w:p w14:paraId="1CC1DF12">
      <w:pPr>
        <w:pStyle w:val="15"/>
        <w:keepNext w:val="0"/>
        <w:keepLines w:val="0"/>
        <w:pageBreakBefore w:val="0"/>
        <w:widowControl/>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黑体" w:cs="Times New Roman"/>
          <w:color w:val="000000"/>
          <w:sz w:val="32"/>
          <w:szCs w:val="32"/>
          <w:highlight w:val="none"/>
          <w:shd w:val="clear" w:color="auto" w:fill="FFFFFF"/>
          <w:lang w:eastAsia="zh-CN"/>
        </w:rPr>
      </w:pPr>
      <w:r>
        <w:rPr>
          <w:rFonts w:hint="default" w:ascii="Times New Roman" w:hAnsi="Times New Roman" w:eastAsia="黑体" w:cs="Times New Roman"/>
          <w:color w:val="000000"/>
          <w:sz w:val="32"/>
          <w:szCs w:val="32"/>
          <w:highlight w:val="none"/>
          <w:shd w:val="clear" w:color="auto" w:fill="FFFFFF"/>
          <w:lang w:eastAsia="zh-CN"/>
        </w:rPr>
        <w:t>二</w:t>
      </w:r>
      <w:r>
        <w:rPr>
          <w:rFonts w:hint="default" w:ascii="Times New Roman" w:hAnsi="Times New Roman" w:eastAsia="黑体" w:cs="Times New Roman"/>
          <w:color w:val="000000"/>
          <w:sz w:val="32"/>
          <w:szCs w:val="32"/>
          <w:highlight w:val="none"/>
          <w:shd w:val="clear" w:color="auto" w:fill="FFFFFF"/>
        </w:rPr>
        <w:t>、</w:t>
      </w:r>
      <w:r>
        <w:rPr>
          <w:rFonts w:hint="default" w:ascii="Times New Roman" w:hAnsi="Times New Roman" w:eastAsia="黑体" w:cs="Times New Roman"/>
          <w:color w:val="000000"/>
          <w:sz w:val="32"/>
          <w:szCs w:val="32"/>
          <w:highlight w:val="none"/>
          <w:shd w:val="clear" w:color="auto" w:fill="FFFFFF"/>
          <w:lang w:val="en-US" w:eastAsia="zh-CN"/>
        </w:rPr>
        <w:t>2024年全区财政工作开展情况</w:t>
      </w:r>
    </w:p>
    <w:p w14:paraId="1CF993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60" w:lineRule="exact"/>
        <w:ind w:left="0" w:right="0" w:firstLine="640" w:firstLineChars="200"/>
        <w:jc w:val="both"/>
        <w:textAlignment w:val="cente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lang w:val="en-US" w:eastAsia="zh-CN"/>
        </w:rPr>
        <w:t>2024年，在区委的领导下，区政府</w:t>
      </w:r>
      <w:r>
        <w:rPr>
          <w:rFonts w:hint="default" w:ascii="Times New Roman" w:hAnsi="Times New Roman" w:eastAsia="仿宋_GB2312" w:cs="Times New Roman"/>
          <w:i w:val="0"/>
          <w:iCs w:val="0"/>
          <w:caps w:val="0"/>
          <w:color w:val="000000"/>
          <w:spacing w:val="0"/>
          <w:sz w:val="32"/>
          <w:szCs w:val="32"/>
          <w:highlight w:val="none"/>
          <w:shd w:val="clear" w:color="auto" w:fill="FFFFFF"/>
        </w:rPr>
        <w:t>财政部门认真贯彻落实中央、省、市、区决策部署，</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多措并举抓收入增财力，全力以赴保重点稳大局，</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兜牢兜实民生底线</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加力防范财政运行风险，不断提升财</w:t>
      </w:r>
      <w:r>
        <w:rPr>
          <w:rFonts w:hint="default" w:ascii="Times New Roman" w:hAnsi="Times New Roman" w:eastAsia="仿宋_GB2312" w:cs="Times New Roman"/>
          <w:color w:val="000000"/>
          <w:sz w:val="32"/>
          <w:szCs w:val="32"/>
          <w:highlight w:val="none"/>
          <w:lang w:val="en-US" w:eastAsia="zh-CN"/>
        </w:rPr>
        <w:t>政治理效能，实现财政总体平稳运行。</w:t>
      </w:r>
    </w:p>
    <w:p w14:paraId="729D0B49">
      <w:pPr>
        <w:pStyle w:val="15"/>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协同联动，多措并举抓实财政收入</w:t>
      </w:r>
    </w:p>
    <w:p w14:paraId="3B8BA47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一是</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压实责任，强化征收管理。</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紧</w:t>
      </w:r>
      <w:r>
        <w:rPr>
          <w:rFonts w:hint="default" w:ascii="Times New Roman" w:hAnsi="Times New Roman" w:eastAsia="仿宋_GB2312" w:cs="Times New Roman"/>
          <w:i w:val="0"/>
          <w:iCs w:val="0"/>
          <w:caps w:val="0"/>
          <w:color w:val="000000"/>
          <w:spacing w:val="0"/>
          <w:sz w:val="32"/>
          <w:szCs w:val="32"/>
          <w:highlight w:val="none"/>
          <w:shd w:val="clear" w:color="auto" w:fill="FFFFFF"/>
        </w:rPr>
        <w:t>盯全年收入目标，</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压实各部门职责，</w:t>
      </w:r>
      <w:r>
        <w:rPr>
          <w:rFonts w:hint="default" w:ascii="Times New Roman" w:hAnsi="Times New Roman" w:eastAsia="仿宋_GB2312" w:cs="Times New Roman"/>
          <w:i w:val="0"/>
          <w:iCs w:val="0"/>
          <w:caps w:val="0"/>
          <w:color w:val="000000"/>
          <w:spacing w:val="0"/>
          <w:sz w:val="32"/>
          <w:szCs w:val="32"/>
          <w:highlight w:val="none"/>
          <w:shd w:val="clear" w:color="auto" w:fill="FFFFFF"/>
        </w:rPr>
        <w:t>以月保季、以季保年，强化收入分析研判和组织调度，</w:t>
      </w:r>
      <w:bookmarkStart w:id="0" w:name="_GoBack"/>
      <w:bookmarkEnd w:id="0"/>
      <w:r>
        <w:rPr>
          <w:rFonts w:hint="default" w:ascii="Times New Roman" w:hAnsi="Times New Roman" w:eastAsia="仿宋_GB2312" w:cs="Times New Roman"/>
          <w:i w:val="0"/>
          <w:iCs w:val="0"/>
          <w:caps w:val="0"/>
          <w:color w:val="000000"/>
          <w:spacing w:val="0"/>
          <w:sz w:val="32"/>
          <w:szCs w:val="32"/>
          <w:highlight w:val="none"/>
          <w:shd w:val="clear" w:color="auto" w:fill="FFFFFF"/>
        </w:rPr>
        <w:t>坚持“抓大不放小”的原则，做到应收尽收、应</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缴</w:t>
      </w:r>
      <w:r>
        <w:rPr>
          <w:rFonts w:hint="default" w:ascii="Times New Roman" w:hAnsi="Times New Roman" w:eastAsia="仿宋_GB2312" w:cs="Times New Roman"/>
          <w:i w:val="0"/>
          <w:iCs w:val="0"/>
          <w:caps w:val="0"/>
          <w:color w:val="000000"/>
          <w:spacing w:val="0"/>
          <w:sz w:val="32"/>
          <w:szCs w:val="32"/>
          <w:highlight w:val="none"/>
          <w:shd w:val="clear" w:color="auto" w:fill="FFFFFF"/>
        </w:rPr>
        <w:t>尽</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缴</w:t>
      </w:r>
      <w:r>
        <w:rPr>
          <w:rFonts w:hint="default" w:ascii="Times New Roman" w:hAnsi="Times New Roman" w:eastAsia="仿宋_GB2312" w:cs="Times New Roman"/>
          <w:i w:val="0"/>
          <w:iCs w:val="0"/>
          <w:caps w:val="0"/>
          <w:color w:val="000000"/>
          <w:spacing w:val="0"/>
          <w:sz w:val="32"/>
          <w:szCs w:val="32"/>
          <w:highlight w:val="none"/>
          <w:shd w:val="clear" w:color="auto" w:fill="FFFFFF"/>
        </w:rPr>
        <w:t>。</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二是</w:t>
      </w:r>
      <w:r>
        <w:rPr>
          <w:rFonts w:hint="default" w:ascii="Times New Roman" w:hAnsi="Times New Roman" w:eastAsia="仿宋_GB2312" w:cs="Times New Roman"/>
          <w:b w:val="0"/>
          <w:bCs w:val="0"/>
          <w:snapToGrid w:val="0"/>
          <w:color w:val="000000"/>
          <w:kern w:val="2"/>
          <w:sz w:val="32"/>
          <w:szCs w:val="32"/>
          <w:highlight w:val="none"/>
          <w:lang w:val="en-US" w:eastAsia="zh-CN" w:bidi="ar-SA"/>
        </w:rPr>
        <w:t>加强部门协同，合力挖潜增收。</w:t>
      </w:r>
      <w:r>
        <w:rPr>
          <w:rFonts w:hint="default" w:ascii="Times New Roman" w:hAnsi="Times New Roman" w:eastAsia="仿宋_GB2312" w:cs="Times New Roman"/>
          <w:color w:val="000000"/>
          <w:kern w:val="2"/>
          <w:sz w:val="32"/>
          <w:szCs w:val="32"/>
          <w:highlight w:val="none"/>
          <w:lang w:val="en-US" w:eastAsia="zh-CN" w:bidi="ar-SA"/>
        </w:rPr>
        <w:t>实时监测房地产市场及房地产企业运行情况，推动</w:t>
      </w:r>
      <w:r>
        <w:rPr>
          <w:rFonts w:hint="default" w:ascii="Times New Roman" w:hAnsi="Times New Roman" w:eastAsia="仿宋_GB2312" w:cs="Times New Roman"/>
          <w:b w:val="0"/>
          <w:bCs w:val="0"/>
          <w:snapToGrid w:val="0"/>
          <w:color w:val="000000"/>
          <w:kern w:val="2"/>
          <w:sz w:val="32"/>
          <w:szCs w:val="32"/>
          <w:highlight w:val="none"/>
          <w:lang w:val="en-US" w:eastAsia="zh-CN" w:bidi="ar-SA"/>
        </w:rPr>
        <w:t>土地增值税清算项目精细化管理，</w:t>
      </w:r>
      <w:r>
        <w:rPr>
          <w:rFonts w:hint="default" w:ascii="Times New Roman" w:hAnsi="Times New Roman" w:eastAsia="仿宋_GB2312" w:cs="Times New Roman"/>
          <w:color w:val="000000"/>
          <w:kern w:val="2"/>
          <w:sz w:val="32"/>
          <w:szCs w:val="32"/>
          <w:highlight w:val="none"/>
          <w:lang w:val="en-US" w:eastAsia="zh-CN" w:bidi="ar-SA"/>
        </w:rPr>
        <w:t>抓好土地增值税预缴、清算征收工作，全年土地增值税入库97</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914万元；</w:t>
      </w:r>
      <w:r>
        <w:rPr>
          <w:rFonts w:hint="eastAsia" w:ascii="Times New Roman" w:hAnsi="Times New Roman" w:cs="Times New Roman"/>
          <w:color w:val="000000"/>
          <w:kern w:val="2"/>
          <w:sz w:val="32"/>
          <w:szCs w:val="32"/>
          <w:highlight w:val="none"/>
          <w:lang w:val="en-US" w:eastAsia="zh-CN" w:bidi="ar-SA"/>
        </w:rPr>
        <w:t>各部门工作联动</w:t>
      </w:r>
      <w:r>
        <w:rPr>
          <w:rFonts w:hint="default" w:ascii="Times New Roman" w:hAnsi="Times New Roman" w:eastAsia="仿宋_GB2312" w:cs="Times New Roman"/>
          <w:b w:val="0"/>
          <w:bCs w:val="0"/>
          <w:snapToGrid w:val="0"/>
          <w:color w:val="000000"/>
          <w:kern w:val="2"/>
          <w:sz w:val="32"/>
          <w:szCs w:val="32"/>
          <w:highlight w:val="none"/>
          <w:lang w:val="en-US" w:eastAsia="zh-CN" w:bidi="ar-SA"/>
        </w:rPr>
        <w:t>，全流程跟进城中村专项借款、中央预算内资金，超长期特别国债等重点项目的工作开展情况，确保资金流向的全链条环节对应产生税款及时入库；借助高效办成一件事契机，</w:t>
      </w:r>
      <w:r>
        <w:rPr>
          <w:rFonts w:hint="default" w:ascii="Times New Roman" w:hAnsi="Times New Roman" w:eastAsia="仿宋_GB2312" w:cs="Times New Roman"/>
          <w:color w:val="000000"/>
          <w:kern w:val="2"/>
          <w:sz w:val="32"/>
          <w:szCs w:val="32"/>
          <w:highlight w:val="none"/>
          <w:lang w:val="en-US" w:eastAsia="zh-CN" w:bidi="ar-SA"/>
        </w:rPr>
        <w:t>抓实辖内一手房契税征收工作；强化非税收入征收管理，盘活存量国有资产资源，年内非税收入入库36</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646万元。</w:t>
      </w: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三</w:t>
      </w: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rPr>
        <w:t>是</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强化服务</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夯实</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税源基础</w:t>
      </w:r>
      <w:r>
        <w:rPr>
          <w:rStyle w:val="19"/>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以</w:t>
      </w:r>
      <w:r>
        <w:rPr>
          <w:rFonts w:hint="default" w:ascii="Times New Roman" w:hAnsi="Times New Roman" w:eastAsia="仿宋_GB2312" w:cs="Times New Roman"/>
          <w:b w:val="0"/>
          <w:bCs w:val="0"/>
          <w:color w:val="000000"/>
          <w:sz w:val="32"/>
          <w:szCs w:val="32"/>
          <w:highlight w:val="none"/>
          <w:lang w:val="en-US" w:eastAsia="zh-CN" w:bidi="ar"/>
        </w:rPr>
        <w:t>第五次全国经济普查及“</w:t>
      </w:r>
      <w:r>
        <w:rPr>
          <w:rFonts w:hint="default" w:ascii="Times New Roman" w:hAnsi="Times New Roman" w:eastAsia="仿宋_GB2312" w:cs="Times New Roman"/>
          <w:bCs/>
          <w:color w:val="000000"/>
          <w:sz w:val="32"/>
          <w:szCs w:val="32"/>
          <w:highlight w:val="none"/>
          <w:lang w:val="en-US" w:eastAsia="zh-CN" w:bidi="ar"/>
        </w:rPr>
        <w:t>千名干部联万企·暖企兴商促发展”工作为契机</w:t>
      </w:r>
      <w:r>
        <w:rPr>
          <w:rFonts w:hint="default" w:ascii="Times New Roman" w:hAnsi="Times New Roman" w:eastAsia="仿宋_GB2312" w:cs="Times New Roman"/>
          <w:i w:val="0"/>
          <w:iCs w:val="0"/>
          <w:caps w:val="0"/>
          <w:color w:val="000000"/>
          <w:spacing w:val="0"/>
          <w:sz w:val="32"/>
          <w:szCs w:val="32"/>
          <w:highlight w:val="none"/>
          <w:shd w:val="clear" w:color="auto" w:fill="FFFFFF"/>
        </w:rPr>
        <w:t>，摸排辖区内企业经营状况及新办户服务需求，加大对纳税企业的服务力度，</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持续助力招商引资和营商环境优化</w:t>
      </w:r>
      <w:r>
        <w:rPr>
          <w:rFonts w:hint="default" w:ascii="Times New Roman" w:hAnsi="Times New Roman" w:eastAsia="仿宋_GB2312" w:cs="Times New Roman"/>
          <w:i w:val="0"/>
          <w:iCs w:val="0"/>
          <w:caps w:val="0"/>
          <w:color w:val="000000"/>
          <w:spacing w:val="0"/>
          <w:sz w:val="32"/>
          <w:szCs w:val="32"/>
          <w:highlight w:val="none"/>
          <w:shd w:val="clear" w:color="auto" w:fill="FFFFFF"/>
        </w:rPr>
        <w:t>，</w:t>
      </w:r>
      <w:r>
        <w:rPr>
          <w:rFonts w:hint="eastAsia" w:ascii="Times New Roman" w:hAnsi="Times New Roman" w:cs="Times New Roman"/>
          <w:i w:val="0"/>
          <w:iCs w:val="0"/>
          <w:caps w:val="0"/>
          <w:color w:val="000000"/>
          <w:spacing w:val="0"/>
          <w:sz w:val="32"/>
          <w:szCs w:val="32"/>
          <w:highlight w:val="none"/>
          <w:shd w:val="clear" w:color="auto" w:fill="FFFFFF"/>
          <w:lang w:eastAsia="zh-CN"/>
        </w:rPr>
        <w:t>以</w:t>
      </w:r>
      <w:r>
        <w:rPr>
          <w:rFonts w:hint="default" w:ascii="Times New Roman" w:hAnsi="Times New Roman" w:eastAsia="仿宋_GB2312" w:cs="Times New Roman"/>
          <w:i w:val="0"/>
          <w:iCs w:val="0"/>
          <w:caps w:val="0"/>
          <w:color w:val="000000"/>
          <w:spacing w:val="0"/>
          <w:sz w:val="32"/>
          <w:szCs w:val="32"/>
          <w:highlight w:val="none"/>
          <w:shd w:val="clear" w:color="auto" w:fill="FFFFFF"/>
        </w:rPr>
        <w:t>夯实</w:t>
      </w:r>
      <w:r>
        <w:rPr>
          <w:rFonts w:hint="eastAsia" w:ascii="Times New Roman" w:hAnsi="Times New Roman" w:cs="Times New Roman"/>
          <w:i w:val="0"/>
          <w:iCs w:val="0"/>
          <w:caps w:val="0"/>
          <w:color w:val="000000"/>
          <w:spacing w:val="0"/>
          <w:sz w:val="32"/>
          <w:szCs w:val="32"/>
          <w:highlight w:val="none"/>
          <w:shd w:val="clear" w:color="auto" w:fill="FFFFFF"/>
          <w:lang w:eastAsia="zh-CN"/>
        </w:rPr>
        <w:t>支柱税源财源基础</w:t>
      </w:r>
      <w:r>
        <w:rPr>
          <w:rFonts w:hint="default" w:ascii="Times New Roman" w:hAnsi="Times New Roman" w:eastAsia="仿宋_GB2312" w:cs="Times New Roman"/>
          <w:i w:val="0"/>
          <w:iCs w:val="0"/>
          <w:caps w:val="0"/>
          <w:color w:val="000000"/>
          <w:spacing w:val="0"/>
          <w:sz w:val="32"/>
          <w:szCs w:val="32"/>
          <w:highlight w:val="none"/>
          <w:shd w:val="clear" w:color="auto" w:fill="FFFFFF"/>
        </w:rPr>
        <w:t>。</w:t>
      </w:r>
    </w:p>
    <w:p w14:paraId="29B282E7">
      <w:pPr>
        <w:pStyle w:val="15"/>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eastAsia" w:ascii="Times New Roman" w:hAnsi="Times New Roman" w:eastAsia="楷体_GB2312" w:cs="Times New Roman"/>
          <w:color w:val="000000"/>
          <w:kern w:val="2"/>
          <w:sz w:val="32"/>
          <w:szCs w:val="32"/>
          <w:highlight w:val="none"/>
          <w:lang w:val="en-US" w:eastAsia="zh-CN" w:bidi="ar-SA"/>
        </w:rPr>
        <w:t>全力以赴，</w:t>
      </w:r>
      <w:r>
        <w:rPr>
          <w:rFonts w:hint="default" w:ascii="Times New Roman" w:hAnsi="Times New Roman" w:eastAsia="楷体_GB2312" w:cs="Times New Roman"/>
          <w:color w:val="000000"/>
          <w:kern w:val="2"/>
          <w:sz w:val="32"/>
          <w:szCs w:val="32"/>
          <w:highlight w:val="none"/>
          <w:lang w:val="en-US" w:eastAsia="zh-CN" w:bidi="ar-SA"/>
        </w:rPr>
        <w:t>民生保障扎实有力</w:t>
      </w:r>
    </w:p>
    <w:p w14:paraId="464BA449">
      <w:pPr>
        <w:pStyle w:val="2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i w:val="0"/>
          <w:iCs w:val="0"/>
          <w:caps w:val="0"/>
          <w:color w:val="000000"/>
          <w:spacing w:val="0"/>
          <w:sz w:val="32"/>
          <w:szCs w:val="32"/>
          <w:highlight w:val="none"/>
          <w:shd w:val="clear" w:color="auto" w:fill="FFFFFF"/>
        </w:rPr>
        <w:t>坚持在发展中保障和改善民生，集中财力保重点、抓落实，持续增进民生福祉。</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全年</w:t>
      </w:r>
      <w:r>
        <w:rPr>
          <w:rFonts w:hint="default" w:ascii="Times New Roman" w:hAnsi="Times New Roman" w:eastAsia="仿宋_GB2312" w:cs="Times New Roman"/>
          <w:i w:val="0"/>
          <w:iCs w:val="0"/>
          <w:caps w:val="0"/>
          <w:color w:val="000000"/>
          <w:spacing w:val="0"/>
          <w:sz w:val="32"/>
          <w:szCs w:val="32"/>
          <w:highlight w:val="none"/>
          <w:shd w:val="clear" w:color="auto" w:fill="FFFFFF"/>
        </w:rPr>
        <w:t>涉及民生领域支出</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465</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890</w:t>
      </w:r>
      <w:r>
        <w:rPr>
          <w:rFonts w:hint="default" w:ascii="Times New Roman" w:hAnsi="Times New Roman" w:eastAsia="仿宋_GB2312" w:cs="Times New Roman"/>
          <w:i w:val="0"/>
          <w:iCs w:val="0"/>
          <w:caps w:val="0"/>
          <w:color w:val="000000"/>
          <w:spacing w:val="0"/>
          <w:sz w:val="32"/>
          <w:szCs w:val="32"/>
          <w:highlight w:val="none"/>
          <w:shd w:val="clear" w:color="auto" w:fill="FFFFFF"/>
        </w:rPr>
        <w:t>万元，占一般公共预算支出的</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81.22</w:t>
      </w:r>
      <w:r>
        <w:rPr>
          <w:rFonts w:hint="default" w:ascii="Times New Roman" w:hAnsi="Times New Roman" w:eastAsia="仿宋_GB2312" w:cs="Times New Roman"/>
          <w:i w:val="0"/>
          <w:iCs w:val="0"/>
          <w:caps w:val="0"/>
          <w:color w:val="000000"/>
          <w:spacing w:val="0"/>
          <w:sz w:val="32"/>
          <w:szCs w:val="32"/>
          <w:highlight w:val="none"/>
          <w:shd w:val="clear" w:color="auto" w:fill="FFFFFF"/>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，较上年提升</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5.62个百分点</w:t>
      </w:r>
      <w:r>
        <w:rPr>
          <w:rFonts w:hint="default" w:ascii="Times New Roman" w:hAnsi="Times New Roman" w:eastAsia="仿宋_GB2312" w:cs="Times New Roman"/>
          <w:i w:val="0"/>
          <w:iCs w:val="0"/>
          <w:caps w:val="0"/>
          <w:color w:val="000000"/>
          <w:spacing w:val="0"/>
          <w:sz w:val="32"/>
          <w:szCs w:val="32"/>
          <w:highlight w:val="none"/>
          <w:shd w:val="clear" w:color="auto" w:fill="FFFFFF"/>
        </w:rPr>
        <w:t>。</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一是</w:t>
      </w:r>
      <w:r>
        <w:rPr>
          <w:rFonts w:hint="default" w:ascii="Times New Roman" w:hAnsi="Times New Roman" w:eastAsia="仿宋_GB2312" w:cs="Times New Roman"/>
          <w:b w:val="0"/>
          <w:bCs w:val="0"/>
          <w:color w:val="000000"/>
          <w:spacing w:val="0"/>
          <w:sz w:val="32"/>
          <w:szCs w:val="32"/>
          <w:highlight w:val="none"/>
          <w:lang w:val="en-US" w:eastAsia="zh-CN"/>
        </w:rPr>
        <w:t>坚持教育优先。严格落实教育经费“只增不减”，教育支出159</w:t>
      </w:r>
      <w:r>
        <w:rPr>
          <w:rFonts w:hint="eastAsia"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056</w:t>
      </w:r>
      <w:r>
        <w:rPr>
          <w:rFonts w:hint="default" w:ascii="Times New Roman" w:hAnsi="Times New Roman" w:eastAsia="仿宋_GB2312" w:cs="Times New Roman"/>
          <w:color w:val="000000"/>
          <w:spacing w:val="0"/>
          <w:sz w:val="32"/>
          <w:szCs w:val="32"/>
          <w:highlight w:val="none"/>
          <w:lang w:val="en-US" w:eastAsia="zh-CN"/>
        </w:rPr>
        <w:t>万元</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不含教师社会保障部分支出</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w:t>
      </w:r>
      <w:r>
        <w:rPr>
          <w:rFonts w:hint="eastAsia" w:ascii="Times New Roman" w:hAnsi="Times New Roman" w:eastAsia="仿宋_GB2312" w:cs="Times New Roman"/>
          <w:color w:val="000000"/>
          <w:spacing w:val="0"/>
          <w:sz w:val="32"/>
          <w:szCs w:val="32"/>
          <w:highlight w:val="none"/>
          <w:lang w:val="en-US" w:eastAsia="zh-CN"/>
        </w:rPr>
        <w:t>着力解决入学难问题，</w:t>
      </w:r>
      <w:r>
        <w:rPr>
          <w:rFonts w:hint="default" w:ascii="Times New Roman" w:hAnsi="Times New Roman" w:eastAsia="仿宋_GB2312" w:cs="Times New Roman"/>
          <w:color w:val="000000"/>
          <w:spacing w:val="0"/>
          <w:sz w:val="32"/>
          <w:szCs w:val="32"/>
          <w:highlight w:val="none"/>
          <w:lang w:val="en-US" w:eastAsia="zh-CN"/>
        </w:rPr>
        <w:t>努力实现官渡区从“有学上”向“上好学”转变，推动义务教育均衡发展。</w:t>
      </w: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rPr>
        <w:t>二是</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加强社会保障和就业工作，健全多层次社会保障体系。</w:t>
      </w:r>
      <w:r>
        <w:rPr>
          <w:rFonts w:hint="default" w:ascii="Times New Roman" w:hAnsi="Times New Roman" w:eastAsia="仿宋_GB2312" w:cs="Times New Roman"/>
          <w:b w:val="0"/>
          <w:bCs w:val="0"/>
          <w:color w:val="000000"/>
          <w:spacing w:val="0"/>
          <w:sz w:val="32"/>
          <w:szCs w:val="32"/>
          <w:highlight w:val="none"/>
          <w:lang w:val="en-US" w:eastAsia="zh-CN"/>
        </w:rPr>
        <w:t>社会保障和就业支出111</w:t>
      </w:r>
      <w:r>
        <w:rPr>
          <w:rFonts w:hint="eastAsia" w:ascii="Times New Roman" w:hAnsi="Times New Roman" w:eastAsia="仿宋_GB2312" w:cs="Times New Roman"/>
          <w:b w:val="0"/>
          <w:bCs w:val="0"/>
          <w:color w:val="000000"/>
          <w:spacing w:val="0"/>
          <w:sz w:val="32"/>
          <w:szCs w:val="32"/>
          <w:highlight w:val="none"/>
          <w:lang w:val="en-US" w:eastAsia="zh-CN"/>
        </w:rPr>
        <w:t>,</w:t>
      </w:r>
      <w:r>
        <w:rPr>
          <w:rFonts w:hint="default" w:ascii="Times New Roman" w:hAnsi="Times New Roman" w:eastAsia="仿宋_GB2312" w:cs="Times New Roman"/>
          <w:b w:val="0"/>
          <w:bCs w:val="0"/>
          <w:color w:val="000000"/>
          <w:spacing w:val="0"/>
          <w:sz w:val="32"/>
          <w:szCs w:val="32"/>
          <w:highlight w:val="none"/>
          <w:lang w:val="en-US" w:eastAsia="zh-CN"/>
        </w:rPr>
        <w:t>715万元，</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重点用于养老服务</w:t>
      </w:r>
      <w:r>
        <w:rPr>
          <w:rFonts w:hint="eastAsia"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体系</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建设</w:t>
      </w:r>
      <w:r>
        <w:rPr>
          <w:rFonts w:hint="default" w:ascii="Times New Roman" w:hAnsi="Times New Roman" w:eastAsia="仿宋_GB2312" w:cs="Times New Roman"/>
          <w:i w:val="0"/>
          <w:iCs w:val="0"/>
          <w:caps w:val="0"/>
          <w:color w:val="000000"/>
          <w:spacing w:val="0"/>
          <w:sz w:val="32"/>
          <w:szCs w:val="32"/>
          <w:highlight w:val="none"/>
          <w:shd w:val="clear" w:color="auto" w:fill="FFFFFF"/>
        </w:rPr>
        <w:t>、最低生活保障、</w:t>
      </w:r>
      <w:r>
        <w:rPr>
          <w:rFonts w:hint="default" w:ascii="Times New Roman" w:hAnsi="Times New Roman" w:eastAsia="仿宋_GB2312" w:cs="Times New Roman"/>
          <w:color w:val="000000"/>
          <w:spacing w:val="0"/>
          <w:sz w:val="32"/>
          <w:szCs w:val="32"/>
          <w:highlight w:val="none"/>
          <w:lang w:val="en-US" w:eastAsia="zh-CN"/>
        </w:rPr>
        <w:t>特困人群救助</w:t>
      </w:r>
      <w:r>
        <w:rPr>
          <w:rFonts w:hint="default" w:ascii="Times New Roman" w:hAnsi="Times New Roman" w:eastAsia="仿宋_GB2312" w:cs="Times New Roman"/>
          <w:i w:val="0"/>
          <w:iCs w:val="0"/>
          <w:caps w:val="0"/>
          <w:color w:val="000000"/>
          <w:spacing w:val="0"/>
          <w:sz w:val="32"/>
          <w:szCs w:val="32"/>
          <w:highlight w:val="none"/>
          <w:shd w:val="clear" w:color="auto" w:fill="FFFFFF"/>
        </w:rPr>
        <w:t>、城乡居民基本养老保险补助等方面。</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三是</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深入推动医疗卫生高质量发展</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卫生健康支出</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53</w:t>
      </w:r>
      <w:r>
        <w:rPr>
          <w:rFonts w:hint="eastAsia"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629</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万元，</w:t>
      </w:r>
      <w:r>
        <w:rPr>
          <w:rFonts w:hint="eastAsia"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涉及</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基本公共卫生服务建设、</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基层医疗卫生机构、城乡居民基本医疗</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保险</w:t>
      </w:r>
      <w:r>
        <w:rPr>
          <w:rFonts w:hint="default" w:ascii="Times New Roman" w:hAnsi="Times New Roman" w:eastAsia="仿宋_GB2312" w:cs="Times New Roman"/>
          <w:i w:val="0"/>
          <w:iCs w:val="0"/>
          <w:caps w:val="0"/>
          <w:color w:val="000000"/>
          <w:spacing w:val="0"/>
          <w:sz w:val="32"/>
          <w:szCs w:val="32"/>
          <w:highlight w:val="none"/>
          <w:shd w:val="clear" w:color="auto" w:fill="FFFFFF"/>
        </w:rPr>
        <w:t>等方面。</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四是</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加强住房保障投入。住房保障投入</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86</w:t>
      </w:r>
      <w:r>
        <w:rPr>
          <w:rFonts w:hint="eastAsia"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159万元，着力推进老旧小区改造、</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城中村改造配套基础设施</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项目。</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五是</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持续</w:t>
      </w:r>
      <w:r>
        <w:rPr>
          <w:rFonts w:hint="default" w:ascii="Times New Roman" w:hAnsi="Times New Roman" w:eastAsia="仿宋_GB2312" w:cs="Times New Roman"/>
          <w:b w:val="0"/>
          <w:bCs w:val="0"/>
          <w:color w:val="000000"/>
          <w:spacing w:val="0"/>
          <w:kern w:val="2"/>
          <w:sz w:val="32"/>
          <w:szCs w:val="32"/>
          <w:highlight w:val="none"/>
          <w:lang w:val="en-US" w:eastAsia="zh-CN" w:bidi="ar-SA"/>
        </w:rPr>
        <w:t>落实惠民惠农财政补贴“一卡通”补助政策。全年实施惠民惠</w:t>
      </w:r>
      <w:r>
        <w:rPr>
          <w:rFonts w:hint="default" w:ascii="Times New Roman" w:hAnsi="Times New Roman" w:eastAsia="仿宋_GB2312" w:cs="Times New Roman"/>
          <w:color w:val="000000"/>
          <w:spacing w:val="0"/>
          <w:kern w:val="2"/>
          <w:sz w:val="32"/>
          <w:szCs w:val="32"/>
          <w:highlight w:val="none"/>
          <w:lang w:val="en-US" w:eastAsia="zh-CN" w:bidi="ar-SA"/>
        </w:rPr>
        <w:t>农财政</w:t>
      </w:r>
      <w:r>
        <w:rPr>
          <w:rFonts w:hint="default" w:ascii="Times New Roman" w:hAnsi="Times New Roman" w:eastAsia="仿宋_GB2312" w:cs="Times New Roman"/>
          <w:color w:val="000000"/>
          <w:spacing w:val="0"/>
          <w:sz w:val="32"/>
          <w:szCs w:val="32"/>
          <w:highlight w:val="none"/>
          <w:lang w:val="en-US" w:eastAsia="zh-CN"/>
        </w:rPr>
        <w:t>补贴项目39个，发放补贴资金15,380万元，惠及群众36万人次。</w:t>
      </w:r>
    </w:p>
    <w:p w14:paraId="6086F463">
      <w:pPr>
        <w:pStyle w:val="15"/>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科学统筹，不断增强财政保障能力</w:t>
      </w:r>
    </w:p>
    <w:p w14:paraId="5E34BE5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firstLine="643" w:firstLineChars="200"/>
        <w:textAlignment w:val="auto"/>
        <w:outlineLvl w:val="0"/>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b w:val="0"/>
          <w:bCs w:val="0"/>
          <w:color w:val="000000"/>
          <w:spacing w:val="0"/>
          <w:sz w:val="32"/>
          <w:szCs w:val="32"/>
          <w:highlight w:val="none"/>
          <w:lang w:val="en-US" w:eastAsia="zh-CN"/>
        </w:rPr>
        <w:t>多渠道筹措资金。</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紧盯上级政策导向和资金投向，加强政策研究与沟通汇报，积极配合和支持各部门</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努力向上争取资金</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w:t>
      </w:r>
      <w:r>
        <w:rPr>
          <w:rFonts w:hint="eastAsia" w:ascii="Times New Roman" w:hAnsi="Times New Roman" w:eastAsia="仿宋_GB2312" w:cs="Times New Roman"/>
          <w:b w:val="0"/>
          <w:bCs w:val="0"/>
          <w:color w:val="000000"/>
          <w:spacing w:val="0"/>
          <w:sz w:val="32"/>
          <w:szCs w:val="32"/>
          <w:highlight w:val="none"/>
          <w:lang w:val="en-US" w:eastAsia="zh-CN"/>
        </w:rPr>
        <w:t>全年争取国债资金</w:t>
      </w:r>
      <w:r>
        <w:rPr>
          <w:rFonts w:hint="default" w:ascii="Times New Roman" w:hAnsi="Times New Roman" w:eastAsia="仿宋_GB2312" w:cs="Times New Roman"/>
          <w:b w:val="0"/>
          <w:bCs w:val="0"/>
          <w:color w:val="000000"/>
          <w:spacing w:val="0"/>
          <w:sz w:val="32"/>
          <w:szCs w:val="32"/>
          <w:highlight w:val="none"/>
          <w:lang w:val="en-US" w:eastAsia="zh-CN"/>
        </w:rPr>
        <w:t>2</w:t>
      </w:r>
      <w:r>
        <w:rPr>
          <w:rFonts w:hint="eastAsia" w:ascii="Times New Roman" w:hAnsi="Times New Roman" w:eastAsia="仿宋_GB2312" w:cs="Times New Roman"/>
          <w:b w:val="0"/>
          <w:bCs w:val="0"/>
          <w:color w:val="000000"/>
          <w:spacing w:val="0"/>
          <w:sz w:val="32"/>
          <w:szCs w:val="32"/>
          <w:highlight w:val="none"/>
          <w:lang w:val="en-US" w:eastAsia="zh-CN"/>
        </w:rPr>
        <w:t>3</w:t>
      </w:r>
      <w:r>
        <w:rPr>
          <w:rFonts w:hint="default" w:ascii="Times New Roman" w:hAnsi="Times New Roman" w:eastAsia="仿宋_GB2312" w:cs="Times New Roman"/>
          <w:b w:val="0"/>
          <w:bCs w:val="0"/>
          <w:color w:val="000000"/>
          <w:spacing w:val="0"/>
          <w:sz w:val="32"/>
          <w:szCs w:val="32"/>
          <w:highlight w:val="none"/>
          <w:lang w:val="en-US" w:eastAsia="zh-CN"/>
        </w:rPr>
        <w:t>,600</w:t>
      </w:r>
      <w:r>
        <w:rPr>
          <w:rFonts w:hint="eastAsia" w:ascii="Times New Roman" w:hAnsi="Times New Roman" w:eastAsia="仿宋_GB2312" w:cs="Times New Roman"/>
          <w:b w:val="0"/>
          <w:bCs w:val="0"/>
          <w:color w:val="000000"/>
          <w:spacing w:val="0"/>
          <w:sz w:val="32"/>
          <w:szCs w:val="32"/>
          <w:highlight w:val="none"/>
          <w:lang w:val="en-US" w:eastAsia="zh-CN"/>
        </w:rPr>
        <w:t>万元，其中：超长期特别国债资金20,600万元</w:t>
      </w:r>
      <w:r>
        <w:rPr>
          <w:rFonts w:hint="eastAsia"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，主要用于</w:t>
      </w:r>
      <w:r>
        <w:rPr>
          <w:rFonts w:hint="eastAsia" w:ascii="Times New Roman" w:hAnsi="Times New Roman" w:eastAsia="仿宋_GB2312" w:cs="Times New Roman"/>
          <w:b w:val="0"/>
          <w:bCs w:val="0"/>
          <w:color w:val="000000"/>
          <w:spacing w:val="0"/>
          <w:sz w:val="32"/>
          <w:szCs w:val="32"/>
          <w:highlight w:val="none"/>
          <w:lang w:val="en-US" w:eastAsia="zh-CN"/>
        </w:rPr>
        <w:t>校安工程建设、排水管网改造、排水防涝及淹积水点整治等项目；增发国债资金3,000万元，主要用于雨污分流改造项目。年内共计拨付11,827万元，持续为辖区内教育基础设施建设、海绵城市建设、</w:t>
      </w:r>
      <w:r>
        <w:rPr>
          <w:rFonts w:hint="default" w:ascii="Times New Roman" w:hAnsi="Times New Roman" w:eastAsia="仿宋_GB2312" w:cs="Times New Roman"/>
          <w:b w:val="0"/>
          <w:bCs w:val="0"/>
          <w:color w:val="000000"/>
          <w:spacing w:val="0"/>
          <w:sz w:val="32"/>
          <w:szCs w:val="32"/>
          <w:highlight w:val="none"/>
          <w:lang w:val="en-US" w:eastAsia="zh-CN"/>
        </w:rPr>
        <w:t>城区品质提档升级</w:t>
      </w:r>
      <w:r>
        <w:rPr>
          <w:rFonts w:hint="eastAsia" w:ascii="Times New Roman" w:hAnsi="Times New Roman" w:eastAsia="仿宋_GB2312" w:cs="Times New Roman"/>
          <w:b w:val="0"/>
          <w:bCs w:val="0"/>
          <w:color w:val="000000"/>
          <w:spacing w:val="0"/>
          <w:sz w:val="32"/>
          <w:szCs w:val="32"/>
          <w:highlight w:val="none"/>
          <w:lang w:val="en-US" w:eastAsia="zh-CN"/>
        </w:rPr>
        <w:t>助入财政力量。</w:t>
      </w:r>
      <w:r>
        <w:rPr>
          <w:rFonts w:hint="default" w:ascii="Times New Roman" w:hAnsi="Times New Roman" w:eastAsia="仿宋_GB2312" w:cs="Times New Roman"/>
          <w:b w:val="0"/>
          <w:bCs w:val="0"/>
          <w:color w:val="000000"/>
          <w:spacing w:val="0"/>
          <w:sz w:val="32"/>
          <w:szCs w:val="32"/>
          <w:highlight w:val="none"/>
          <w:lang w:val="en-US" w:eastAsia="zh-CN"/>
        </w:rPr>
        <w:t>争取中央预算内资金77,483万元</w:t>
      </w:r>
      <w:r>
        <w:rPr>
          <w:rFonts w:hint="eastAsia" w:ascii="Times New Roman" w:hAnsi="Times New Roman" w:eastAsia="仿宋_GB2312" w:cs="Times New Roman"/>
          <w:b w:val="0"/>
          <w:bCs w:val="0"/>
          <w:color w:val="000000"/>
          <w:spacing w:val="0"/>
          <w:sz w:val="32"/>
          <w:szCs w:val="32"/>
          <w:highlight w:val="none"/>
          <w:lang w:val="en-US" w:eastAsia="zh-CN"/>
        </w:rPr>
        <w:t>，主要用于老旧小区、城中村改造项目配套基础建设，年内共计拨付20,457万元，持续改善居住环境，促进城市可持续发展。</w:t>
      </w:r>
      <w:r>
        <w:rPr>
          <w:rFonts w:hint="default" w:ascii="Times New Roman" w:hAnsi="Times New Roman" w:eastAsia="仿宋_GB2312" w:cs="Times New Roman"/>
          <w:color w:val="000000"/>
          <w:spacing w:val="0"/>
          <w:kern w:val="2"/>
          <w:sz w:val="32"/>
          <w:szCs w:val="32"/>
          <w:highlight w:val="none"/>
          <w:lang w:val="en-US" w:eastAsia="zh-CN" w:bidi="ar-SA"/>
        </w:rPr>
        <w:t>争取再融资专项债券资金132,086万元，及时化解政府专项债务到期还本，清偿拖欠中小企业账款。规范盘活存量资金机制，全年清理收回部门存量资金5</w:t>
      </w:r>
      <w:r>
        <w:rPr>
          <w:rFonts w:hint="eastAsia" w:ascii="Times New Roman" w:hAnsi="Times New Roman" w:eastAsia="仿宋_GB2312" w:cs="Times New Roman"/>
          <w:color w:val="000000"/>
          <w:spacing w:val="0"/>
          <w:kern w:val="2"/>
          <w:sz w:val="32"/>
          <w:szCs w:val="32"/>
          <w:highlight w:val="none"/>
          <w:lang w:val="en-US" w:eastAsia="zh-CN" w:bidi="ar-SA"/>
        </w:rPr>
        <w:t>,</w:t>
      </w:r>
      <w:r>
        <w:rPr>
          <w:rFonts w:hint="default" w:ascii="Times New Roman" w:hAnsi="Times New Roman" w:eastAsia="仿宋_GB2312" w:cs="Times New Roman"/>
          <w:color w:val="000000"/>
          <w:spacing w:val="0"/>
          <w:kern w:val="2"/>
          <w:sz w:val="32"/>
          <w:szCs w:val="32"/>
          <w:highlight w:val="none"/>
          <w:lang w:val="en-US" w:eastAsia="zh-CN" w:bidi="ar-SA"/>
        </w:rPr>
        <w:t>457万元，统筹用于经济社会亟需发展的领域，切实提高资金使用效率。</w:t>
      </w:r>
      <w:r>
        <w:rPr>
          <w:rFonts w:hint="default" w:ascii="Times New Roman" w:hAnsi="Times New Roman" w:eastAsia="仿宋_GB2312" w:cs="Times New Roman"/>
          <w:b/>
          <w:bCs/>
          <w:color w:val="000000"/>
          <w:spacing w:val="0"/>
          <w:sz w:val="32"/>
          <w:szCs w:val="32"/>
          <w:highlight w:val="none"/>
          <w:lang w:val="en-US" w:eastAsia="zh-CN"/>
        </w:rPr>
        <w:t>二是</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rPr>
        <w:t>聚焦财金联动</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b w:val="0"/>
          <w:bCs w:val="0"/>
          <w:color w:val="000000"/>
          <w:spacing w:val="0"/>
          <w:kern w:val="2"/>
          <w:sz w:val="32"/>
          <w:szCs w:val="32"/>
          <w:highlight w:val="none"/>
          <w:lang w:val="en-US" w:eastAsia="zh-CN" w:bidi="ar-SA"/>
        </w:rPr>
        <w:t>加强“财银保企”四方联动，用活用好引导基金、贷款贴息、保费补</w:t>
      </w:r>
      <w:r>
        <w:rPr>
          <w:rFonts w:hint="default" w:ascii="Times New Roman" w:hAnsi="Times New Roman" w:eastAsia="仿宋_GB2312" w:cs="Times New Roman"/>
          <w:color w:val="000000"/>
          <w:spacing w:val="0"/>
          <w:kern w:val="2"/>
          <w:sz w:val="32"/>
          <w:szCs w:val="32"/>
          <w:highlight w:val="none"/>
          <w:lang w:val="en-US" w:eastAsia="zh-CN" w:bidi="ar-SA"/>
        </w:rPr>
        <w:t>贴、应急转贷、政采贷等政策工具，</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全年</w:t>
      </w:r>
      <w:r>
        <w:rPr>
          <w:rFonts w:hint="default" w:ascii="Times New Roman" w:hAnsi="Times New Roman" w:eastAsia="仿宋_GB2312" w:cs="Times New Roman"/>
          <w:color w:val="000000"/>
          <w:spacing w:val="0"/>
          <w:sz w:val="32"/>
          <w:szCs w:val="32"/>
          <w:highlight w:val="none"/>
          <w:lang w:val="en-US" w:eastAsia="zh-CN"/>
        </w:rPr>
        <w:t>财政贴息、奖补119万元，新增发放创业担保贷款264笔，金额4,797万元，直接扶持创业264人，带动就业675人，有</w:t>
      </w:r>
      <w:r>
        <w:rPr>
          <w:rFonts w:hint="default" w:ascii="Times New Roman" w:hAnsi="Times New Roman" w:eastAsia="仿宋_GB2312" w:cs="Times New Roman"/>
          <w:color w:val="000000"/>
          <w:spacing w:val="0"/>
          <w:kern w:val="2"/>
          <w:sz w:val="32"/>
          <w:szCs w:val="32"/>
          <w:highlight w:val="none"/>
          <w:lang w:val="en-US" w:eastAsia="zh-CN" w:bidi="ar-SA"/>
        </w:rPr>
        <w:t>效激发社会创业积极性。</w:t>
      </w:r>
      <w:r>
        <w:rPr>
          <w:rFonts w:hint="default" w:ascii="Times New Roman" w:hAnsi="Times New Roman" w:eastAsia="仿宋_GB2312" w:cs="Times New Roman"/>
          <w:b/>
          <w:bCs/>
          <w:color w:val="000000"/>
          <w:spacing w:val="0"/>
          <w:sz w:val="32"/>
          <w:szCs w:val="32"/>
          <w:highlight w:val="none"/>
          <w:lang w:val="en-US" w:eastAsia="zh-CN"/>
        </w:rPr>
        <w:t>三是</w:t>
      </w:r>
      <w:r>
        <w:rPr>
          <w:rFonts w:hint="default" w:ascii="Times New Roman" w:hAnsi="Times New Roman" w:eastAsia="仿宋_GB2312" w:cs="Times New Roman"/>
          <w:color w:val="000000"/>
          <w:spacing w:val="0"/>
          <w:sz w:val="32"/>
          <w:szCs w:val="32"/>
          <w:highlight w:val="none"/>
          <w:lang w:val="en-US" w:eastAsia="zh-CN"/>
        </w:rPr>
        <w:t>加大对一般公共预算资金、政府性基金预算资金、国有资本经营预算资金、财政专户管理资金及单位自有资金的统筹管理，基于全口径预算角度平衡各类支出需求。2024年，政府性基金预算、国有资本经营预算共计调入2,987万元补充一般公共预算财力。</w:t>
      </w:r>
    </w:p>
    <w:p w14:paraId="7B6CDD0E">
      <w:pPr>
        <w:pStyle w:val="15"/>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eastAsia" w:ascii="Times New Roman" w:hAnsi="Times New Roman" w:eastAsia="楷体_GB2312" w:cs="Times New Roman"/>
          <w:color w:val="000000"/>
          <w:kern w:val="2"/>
          <w:sz w:val="32"/>
          <w:szCs w:val="32"/>
          <w:highlight w:val="none"/>
          <w:lang w:val="en-US" w:eastAsia="zh-CN" w:bidi="ar-SA"/>
        </w:rPr>
        <w:t>深化改革</w:t>
      </w:r>
      <w:r>
        <w:rPr>
          <w:rFonts w:hint="default" w:ascii="Times New Roman" w:hAnsi="Times New Roman" w:eastAsia="楷体_GB2312" w:cs="Times New Roman"/>
          <w:color w:val="000000"/>
          <w:kern w:val="2"/>
          <w:sz w:val="32"/>
          <w:szCs w:val="32"/>
          <w:highlight w:val="none"/>
          <w:lang w:val="en-US" w:eastAsia="zh-CN" w:bidi="ar-SA"/>
        </w:rPr>
        <w:t>，切实提升财政</w:t>
      </w:r>
      <w:r>
        <w:rPr>
          <w:rFonts w:hint="eastAsia" w:ascii="Times New Roman" w:hAnsi="Times New Roman" w:eastAsia="楷体_GB2312" w:cs="Times New Roman"/>
          <w:color w:val="000000"/>
          <w:kern w:val="2"/>
          <w:sz w:val="32"/>
          <w:szCs w:val="32"/>
          <w:highlight w:val="none"/>
          <w:lang w:val="en-US" w:eastAsia="zh-CN" w:bidi="ar-SA"/>
        </w:rPr>
        <w:t>治理能力</w:t>
      </w:r>
    </w:p>
    <w:p w14:paraId="1CC711FE">
      <w:pPr>
        <w:keepNext w:val="0"/>
        <w:keepLines w:val="0"/>
        <w:pageBreakBefore w:val="0"/>
        <w:widowControl w:val="0"/>
        <w:suppressAutoHyphens/>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spacing w:val="0"/>
          <w:sz w:val="32"/>
          <w:szCs w:val="32"/>
          <w:highlight w:val="none"/>
          <w:lang w:val="en-US" w:eastAsia="zh-CN"/>
        </w:rPr>
        <w:t>一是</w:t>
      </w:r>
      <w:r>
        <w:rPr>
          <w:rFonts w:hint="default" w:ascii="Times New Roman" w:hAnsi="Times New Roman" w:eastAsia="仿宋_GB2312" w:cs="Times New Roman"/>
          <w:color w:val="000000"/>
          <w:spacing w:val="0"/>
          <w:sz w:val="32"/>
          <w:szCs w:val="32"/>
          <w:highlight w:val="none"/>
          <w:lang w:val="en-US" w:eastAsia="zh-CN"/>
        </w:rPr>
        <w:t>健全项目支出预算评审制度，促进预算评审科学化、规范化，提高财政资源配置效率。</w:t>
      </w:r>
      <w:r>
        <w:rPr>
          <w:rFonts w:hint="default" w:ascii="Times New Roman" w:hAnsi="Times New Roman" w:eastAsia="仿宋_GB2312" w:cs="Times New Roman"/>
          <w:b/>
          <w:bCs/>
          <w:color w:val="000000"/>
          <w:spacing w:val="0"/>
          <w:sz w:val="32"/>
          <w:szCs w:val="32"/>
          <w:highlight w:val="none"/>
          <w:lang w:val="en-US" w:eastAsia="zh-CN"/>
        </w:rPr>
        <w:t>二是</w:t>
      </w:r>
      <w:r>
        <w:rPr>
          <w:rFonts w:hint="default" w:ascii="Times New Roman" w:hAnsi="Times New Roman" w:eastAsia="仿宋_GB2312" w:cs="Times New Roman"/>
          <w:color w:val="000000"/>
          <w:spacing w:val="0"/>
          <w:sz w:val="32"/>
          <w:szCs w:val="32"/>
          <w:highlight w:val="none"/>
          <w:lang w:val="en-US" w:eastAsia="zh-CN"/>
        </w:rPr>
        <w:t>深化预算绩效管理。强化绩效</w:t>
      </w:r>
      <w:r>
        <w:rPr>
          <w:rFonts w:hint="eastAsia" w:ascii="Times New Roman" w:hAnsi="Times New Roman" w:eastAsia="仿宋_GB2312" w:cs="Times New Roman"/>
          <w:color w:val="000000"/>
          <w:spacing w:val="0"/>
          <w:sz w:val="32"/>
          <w:szCs w:val="32"/>
          <w:highlight w:val="none"/>
          <w:lang w:val="en-US" w:eastAsia="zh-CN"/>
        </w:rPr>
        <w:t>目标</w:t>
      </w:r>
      <w:r>
        <w:rPr>
          <w:rFonts w:hint="default" w:ascii="Times New Roman" w:hAnsi="Times New Roman" w:eastAsia="仿宋_GB2312" w:cs="Times New Roman"/>
          <w:color w:val="000000"/>
          <w:spacing w:val="0"/>
          <w:sz w:val="32"/>
          <w:szCs w:val="32"/>
          <w:highlight w:val="none"/>
          <w:lang w:val="en-US" w:eastAsia="zh-CN"/>
        </w:rPr>
        <w:t>审核，2024年</w:t>
      </w:r>
      <w:r>
        <w:rPr>
          <w:rFonts w:hint="eastAsia" w:ascii="Times New Roman" w:hAnsi="Times New Roman" w:eastAsia="仿宋_GB2312"/>
          <w:color w:val="000000"/>
          <w:sz w:val="32"/>
          <w:szCs w:val="32"/>
          <w:highlight w:val="none"/>
        </w:rPr>
        <w:t>区级项目绩效目标申报考核为“优”的项目共</w:t>
      </w:r>
      <w:r>
        <w:rPr>
          <w:rFonts w:hint="eastAsia" w:ascii="Times New Roman" w:hAnsi="Times New Roman" w:eastAsia="仿宋_GB2312"/>
          <w:color w:val="000000"/>
          <w:sz w:val="32"/>
          <w:szCs w:val="32"/>
          <w:highlight w:val="none"/>
          <w:lang w:val="en-US" w:eastAsia="zh-CN"/>
        </w:rPr>
        <w:t>328</w:t>
      </w:r>
      <w:r>
        <w:rPr>
          <w:rFonts w:hint="eastAsia" w:ascii="Times New Roman" w:hAnsi="Times New Roman" w:eastAsia="仿宋_GB2312"/>
          <w:color w:val="000000"/>
          <w:sz w:val="32"/>
          <w:szCs w:val="32"/>
          <w:highlight w:val="none"/>
        </w:rPr>
        <w:t>个；考核为“良”的项目共</w:t>
      </w:r>
      <w:r>
        <w:rPr>
          <w:rFonts w:hint="eastAsia" w:ascii="Times New Roman" w:hAnsi="Times New Roman" w:eastAsia="仿宋_GB2312"/>
          <w:color w:val="000000"/>
          <w:sz w:val="32"/>
          <w:szCs w:val="32"/>
          <w:highlight w:val="none"/>
          <w:lang w:val="en-US" w:eastAsia="zh-CN"/>
        </w:rPr>
        <w:t>508</w:t>
      </w:r>
      <w:r>
        <w:rPr>
          <w:rFonts w:hint="eastAsia" w:ascii="Times New Roman" w:hAnsi="Times New Roman" w:eastAsia="仿宋_GB2312"/>
          <w:color w:val="000000"/>
          <w:sz w:val="32"/>
          <w:szCs w:val="32"/>
          <w:highlight w:val="none"/>
        </w:rPr>
        <w:t>个；考核为“中”的项目共</w:t>
      </w:r>
      <w:r>
        <w:rPr>
          <w:rFonts w:hint="eastAsia" w:ascii="Times New Roman" w:hAnsi="Times New Roman" w:eastAsia="仿宋_GB2312"/>
          <w:color w:val="000000"/>
          <w:sz w:val="32"/>
          <w:szCs w:val="32"/>
          <w:highlight w:val="none"/>
          <w:lang w:val="en-US" w:eastAsia="zh-CN"/>
        </w:rPr>
        <w:t>312</w:t>
      </w:r>
      <w:r>
        <w:rPr>
          <w:rFonts w:hint="eastAsia" w:ascii="Times New Roman" w:hAnsi="Times New Roman" w:eastAsia="仿宋_GB2312"/>
          <w:color w:val="000000"/>
          <w:sz w:val="32"/>
          <w:szCs w:val="32"/>
          <w:highlight w:val="none"/>
        </w:rPr>
        <w:t>个，考核为“差”的项目共</w:t>
      </w:r>
      <w:r>
        <w:rPr>
          <w:rFonts w:hint="eastAsia" w:ascii="Times New Roman" w:hAnsi="Times New Roman" w:eastAsia="仿宋_GB2312"/>
          <w:color w:val="000000"/>
          <w:sz w:val="32"/>
          <w:szCs w:val="32"/>
          <w:highlight w:val="none"/>
          <w:lang w:val="en-US" w:eastAsia="zh-CN"/>
        </w:rPr>
        <w:t>2</w:t>
      </w:r>
      <w:r>
        <w:rPr>
          <w:rFonts w:hint="eastAsia" w:ascii="Times New Roman" w:hAnsi="Times New Roman" w:eastAsia="仿宋_GB2312"/>
          <w:color w:val="000000"/>
          <w:sz w:val="32"/>
          <w:szCs w:val="32"/>
          <w:highlight w:val="none"/>
        </w:rPr>
        <w:t>个</w:t>
      </w:r>
      <w:r>
        <w:rPr>
          <w:rFonts w:hint="eastAsia" w:ascii="Times New Roman" w:hAnsi="Times New Roman" w:eastAsia="仿宋_GB2312"/>
          <w:color w:val="00000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根据绩效结果运用并结合区级财力实际，审减金额为37</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495</w:t>
      </w:r>
      <w:r>
        <w:rPr>
          <w:rFonts w:hint="eastAsia" w:ascii="Times New Roman" w:hAnsi="Times New Roman" w:eastAsia="仿宋_GB2312" w:cs="Times New Roman"/>
          <w:color w:val="000000"/>
          <w:spacing w:val="0"/>
          <w:sz w:val="32"/>
          <w:szCs w:val="32"/>
          <w:highlight w:val="none"/>
          <w:lang w:val="en-US" w:eastAsia="zh-CN"/>
        </w:rPr>
        <w:t>.57</w:t>
      </w:r>
      <w:r>
        <w:rPr>
          <w:rFonts w:hint="default" w:ascii="Times New Roman" w:hAnsi="Times New Roman" w:eastAsia="仿宋_GB2312" w:cs="Times New Roman"/>
          <w:color w:val="000000"/>
          <w:spacing w:val="0"/>
          <w:sz w:val="32"/>
          <w:szCs w:val="32"/>
          <w:highlight w:val="none"/>
          <w:lang w:val="en-US" w:eastAsia="zh-CN"/>
        </w:rPr>
        <w:t>万元，审减百分比为21.10%；</w:t>
      </w:r>
      <w:r>
        <w:rPr>
          <w:rFonts w:hint="default" w:ascii="Times New Roman" w:hAnsi="Times New Roman" w:eastAsia="仿宋_GB2312" w:cs="Times New Roman"/>
          <w:color w:val="000000"/>
          <w:sz w:val="32"/>
          <w:szCs w:val="32"/>
          <w:highlight w:val="none"/>
          <w:shd w:val="clear" w:color="auto" w:fill="auto"/>
          <w:lang w:val="en-US" w:eastAsia="zh-CN"/>
        </w:rPr>
        <w:t>积极拓展重点绩效评价的广度和深度，2024年财政重点绩效评价</w:t>
      </w:r>
      <w:r>
        <w:rPr>
          <w:rFonts w:hint="default" w:ascii="Times New Roman" w:hAnsi="Times New Roman" w:eastAsia="仿宋_GB2312" w:cs="Times New Roman"/>
          <w:color w:val="000000"/>
          <w:sz w:val="32"/>
          <w:szCs w:val="32"/>
          <w:highlight w:val="none"/>
          <w:lang w:val="en-US" w:eastAsia="zh-CN"/>
        </w:rPr>
        <w:t>覆盖22个单位31个项目，</w:t>
      </w:r>
      <w:r>
        <w:rPr>
          <w:rFonts w:hint="default" w:ascii="Times New Roman" w:hAnsi="Times New Roman" w:eastAsia="仿宋_GB2312" w:cs="Times New Roman"/>
          <w:color w:val="000000"/>
          <w:sz w:val="32"/>
          <w:szCs w:val="32"/>
          <w:highlight w:val="none"/>
          <w:shd w:val="clear" w:color="auto" w:fill="auto"/>
          <w:lang w:val="en-US" w:eastAsia="zh-CN"/>
        </w:rPr>
        <w:t>推动实施全面预算绩效管理；</w:t>
      </w:r>
      <w:r>
        <w:rPr>
          <w:rFonts w:hint="default" w:ascii="Times New Roman" w:hAnsi="Times New Roman" w:eastAsia="仿宋_GB2312" w:cs="Times New Roman"/>
          <w:color w:val="000000"/>
          <w:sz w:val="32"/>
          <w:szCs w:val="32"/>
          <w:highlight w:val="none"/>
          <w:lang w:val="en-US" w:eastAsia="zh-CN"/>
        </w:rPr>
        <w:t>依托预算管理一体化服务平台开展绩效目标审批、绩效监控、绩效自评的全过程管理，实现预算管理与绩效管理深度融合。</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pacing w:val="0"/>
          <w:sz w:val="32"/>
          <w:szCs w:val="32"/>
          <w:highlight w:val="none"/>
          <w:lang w:val="en-US" w:eastAsia="zh-CN"/>
        </w:rPr>
        <w:t>深入推进国企改革，整合国企资源，优化资本布局，完善国有企业监管体制，强化生产经营风险管控，推动区属国有企业高质量发展。</w:t>
      </w:r>
      <w:r>
        <w:rPr>
          <w:rFonts w:hint="default" w:ascii="Times New Roman" w:hAnsi="Times New Roman" w:eastAsia="仿宋_GB2312" w:cs="Times New Roman"/>
          <w:b/>
          <w:bCs/>
          <w:color w:val="000000"/>
          <w:spacing w:val="0"/>
          <w:sz w:val="32"/>
          <w:szCs w:val="32"/>
          <w:highlight w:val="none"/>
          <w:lang w:val="en-US" w:eastAsia="zh-CN"/>
        </w:rPr>
        <w:t>四是</w:t>
      </w:r>
      <w:r>
        <w:rPr>
          <w:rFonts w:hint="default" w:ascii="Times New Roman" w:hAnsi="Times New Roman" w:eastAsia="仿宋_GB2312" w:cs="Times New Roman"/>
          <w:color w:val="000000"/>
          <w:spacing w:val="0"/>
          <w:sz w:val="32"/>
          <w:szCs w:val="32"/>
          <w:highlight w:val="none"/>
          <w:lang w:val="en-US" w:eastAsia="zh-CN"/>
        </w:rPr>
        <w:t>修订完善国有资产使用管理制度，进一步加强对国有资产出租和收益上缴监督管理；加强国有资产盘活力度，推进国有资产共享共用，提高资产使用效益。</w:t>
      </w:r>
    </w:p>
    <w:p w14:paraId="51449B2E">
      <w:pPr>
        <w:pStyle w:val="15"/>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eastAsia" w:ascii="Times New Roman" w:hAnsi="Times New Roman" w:eastAsia="楷体_GB2312" w:cs="Times New Roman"/>
          <w:color w:val="000000"/>
          <w:kern w:val="2"/>
          <w:sz w:val="32"/>
          <w:szCs w:val="32"/>
          <w:highlight w:val="none"/>
          <w:lang w:val="en-US" w:eastAsia="zh-CN" w:bidi="ar-SA"/>
        </w:rPr>
        <w:t>筑牢底线，</w:t>
      </w:r>
      <w:r>
        <w:rPr>
          <w:rFonts w:hint="default" w:ascii="Times New Roman" w:hAnsi="Times New Roman" w:eastAsia="楷体_GB2312" w:cs="Times New Roman"/>
          <w:color w:val="000000"/>
          <w:kern w:val="2"/>
          <w:sz w:val="32"/>
          <w:szCs w:val="32"/>
          <w:highlight w:val="none"/>
          <w:lang w:val="en-US" w:eastAsia="zh-CN" w:bidi="ar-SA"/>
        </w:rPr>
        <w:t>防范重点领域风险</w:t>
      </w:r>
    </w:p>
    <w:p w14:paraId="72C799C0">
      <w:pPr>
        <w:pStyle w:val="21"/>
        <w:keepNext w:val="0"/>
        <w:keepLines w:val="0"/>
        <w:pageBreakBefore w:val="0"/>
        <w:widowControl w:val="0"/>
        <w:numPr>
          <w:ilvl w:val="0"/>
          <w:numId w:val="0"/>
        </w:numPr>
        <w:kinsoku/>
        <w:wordWrap/>
        <w:overflowPunct/>
        <w:topLinePunct w:val="0"/>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FF0000"/>
          <w:kern w:val="2"/>
          <w:sz w:val="32"/>
          <w:szCs w:val="32"/>
          <w:highlight w:val="none"/>
          <w:lang w:val="en-US" w:eastAsia="zh-CN" w:bidi="ar-SA"/>
        </w:rPr>
      </w:pPr>
      <w:r>
        <w:rPr>
          <w:rFonts w:hint="default" w:ascii="Times New Roman" w:hAnsi="Times New Roman" w:eastAsia="仿宋_GB2312" w:cs="Times New Roman"/>
          <w:color w:val="000000"/>
          <w:spacing w:val="0"/>
          <w:kern w:val="2"/>
          <w:sz w:val="32"/>
          <w:szCs w:val="32"/>
          <w:highlight w:val="none"/>
          <w:lang w:val="en-US" w:eastAsia="zh-CN" w:bidi="ar-SA"/>
        </w:rPr>
        <w:t>以防范风险为导向，确保财政发展行稳致远。</w:t>
      </w:r>
      <w:r>
        <w:rPr>
          <w:rFonts w:hint="default" w:ascii="Times New Roman" w:hAnsi="Times New Roman" w:eastAsia="仿宋_GB2312" w:cs="Times New Roman"/>
          <w:b/>
          <w:bCs/>
          <w:color w:val="000000"/>
          <w:spacing w:val="0"/>
          <w:kern w:val="2"/>
          <w:sz w:val="32"/>
          <w:szCs w:val="32"/>
          <w:highlight w:val="none"/>
          <w:lang w:val="en-US" w:eastAsia="zh-CN" w:bidi="ar-SA"/>
        </w:rPr>
        <w:t>一是</w:t>
      </w:r>
      <w:r>
        <w:rPr>
          <w:rFonts w:hint="default" w:ascii="Times New Roman" w:hAnsi="Times New Roman" w:eastAsia="仿宋_GB2312" w:cs="Times New Roman"/>
          <w:i w:val="0"/>
          <w:iCs w:val="0"/>
          <w:caps w:val="0"/>
          <w:color w:val="000000"/>
          <w:spacing w:val="0"/>
          <w:sz w:val="32"/>
          <w:szCs w:val="32"/>
          <w:highlight w:val="none"/>
          <w:shd w:val="clear" w:color="auto" w:fill="FFFFFF"/>
        </w:rPr>
        <w:t>兜牢“三保”底线。足额编制“三保”预算，</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常态化开展</w:t>
      </w:r>
      <w:r>
        <w:rPr>
          <w:rFonts w:hint="default" w:ascii="Times New Roman" w:hAnsi="Times New Roman" w:eastAsia="仿宋_GB2312" w:cs="Times New Roman"/>
          <w:i w:val="0"/>
          <w:iCs w:val="0"/>
          <w:caps w:val="0"/>
          <w:color w:val="000000"/>
          <w:spacing w:val="0"/>
          <w:sz w:val="32"/>
          <w:szCs w:val="32"/>
          <w:highlight w:val="none"/>
          <w:shd w:val="clear" w:color="auto" w:fill="FFFFFF"/>
        </w:rPr>
        <w:t>“三保”执行</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动态运行</w:t>
      </w:r>
      <w:r>
        <w:rPr>
          <w:rFonts w:hint="default" w:ascii="Times New Roman" w:hAnsi="Times New Roman" w:eastAsia="仿宋_GB2312" w:cs="Times New Roman"/>
          <w:i w:val="0"/>
          <w:iCs w:val="0"/>
          <w:caps w:val="0"/>
          <w:color w:val="000000"/>
          <w:spacing w:val="0"/>
          <w:sz w:val="32"/>
          <w:szCs w:val="32"/>
          <w:highlight w:val="none"/>
          <w:shd w:val="clear" w:color="auto" w:fill="FFFFFF"/>
        </w:rPr>
        <w:t>监测，</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坚持</w:t>
      </w:r>
      <w:r>
        <w:rPr>
          <w:rFonts w:hint="default" w:ascii="Times New Roman" w:hAnsi="Times New Roman" w:eastAsia="仿宋_GB2312" w:cs="Times New Roman"/>
          <w:i w:val="0"/>
          <w:iCs w:val="0"/>
          <w:caps w:val="0"/>
          <w:color w:val="000000"/>
          <w:spacing w:val="0"/>
          <w:sz w:val="32"/>
          <w:szCs w:val="32"/>
          <w:highlight w:val="none"/>
          <w:shd w:val="clear" w:color="auto" w:fill="FFFFFF"/>
        </w:rPr>
        <w:t>库款优先保障“三保”支出，</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全年未</w:t>
      </w:r>
      <w:r>
        <w:rPr>
          <w:rFonts w:hint="default" w:ascii="Times New Roman" w:hAnsi="Times New Roman" w:eastAsia="仿宋_GB2312" w:cs="Times New Roman"/>
          <w:i w:val="0"/>
          <w:iCs w:val="0"/>
          <w:caps w:val="0"/>
          <w:color w:val="000000"/>
          <w:spacing w:val="0"/>
          <w:sz w:val="32"/>
          <w:szCs w:val="32"/>
          <w:highlight w:val="none"/>
          <w:shd w:val="clear" w:color="auto" w:fill="FFFFFF"/>
        </w:rPr>
        <w:t>发生“三保”风险事件。</w:t>
      </w: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rPr>
        <w:t>二</w:t>
      </w:r>
      <w:r>
        <w:rPr>
          <w:rStyle w:val="19"/>
          <w:rFonts w:hint="default" w:ascii="Times New Roman" w:hAnsi="Times New Roman" w:eastAsia="仿宋_GB2312" w:cs="Times New Roman"/>
          <w:b/>
          <w:bCs/>
          <w:i w:val="0"/>
          <w:iCs w:val="0"/>
          <w:caps w:val="0"/>
          <w:color w:val="000000"/>
          <w:spacing w:val="0"/>
          <w:sz w:val="32"/>
          <w:szCs w:val="32"/>
          <w:highlight w:val="none"/>
          <w:shd w:val="clear" w:color="auto" w:fill="FFFFFF"/>
          <w:lang w:eastAsia="zh-CN"/>
        </w:rPr>
        <w:t>是</w:t>
      </w:r>
      <w:r>
        <w:rPr>
          <w:rFonts w:hint="default" w:ascii="Times New Roman" w:hAnsi="Times New Roman" w:eastAsia="仿宋_GB2312" w:cs="Times New Roman"/>
          <w:i w:val="0"/>
          <w:iCs w:val="0"/>
          <w:caps w:val="0"/>
          <w:color w:val="000000"/>
          <w:spacing w:val="0"/>
          <w:sz w:val="32"/>
          <w:szCs w:val="32"/>
          <w:highlight w:val="none"/>
          <w:shd w:val="clear" w:color="auto" w:fill="FFFFFF"/>
        </w:rPr>
        <w:t>守牢债务风险防线。</w:t>
      </w:r>
      <w:r>
        <w:rPr>
          <w:rFonts w:hint="eastAsia" w:ascii="Times New Roman" w:hAnsi="Times New Roman" w:eastAsia="仿宋_GB2312" w:cs="Times New Roman"/>
          <w:i w:val="0"/>
          <w:iCs w:val="0"/>
          <w:caps w:val="0"/>
          <w:color w:val="000000"/>
          <w:spacing w:val="0"/>
          <w:sz w:val="32"/>
          <w:szCs w:val="32"/>
          <w:highlight w:val="none"/>
          <w:shd w:val="clear" w:color="auto" w:fill="FFFFFF"/>
        </w:rPr>
        <w:t>严格落实政府债务预算管理及限额管理，牢固树立债务风险防范意识，按照一揽子化债方案要求，有序推进政府债务化解，</w:t>
      </w:r>
      <w:r>
        <w:rPr>
          <w:rFonts w:hint="default" w:ascii="Times New Roman" w:hAnsi="Times New Roman" w:eastAsia="仿宋_GB2312" w:cs="Times New Roman"/>
          <w:color w:val="000000"/>
          <w:kern w:val="0"/>
          <w:sz w:val="32"/>
          <w:szCs w:val="18"/>
          <w:highlight w:val="none"/>
          <w:lang w:val="en-US" w:eastAsia="zh-CN" w:bidi="ar"/>
        </w:rPr>
        <w:t>全年偿还政府债务本息</w:t>
      </w:r>
      <w:r>
        <w:rPr>
          <w:rFonts w:hint="default" w:ascii="Times New Roman" w:hAnsi="Times New Roman" w:eastAsia="仿宋_GB2312" w:cs="Times New Roman"/>
          <w:color w:val="000000"/>
          <w:spacing w:val="0"/>
          <w:kern w:val="2"/>
          <w:sz w:val="32"/>
          <w:szCs w:val="32"/>
          <w:highlight w:val="none"/>
          <w:lang w:val="en-US" w:eastAsia="zh-CN" w:bidi="ar-SA"/>
        </w:rPr>
        <w:t>155</w:t>
      </w:r>
      <w:r>
        <w:rPr>
          <w:rFonts w:hint="eastAsia" w:ascii="Times New Roman" w:hAnsi="Times New Roman" w:eastAsia="仿宋_GB2312" w:cs="Times New Roman"/>
          <w:color w:val="000000"/>
          <w:spacing w:val="0"/>
          <w:kern w:val="2"/>
          <w:sz w:val="32"/>
          <w:szCs w:val="32"/>
          <w:highlight w:val="none"/>
          <w:lang w:val="en-US" w:eastAsia="zh-CN" w:bidi="ar-SA"/>
        </w:rPr>
        <w:t>,</w:t>
      </w:r>
      <w:r>
        <w:rPr>
          <w:rFonts w:hint="default" w:ascii="Times New Roman" w:hAnsi="Times New Roman" w:eastAsia="仿宋_GB2312" w:cs="Times New Roman"/>
          <w:color w:val="000000"/>
          <w:spacing w:val="0"/>
          <w:kern w:val="2"/>
          <w:sz w:val="32"/>
          <w:szCs w:val="32"/>
          <w:highlight w:val="none"/>
          <w:lang w:val="en-US" w:eastAsia="zh-CN" w:bidi="ar-SA"/>
        </w:rPr>
        <w:t>140.16万元</w:t>
      </w:r>
      <w:r>
        <w:rPr>
          <w:rFonts w:hint="eastAsia" w:ascii="Times New Roman" w:hAnsi="Times New Roman" w:eastAsia="仿宋_GB2312" w:cs="Times New Roman"/>
          <w:color w:val="000000"/>
          <w:spacing w:val="0"/>
          <w:kern w:val="2"/>
          <w:sz w:val="32"/>
          <w:szCs w:val="32"/>
          <w:highlight w:val="none"/>
          <w:lang w:val="en-US" w:eastAsia="zh-CN" w:bidi="ar-SA"/>
        </w:rPr>
        <w:t>。</w:t>
      </w:r>
      <w:r>
        <w:rPr>
          <w:rFonts w:hint="default" w:ascii="Times New Roman" w:hAnsi="Times New Roman" w:eastAsia="仿宋_GB2312" w:cs="Times New Roman"/>
          <w:b/>
          <w:bCs/>
          <w:color w:val="000000"/>
          <w:kern w:val="2"/>
          <w:sz w:val="32"/>
          <w:szCs w:val="32"/>
          <w:highlight w:val="none"/>
          <w:lang w:val="en-US" w:eastAsia="zh-CN" w:bidi="ar-SA"/>
        </w:rPr>
        <w:t>三是</w:t>
      </w:r>
      <w:r>
        <w:rPr>
          <w:rFonts w:hint="default" w:ascii="Times New Roman" w:hAnsi="Times New Roman" w:eastAsia="仿宋_GB2312" w:cs="Times New Roman"/>
          <w:color w:val="000000"/>
          <w:kern w:val="2"/>
          <w:sz w:val="32"/>
          <w:szCs w:val="32"/>
          <w:highlight w:val="none"/>
          <w:lang w:val="en-US" w:eastAsia="zh-CN" w:bidi="ar-SA"/>
        </w:rPr>
        <w:t>严防资金监管风险。围绕政府违规借用村集体资金、预算执行情况等领域采取多部门联动开展财会监督检查；持续推进“清源行动”专项资金监管和整治工作，通过单位自查，发现问题1个，涉及金额39万元，通过区财政、纪委监委、人大财经委、审计、发改等部门联合抽查复查，发现问题24个，涉及金额653.37万元。截至</w:t>
      </w:r>
      <w:r>
        <w:rPr>
          <w:rFonts w:hint="eastAsia" w:ascii="Times New Roman" w:hAnsi="Times New Roman" w:eastAsia="仿宋_GB2312" w:cs="Times New Roman"/>
          <w:color w:val="000000"/>
          <w:kern w:val="2"/>
          <w:sz w:val="32"/>
          <w:szCs w:val="32"/>
          <w:highlight w:val="none"/>
          <w:lang w:val="en-US" w:eastAsia="zh-CN" w:bidi="ar-SA"/>
        </w:rPr>
        <w:t>2024年底</w:t>
      </w:r>
      <w:r>
        <w:rPr>
          <w:rFonts w:hint="default" w:ascii="Times New Roman" w:hAnsi="Times New Roman" w:eastAsia="仿宋_GB2312" w:cs="Times New Roman"/>
          <w:color w:val="000000"/>
          <w:kern w:val="2"/>
          <w:sz w:val="32"/>
          <w:szCs w:val="32"/>
          <w:highlight w:val="none"/>
          <w:lang w:val="en-US" w:eastAsia="zh-CN" w:bidi="ar-SA"/>
        </w:rPr>
        <w:t>，25个发现问题均已整改完成。</w:t>
      </w:r>
    </w:p>
    <w:p w14:paraId="3084B92A">
      <w:pPr>
        <w:keepNext w:val="0"/>
        <w:keepLines w:val="0"/>
        <w:pageBreakBefore w:val="0"/>
        <w:widowControl w:val="0"/>
        <w:kinsoku/>
        <w:wordWrap/>
        <w:overflowPunct/>
        <w:topLinePunct w:val="0"/>
        <w:bidi w:val="0"/>
        <w:adjustRightInd/>
        <w:spacing w:beforeAutospacing="0" w:afterAutospacing="0" w:line="560" w:lineRule="exact"/>
        <w:ind w:left="0" w:firstLine="640" w:firstLineChars="200"/>
        <w:jc w:val="left"/>
        <w:textAlignment w:val="auto"/>
        <w:outlineLvl w:val="1"/>
        <w:rPr>
          <w:rFonts w:hint="default" w:ascii="Times New Roman" w:hAnsi="Times New Roman" w:eastAsia="仿宋_GB2312" w:cs="Times New Roman"/>
          <w:i w:val="0"/>
          <w:iCs w:val="0"/>
          <w:caps w:val="0"/>
          <w:color w:val="000000"/>
          <w:spacing w:val="0"/>
          <w:kern w:val="2"/>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
        </w:rPr>
        <w:t>以上报告，请予审查。</w:t>
      </w:r>
    </w:p>
    <w:p w14:paraId="73E7287E">
      <w:pPr>
        <w:pStyle w:val="9"/>
        <w:pageBreakBefore w:val="0"/>
        <w:kinsoku/>
        <w:wordWrap/>
        <w:bidi w:val="0"/>
        <w:spacing w:line="560" w:lineRule="exact"/>
        <w:ind w:left="0" w:firstLine="640" w:firstLineChars="200"/>
        <w:textAlignment w:val="auto"/>
        <w:rPr>
          <w:rFonts w:hint="default" w:ascii="Times New Roman" w:hAnsi="Times New Roman" w:eastAsia="仿宋_GB2312" w:cs="Times New Roman"/>
          <w:i w:val="0"/>
          <w:iCs w:val="0"/>
          <w:caps w:val="0"/>
          <w:color w:val="1E1E17"/>
          <w:spacing w:val="0"/>
          <w:sz w:val="32"/>
          <w:szCs w:val="32"/>
          <w:highlight w:val="none"/>
          <w:shd w:val="clear" w:color="auto" w:fill="FFFFFF"/>
        </w:rPr>
      </w:pPr>
    </w:p>
    <w:p w14:paraId="2D0BF7F3">
      <w:pPr>
        <w:pageBreakBefore w:val="0"/>
        <w:kinsoku/>
        <w:wordWrap/>
        <w:bidi w:val="0"/>
        <w:spacing w:line="560" w:lineRule="exact"/>
        <w:textAlignment w:val="auto"/>
        <w:rPr>
          <w:rFonts w:hint="default" w:ascii="Times New Roman" w:hAnsi="Times New Roman" w:cs="Times New Roman"/>
          <w:color w:val="FF0000"/>
          <w:sz w:val="21"/>
          <w:szCs w:val="24"/>
        </w:rPr>
      </w:pPr>
    </w:p>
    <w:sectPr>
      <w:headerReference r:id="rId3" w:type="default"/>
      <w:footerReference r:id="rId4" w:type="default"/>
      <w:footerReference r:id="rId5" w:type="even"/>
      <w:pgSz w:w="11906" w:h="16838"/>
      <w:pgMar w:top="2098" w:right="1502" w:bottom="2098" w:left="1587"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EE14">
    <w:pPr>
      <w:pStyle w:val="12"/>
      <w:framePr w:wrap="around" w:vAnchor="text" w:hAnchor="margin" w:xAlign="outside" w:y="1"/>
      <w:rPr>
        <w:rStyle w:val="20"/>
        <w:rFonts w:hint="eastAsia" w:ascii="宋体" w:hAnsi="宋体" w:eastAsia="宋体" w:cs="宋体"/>
        <w:sz w:val="28"/>
        <w:szCs w:val="28"/>
      </w:rPr>
    </w:pPr>
    <w:r>
      <w:rPr>
        <w:rStyle w:val="20"/>
        <w:rFonts w:hint="eastAsia" w:ascii="宋体" w:hAnsi="宋体" w:eastAsia="宋体" w:cs="宋体"/>
        <w:color w:val="FFFFFF"/>
        <w:sz w:val="28"/>
        <w:szCs w:val="28"/>
      </w:rPr>
      <w:t>—</w:t>
    </w:r>
    <w:r>
      <w:rPr>
        <w:rStyle w:val="20"/>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2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0"/>
        <w:rFonts w:hint="eastAsia" w:ascii="宋体" w:hAnsi="宋体" w:eastAsia="宋体" w:cs="宋体"/>
        <w:sz w:val="28"/>
        <w:szCs w:val="28"/>
      </w:rPr>
      <w:t>1</w:t>
    </w:r>
    <w:r>
      <w:rPr>
        <w:rFonts w:hint="eastAsia" w:ascii="宋体" w:hAnsi="宋体" w:eastAsia="宋体" w:cs="宋体"/>
        <w:sz w:val="28"/>
        <w:szCs w:val="28"/>
      </w:rPr>
      <w:fldChar w:fldCharType="end"/>
    </w:r>
    <w:r>
      <w:rPr>
        <w:rStyle w:val="20"/>
        <w:rFonts w:hint="eastAsia" w:ascii="宋体" w:hAnsi="宋体" w:eastAsia="宋体" w:cs="宋体"/>
        <w:sz w:val="28"/>
        <w:szCs w:val="28"/>
      </w:rPr>
      <w:t xml:space="preserve"> —</w:t>
    </w:r>
    <w:r>
      <w:rPr>
        <w:rStyle w:val="20"/>
        <w:rFonts w:hint="eastAsia" w:ascii="宋体" w:hAnsi="宋体" w:eastAsia="宋体" w:cs="宋体"/>
        <w:color w:val="FFFFFF"/>
        <w:sz w:val="28"/>
        <w:szCs w:val="28"/>
      </w:rPr>
      <w:t>—</w:t>
    </w:r>
  </w:p>
  <w:p w14:paraId="7288B1E4">
    <w:pPr>
      <w:pStyle w:val="12"/>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2B99">
    <w:pPr>
      <w:pStyle w:val="12"/>
      <w:framePr w:wrap="around" w:vAnchor="text" w:hAnchor="margin" w:xAlign="outside" w:y="1"/>
      <w:rPr>
        <w:rStyle w:val="20"/>
      </w:rPr>
    </w:pPr>
    <w:r>
      <w:fldChar w:fldCharType="begin"/>
    </w:r>
    <w:r>
      <w:rPr>
        <w:rStyle w:val="20"/>
      </w:rPr>
      <w:instrText xml:space="preserve">PAGE  </w:instrText>
    </w:r>
    <w:r>
      <w:fldChar w:fldCharType="end"/>
    </w:r>
  </w:p>
  <w:p w14:paraId="084A2451">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D72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7F3FA"/>
    <w:multiLevelType w:val="singleLevel"/>
    <w:tmpl w:val="5E67F3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3ED2"/>
    <w:rsid w:val="00122D87"/>
    <w:rsid w:val="001710D6"/>
    <w:rsid w:val="001B413D"/>
    <w:rsid w:val="003937DC"/>
    <w:rsid w:val="003C653F"/>
    <w:rsid w:val="005A1B11"/>
    <w:rsid w:val="00654F5A"/>
    <w:rsid w:val="00740531"/>
    <w:rsid w:val="008125D9"/>
    <w:rsid w:val="0091286D"/>
    <w:rsid w:val="00975EE8"/>
    <w:rsid w:val="009F475E"/>
    <w:rsid w:val="00C47BDA"/>
    <w:rsid w:val="00EF7B2B"/>
    <w:rsid w:val="00F718A2"/>
    <w:rsid w:val="03154E95"/>
    <w:rsid w:val="05F8344F"/>
    <w:rsid w:val="06E626FA"/>
    <w:rsid w:val="078509CE"/>
    <w:rsid w:val="0857127C"/>
    <w:rsid w:val="08590FED"/>
    <w:rsid w:val="089B652F"/>
    <w:rsid w:val="09ED36A9"/>
    <w:rsid w:val="0A475C97"/>
    <w:rsid w:val="0AFA3AF1"/>
    <w:rsid w:val="0F1A6B18"/>
    <w:rsid w:val="0F3417AA"/>
    <w:rsid w:val="0F7B5D0F"/>
    <w:rsid w:val="0FD25366"/>
    <w:rsid w:val="10D85405"/>
    <w:rsid w:val="10EB0C9D"/>
    <w:rsid w:val="110651FE"/>
    <w:rsid w:val="11447834"/>
    <w:rsid w:val="115D02CF"/>
    <w:rsid w:val="11EB061D"/>
    <w:rsid w:val="1261587A"/>
    <w:rsid w:val="142D56EF"/>
    <w:rsid w:val="15EE55D5"/>
    <w:rsid w:val="18687E3A"/>
    <w:rsid w:val="1C4814B4"/>
    <w:rsid w:val="1C6A7314"/>
    <w:rsid w:val="1D0F607F"/>
    <w:rsid w:val="1E8365C3"/>
    <w:rsid w:val="1FBB434B"/>
    <w:rsid w:val="20B950CF"/>
    <w:rsid w:val="23C90FA2"/>
    <w:rsid w:val="25A90EDA"/>
    <w:rsid w:val="26774408"/>
    <w:rsid w:val="28465691"/>
    <w:rsid w:val="289D5EE8"/>
    <w:rsid w:val="28FD7744"/>
    <w:rsid w:val="29C23515"/>
    <w:rsid w:val="2B0D53E4"/>
    <w:rsid w:val="30A51310"/>
    <w:rsid w:val="31B20C93"/>
    <w:rsid w:val="326522DD"/>
    <w:rsid w:val="32DF2487"/>
    <w:rsid w:val="337144F3"/>
    <w:rsid w:val="34AB40D5"/>
    <w:rsid w:val="35620AB2"/>
    <w:rsid w:val="364C095E"/>
    <w:rsid w:val="36B03ED3"/>
    <w:rsid w:val="38FB41DD"/>
    <w:rsid w:val="39FA4A33"/>
    <w:rsid w:val="3A49242D"/>
    <w:rsid w:val="3B0A161B"/>
    <w:rsid w:val="3C0E7B31"/>
    <w:rsid w:val="3C517D70"/>
    <w:rsid w:val="3CA246D4"/>
    <w:rsid w:val="3E10330D"/>
    <w:rsid w:val="3F450E46"/>
    <w:rsid w:val="40AE1C52"/>
    <w:rsid w:val="40CF0523"/>
    <w:rsid w:val="43495412"/>
    <w:rsid w:val="437C16E3"/>
    <w:rsid w:val="43C15B3D"/>
    <w:rsid w:val="4AA12859"/>
    <w:rsid w:val="4ADA73EC"/>
    <w:rsid w:val="4E387B86"/>
    <w:rsid w:val="5048227D"/>
    <w:rsid w:val="508A0964"/>
    <w:rsid w:val="50CF2451"/>
    <w:rsid w:val="51305D39"/>
    <w:rsid w:val="54134B9D"/>
    <w:rsid w:val="551E1C18"/>
    <w:rsid w:val="55240B39"/>
    <w:rsid w:val="556A4C54"/>
    <w:rsid w:val="55C75F84"/>
    <w:rsid w:val="55E17EBC"/>
    <w:rsid w:val="57540031"/>
    <w:rsid w:val="583C17A2"/>
    <w:rsid w:val="58C6087D"/>
    <w:rsid w:val="5943763B"/>
    <w:rsid w:val="599B4ADF"/>
    <w:rsid w:val="5C7532EF"/>
    <w:rsid w:val="5D68773F"/>
    <w:rsid w:val="5D946D15"/>
    <w:rsid w:val="5DDF7D6A"/>
    <w:rsid w:val="5E2966CE"/>
    <w:rsid w:val="5E48066D"/>
    <w:rsid w:val="5F243EF1"/>
    <w:rsid w:val="60C915D1"/>
    <w:rsid w:val="62021A6C"/>
    <w:rsid w:val="62472693"/>
    <w:rsid w:val="631E5471"/>
    <w:rsid w:val="6360434A"/>
    <w:rsid w:val="65686070"/>
    <w:rsid w:val="65936F0D"/>
    <w:rsid w:val="673768C3"/>
    <w:rsid w:val="68C10016"/>
    <w:rsid w:val="6A0A275A"/>
    <w:rsid w:val="6BC30C86"/>
    <w:rsid w:val="6D7B5760"/>
    <w:rsid w:val="6DD3143E"/>
    <w:rsid w:val="6EE83268"/>
    <w:rsid w:val="6F5A7183"/>
    <w:rsid w:val="71B54B29"/>
    <w:rsid w:val="72CD1407"/>
    <w:rsid w:val="72DD4192"/>
    <w:rsid w:val="76637A95"/>
    <w:rsid w:val="76862F15"/>
    <w:rsid w:val="78570E84"/>
    <w:rsid w:val="7A3471FB"/>
    <w:rsid w:val="7CA6778F"/>
    <w:rsid w:val="7D2A5521"/>
    <w:rsid w:val="7E224DB7"/>
    <w:rsid w:val="7F6E5595"/>
    <w:rsid w:val="7FAD74B3"/>
    <w:rsid w:val="7FD26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小标宋_GBK"/>
      <w:kern w:val="44"/>
      <w:sz w:val="44"/>
    </w:rPr>
  </w:style>
  <w:style w:type="paragraph" w:styleId="2">
    <w:name w:val="heading 2"/>
    <w:basedOn w:val="1"/>
    <w:next w:val="1"/>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unhideWhenUsed/>
    <w:qFormat/>
    <w:uiPriority w:val="0"/>
    <w:pPr>
      <w:keepNext/>
      <w:keepLines/>
      <w:spacing w:before="260" w:after="260" w:line="415" w:lineRule="auto"/>
      <w:outlineLvl w:val="2"/>
    </w:pPr>
    <w:rPr>
      <w:rFonts w:eastAsia="仿宋_GB2312" w:cs="仿宋_GB2312"/>
      <w:b/>
      <w:bCs/>
      <w:spacing w:val="11"/>
      <w:sz w:val="30"/>
      <w:szCs w:val="30"/>
    </w:rPr>
  </w:style>
  <w:style w:type="character" w:default="1" w:styleId="18">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table of authorities"/>
    <w:basedOn w:val="1"/>
    <w:next w:val="1"/>
    <w:semiHidden/>
    <w:uiPriority w:val="0"/>
    <w:pPr>
      <w:spacing w:line="560" w:lineRule="exact"/>
      <w:ind w:left="420" w:leftChars="200" w:firstLine="640" w:firstLineChars="200"/>
      <w:jc w:val="left"/>
    </w:pPr>
    <w:rPr>
      <w:rFonts w:eastAsia="仿宋_GB2312"/>
      <w:sz w:val="32"/>
      <w:szCs w:val="32"/>
    </w:rPr>
  </w:style>
  <w:style w:type="paragraph" w:styleId="6">
    <w:name w:val="Normal Indent"/>
    <w:basedOn w:val="1"/>
    <w:next w:val="1"/>
    <w:qFormat/>
    <w:uiPriority w:val="0"/>
    <w:pPr>
      <w:ind w:firstLine="420" w:firstLineChars="200"/>
    </w:pPr>
  </w:style>
  <w:style w:type="paragraph" w:styleId="7">
    <w:name w:val="toa heading"/>
    <w:basedOn w:val="1"/>
    <w:next w:val="1"/>
    <w:semiHidden/>
    <w:qFormat/>
    <w:uiPriority w:val="99"/>
    <w:pPr>
      <w:spacing w:before="120"/>
    </w:pPr>
    <w:rPr>
      <w:rFonts w:ascii="Cambria" w:hAnsi="Cambria" w:cs="Cambria"/>
      <w:sz w:val="24"/>
      <w:szCs w:val="24"/>
    </w:rPr>
  </w:style>
  <w:style w:type="paragraph" w:styleId="8">
    <w:name w:val="Body Text"/>
    <w:basedOn w:val="1"/>
    <w:next w:val="9"/>
    <w:unhideWhenUsed/>
    <w:qFormat/>
    <w:uiPriority w:val="0"/>
    <w:pPr>
      <w:spacing w:beforeLines="0" w:after="120" w:afterLines="0"/>
    </w:pPr>
    <w:rPr>
      <w:rFonts w:hint="default"/>
      <w:sz w:val="21"/>
      <w:szCs w:val="24"/>
    </w:rPr>
  </w:style>
  <w:style w:type="paragraph" w:styleId="9">
    <w:name w:val="toc 5"/>
    <w:basedOn w:val="1"/>
    <w:next w:val="1"/>
    <w:qFormat/>
    <w:uiPriority w:val="0"/>
    <w:pPr>
      <w:widowControl w:val="0"/>
      <w:ind w:left="1680"/>
      <w:jc w:val="both"/>
    </w:pPr>
    <w:rPr>
      <w:rFonts w:ascii="Calibri" w:hAnsi="Calibri" w:eastAsia="宋体" w:cs="Times New Roman"/>
      <w:kern w:val="2"/>
      <w:sz w:val="32"/>
      <w:szCs w:val="24"/>
      <w:lang w:val="en-US" w:eastAsia="zh-CN" w:bidi="ar-SA"/>
    </w:rPr>
  </w:style>
  <w:style w:type="paragraph" w:styleId="10">
    <w:name w:val="Body Text Indent"/>
    <w:basedOn w:val="1"/>
    <w:next w:val="11"/>
    <w:unhideWhenUsed/>
    <w:qFormat/>
    <w:uiPriority w:val="99"/>
    <w:pPr>
      <w:spacing w:beforeLines="0" w:afterLines="0"/>
      <w:ind w:left="420" w:leftChars="200"/>
    </w:pPr>
    <w:rPr>
      <w:rFonts w:hint="default"/>
      <w:sz w:val="21"/>
      <w:szCs w:val="24"/>
    </w:rPr>
  </w:style>
  <w:style w:type="paragraph" w:styleId="11">
    <w:name w:val="Body Text First Indent 2"/>
    <w:basedOn w:val="10"/>
    <w:next w:val="1"/>
    <w:unhideWhenUsed/>
    <w:qFormat/>
    <w:uiPriority w:val="99"/>
    <w:pPr>
      <w:spacing w:beforeLines="0" w:afterLines="0"/>
      <w:ind w:firstLine="420"/>
    </w:pPr>
    <w:rPr>
      <w:rFonts w:hint="default"/>
      <w:sz w:val="21"/>
      <w:szCs w:val="24"/>
    </w:rPr>
  </w:style>
  <w:style w:type="paragraph" w:styleId="12">
    <w:name w:val="footer"/>
    <w:basedOn w:val="1"/>
    <w:link w:val="29"/>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8"/>
    <w:qFormat/>
    <w:uiPriority w:val="0"/>
    <w:pPr>
      <w:snapToGrid w:val="0"/>
      <w:jc w:val="left"/>
    </w:pPr>
    <w:rPr>
      <w:rFonts w:eastAsia="宋体"/>
      <w:kern w:val="2"/>
      <w:sz w:val="18"/>
      <w:lang w:val="en-US" w:eastAsia="zh-CN" w:bidi="ar-SA"/>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6">
    <w:name w:val="Title"/>
    <w:next w:val="1"/>
    <w:qFormat/>
    <w:uiPriority w:val="10"/>
    <w:pPr>
      <w:widowControl w:val="0"/>
      <w:spacing w:before="120" w:after="120" w:line="360" w:lineRule="auto"/>
      <w:ind w:firstLine="622" w:firstLineChars="200"/>
      <w:jc w:val="center"/>
      <w:outlineLvl w:val="0"/>
    </w:pPr>
    <w:rPr>
      <w:rFonts w:ascii="Cambria" w:hAnsi="Cambria" w:eastAsia="宋体" w:cs="Times New Roman"/>
      <w:b/>
      <w:kern w:val="2"/>
      <w:sz w:val="21"/>
      <w:szCs w:val="24"/>
      <w:lang w:val="en-US" w:eastAsia="zh-CN" w:bidi="ar-SA"/>
    </w:rPr>
  </w:style>
  <w:style w:type="character" w:styleId="19">
    <w:name w:val="Strong"/>
    <w:basedOn w:val="18"/>
    <w:qFormat/>
    <w:uiPriority w:val="0"/>
    <w:rPr>
      <w:b/>
    </w:rPr>
  </w:style>
  <w:style w:type="character" w:styleId="20">
    <w:name w:val="page number"/>
    <w:basedOn w:val="18"/>
    <w:qFormat/>
    <w:uiPriority w:val="0"/>
  </w:style>
  <w:style w:type="paragraph" w:styleId="21">
    <w:name w:val="List Paragraph"/>
    <w:basedOn w:val="1"/>
    <w:qFormat/>
    <w:uiPriority w:val="34"/>
    <w:pPr>
      <w:ind w:firstLine="420" w:firstLineChars="200"/>
    </w:pPr>
  </w:style>
  <w:style w:type="paragraph" w:customStyle="1" w:styleId="22">
    <w:name w:val="无间隔1"/>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customStyle="1" w:styleId="23">
    <w:name w:val="公文主送"/>
    <w:uiPriority w:val="0"/>
    <w:rPr>
      <w:rFonts w:eastAsia="仿宋_GB2312"/>
      <w:color w:val="000000"/>
      <w:sz w:val="32"/>
      <w:szCs w:val="84"/>
    </w:rPr>
  </w:style>
  <w:style w:type="character" w:customStyle="1" w:styleId="24">
    <w:name w:val="公文正文"/>
    <w:uiPriority w:val="0"/>
    <w:rPr>
      <w:rFonts w:ascii="仿宋_GB2312" w:hAnsi="华文中宋" w:eastAsia="仿宋_GB2312"/>
      <w:color w:val="000000"/>
      <w:sz w:val="32"/>
      <w:szCs w:val="84"/>
    </w:rPr>
  </w:style>
  <w:style w:type="character" w:customStyle="1" w:styleId="25">
    <w:name w:val="公文签发日期"/>
    <w:uiPriority w:val="0"/>
    <w:rPr>
      <w:rFonts w:eastAsia="仿宋_GB2312"/>
      <w:color w:val="000000"/>
      <w:sz w:val="32"/>
      <w:szCs w:val="84"/>
    </w:rPr>
  </w:style>
  <w:style w:type="character" w:customStyle="1" w:styleId="26">
    <w:name w:val="公文标题"/>
    <w:qFormat/>
    <w:uiPriority w:val="0"/>
    <w:rPr>
      <w:rFonts w:ascii="方正小标宋_GBK" w:hAnsi="华文中宋" w:eastAsia="方正小标宋_GBK"/>
      <w:color w:val="000000"/>
      <w:sz w:val="44"/>
      <w:szCs w:val="84"/>
    </w:rPr>
  </w:style>
  <w:style w:type="character" w:customStyle="1" w:styleId="27">
    <w:name w:val="公文文号"/>
    <w:uiPriority w:val="0"/>
    <w:rPr>
      <w:rFonts w:eastAsia="仿宋_GB2312"/>
      <w:sz w:val="32"/>
    </w:rPr>
  </w:style>
  <w:style w:type="character" w:customStyle="1" w:styleId="28">
    <w:name w:val="公文发出日期"/>
    <w:uiPriority w:val="0"/>
    <w:rPr>
      <w:rFonts w:eastAsia="仿宋_GB2312"/>
      <w:sz w:val="28"/>
      <w:szCs w:val="28"/>
    </w:rPr>
  </w:style>
  <w:style w:type="character" w:customStyle="1" w:styleId="29">
    <w:name w:val="页脚 Char"/>
    <w:link w:val="12"/>
    <w:semiHidden/>
    <w:qFormat/>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9</Pages>
  <Words>4159</Words>
  <Characters>4824</Characters>
  <Lines>2</Lines>
  <Paragraphs>1</Paragraphs>
  <TotalTime>13</TotalTime>
  <ScaleCrop>false</ScaleCrop>
  <LinksUpToDate>false</LinksUpToDate>
  <CharactersWithSpaces>4824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2019-12-31T10:52:00Z</dcterms:created>
  <dc:creator>马建坤</dc:creator>
  <cp:lastModifiedBy>符号</cp:lastModifiedBy>
  <cp:lastPrinted>2025-09-05T02:01:00Z</cp:lastPrinted>
  <dcterms:modified xsi:type="dcterms:W3CDTF">2026-01-14T08:03:55Z</dcterms:modified>
  <dc:title>中共昆明市官渡区人民政府党组文件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692E9AC84EE84D5291C01E71607A0B50_13</vt:lpwstr>
  </property>
  <property fmtid="{D5CDD505-2E9C-101B-9397-08002B2CF9AE}" pid="4" name="KSOTemplateDocerSaveRecord">
    <vt:lpwstr>eyJoZGlkIjoiZDBhMjlkMWVkOWU1MmNmYmI1OWFkYmZkZTE3YTZjZTQiLCJ1c2VySWQiOiIzNjE2NjA5NTcifQ==</vt:lpwstr>
  </property>
</Properties>
</file>