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80BDF9">
      <w:pPr>
        <w:spacing w:line="640" w:lineRule="exact"/>
        <w:jc w:val="center"/>
        <w:rPr>
          <w:rFonts w:ascii="Times New Roman" w:hAnsi="Times New Roman" w:eastAsia="方正小标宋_GBK"/>
          <w:color w:val="FF0000"/>
          <w:spacing w:val="40"/>
          <w:sz w:val="56"/>
          <w:szCs w:val="56"/>
        </w:rPr>
      </w:pPr>
      <w:r>
        <w:rPr>
          <w:rFonts w:ascii="Times New Roman" w:hAnsi="Times New Roman" w:eastAsia="方正小标宋_GBK"/>
          <w:color w:val="FF0000"/>
          <w:spacing w:val="40"/>
          <w:sz w:val="56"/>
          <w:szCs w:val="56"/>
        </w:rPr>
        <w:t>昆明市官渡区人民政府办公室</w:t>
      </w:r>
    </w:p>
    <w:p w14:paraId="3E11D749">
      <w:pPr>
        <w:pStyle w:val="3"/>
        <w:adjustRightInd w:val="0"/>
        <w:snapToGrid w:val="0"/>
        <w:spacing w:after="0"/>
        <w:jc w:val="center"/>
        <w:rPr>
          <w:rFonts w:ascii="Times New Roman" w:hAnsi="Times New Roman" w:eastAsia="仿宋_GB2312"/>
          <w:color w:val="000000"/>
          <w:position w:val="-6"/>
          <w:sz w:val="32"/>
          <w:szCs w:val="84"/>
        </w:rPr>
      </w:pPr>
      <w:r>
        <w:rPr>
          <w:rFonts w:ascii="Times New Roman" w:hAnsi="Times New Roman"/>
          <w:szCs w:val="20"/>
        </w:rPr>
        <mc:AlternateContent>
          <mc:Choice Requires="wps">
            <w:drawing>
              <wp:anchor distT="0" distB="0" distL="114300" distR="114300" simplePos="0" relativeHeight="251659264" behindDoc="0" locked="0" layoutInCell="1" allowOverlap="1">
                <wp:simplePos x="0" y="0"/>
                <wp:positionH relativeFrom="column">
                  <wp:posOffset>-228600</wp:posOffset>
                </wp:positionH>
                <wp:positionV relativeFrom="paragraph">
                  <wp:posOffset>88900</wp:posOffset>
                </wp:positionV>
                <wp:extent cx="6120130" cy="0"/>
                <wp:effectExtent l="0" t="9525" r="13970" b="9525"/>
                <wp:wrapNone/>
                <wp:docPr id="2" name="直接连接符 2"/>
                <wp:cNvGraphicFramePr/>
                <a:graphic xmlns:a="http://schemas.openxmlformats.org/drawingml/2006/main">
                  <a:graphicData uri="http://schemas.microsoft.com/office/word/2010/wordprocessingShape">
                    <wps:wsp>
                      <wps:cNvCnPr/>
                      <wps:spPr>
                        <a:xfrm>
                          <a:off x="0" y="0"/>
                          <a:ext cx="6120130" cy="0"/>
                        </a:xfrm>
                        <a:prstGeom prst="line">
                          <a:avLst/>
                        </a:prstGeom>
                        <a:ln w="19050"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8pt;margin-top:7pt;height:0pt;width:481.9pt;z-index:251659264;mso-width-relative:page;mso-height-relative:page;" filled="f" stroked="t" coordsize="21600,21600" o:gfxdata="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NoNb2AAAAAkBAAAPAAAAAAAAAAEAIAAAACIAAABkcnMvZG93bnJldi54&#10;bWxQSwECFAAUAAAACACHTuJAMIzI2foBAADzAwAADgAAAAAAAAABACAAAAAnAQAAZHJzL2Uyb0Rv&#10;Yy54bWxQSwUGAAAAAAYABgBZAQAAkwUAAAAA&#10;">
                <v:fill on="f" focussize="0,0"/>
                <v:stroke weight="1.5pt" color="#FF0000" joinstyle="round"/>
                <v:imagedata o:title=""/>
                <o:lock v:ext="edit" aspectratio="f"/>
              </v:line>
            </w:pict>
          </mc:Fallback>
        </mc:AlternateContent>
      </w:r>
      <w:r>
        <w:rPr>
          <w:rFonts w:ascii="Times New Roman" w:hAnsi="Times New Roman" w:eastAsia="仿宋_GB2312"/>
          <w:color w:val="000000"/>
          <w:position w:val="-6"/>
          <w:sz w:val="32"/>
          <w:szCs w:val="84"/>
        </w:rPr>
        <w:t xml:space="preserve">                       </w:t>
      </w:r>
    </w:p>
    <w:p w14:paraId="5ED6144A">
      <w:pPr>
        <w:pStyle w:val="3"/>
        <w:adjustRightInd w:val="0"/>
        <w:snapToGrid w:val="0"/>
        <w:spacing w:after="0"/>
        <w:jc w:val="center"/>
        <w:rPr>
          <w:rFonts w:ascii="Times New Roman" w:hAnsi="Times New Roman" w:eastAsia="仿宋_GB2312"/>
          <w:color w:val="000000"/>
          <w:position w:val="-6"/>
          <w:sz w:val="32"/>
          <w:szCs w:val="84"/>
        </w:rPr>
      </w:pPr>
    </w:p>
    <w:p w14:paraId="71FF71F7">
      <w:pPr>
        <w:pStyle w:val="3"/>
        <w:adjustRightInd w:val="0"/>
        <w:snapToGrid w:val="0"/>
        <w:spacing w:after="0"/>
        <w:jc w:val="center"/>
        <w:rPr>
          <w:rFonts w:ascii="Times New Roman" w:hAnsi="Times New Roman" w:eastAsia="仿宋_GB2312"/>
          <w:color w:val="000000"/>
          <w:position w:val="-6"/>
          <w:sz w:val="32"/>
          <w:szCs w:val="84"/>
        </w:rPr>
      </w:pPr>
      <w:r>
        <w:rPr>
          <w:rFonts w:ascii="Times New Roman" w:hAnsi="Times New Roman" w:eastAsia="仿宋_GB2312"/>
          <w:color w:val="000000"/>
          <w:position w:val="-6"/>
          <w:sz w:val="32"/>
          <w:szCs w:val="84"/>
        </w:rPr>
        <w:t xml:space="preserve">     </w:t>
      </w:r>
    </w:p>
    <w:p w14:paraId="77D4B846">
      <w:pPr>
        <w:pStyle w:val="3"/>
        <w:overflowPunct w:val="0"/>
        <w:spacing w:after="0" w:line="560" w:lineRule="exact"/>
        <w:jc w:val="center"/>
        <w:rPr>
          <w:rFonts w:ascii="Times New Roman" w:hAnsi="Times New Roman" w:eastAsia="方正小标宋简体"/>
          <w:sz w:val="44"/>
          <w:szCs w:val="44"/>
        </w:rPr>
      </w:pPr>
      <w:r>
        <w:rPr>
          <w:rFonts w:ascii="Times New Roman" w:hAnsi="Times New Roman" w:eastAsia="方正小标宋简体"/>
          <w:sz w:val="44"/>
          <w:szCs w:val="44"/>
        </w:rPr>
        <w:t>昆明市官渡区人民政府办公室</w:t>
      </w:r>
    </w:p>
    <w:p w14:paraId="494FD404">
      <w:pPr>
        <w:snapToGrid w:val="0"/>
        <w:spacing w:line="560" w:lineRule="exact"/>
        <w:jc w:val="center"/>
        <w:rPr>
          <w:rFonts w:ascii="Times New Roman" w:hAnsi="Times New Roman" w:eastAsia="方正小标宋简体"/>
          <w:color w:val="000000"/>
          <w:sz w:val="44"/>
          <w:szCs w:val="44"/>
        </w:rPr>
      </w:pPr>
      <w:r>
        <w:rPr>
          <w:rFonts w:ascii="Times New Roman" w:hAnsi="Times New Roman" w:eastAsia="方正小标宋简体"/>
          <w:color w:val="000000"/>
          <w:sz w:val="44"/>
          <w:szCs w:val="44"/>
        </w:rPr>
        <w:t>关于印发官渡区危险化学品事故应急预案、</w:t>
      </w:r>
    </w:p>
    <w:p w14:paraId="7621E86D">
      <w:pPr>
        <w:snapToGrid w:val="0"/>
        <w:spacing w:line="560" w:lineRule="exact"/>
        <w:jc w:val="center"/>
        <w:rPr>
          <w:rFonts w:ascii="Times New Roman" w:hAnsi="Times New Roman" w:eastAsia="方正小标宋简体"/>
          <w:color w:val="000000"/>
          <w:sz w:val="44"/>
          <w:szCs w:val="44"/>
        </w:rPr>
      </w:pPr>
      <w:r>
        <w:rPr>
          <w:rFonts w:ascii="Times New Roman" w:hAnsi="Times New Roman" w:eastAsia="方正小标宋简体"/>
          <w:color w:val="000000"/>
          <w:sz w:val="44"/>
          <w:szCs w:val="44"/>
        </w:rPr>
        <w:t>烟花爆竹事故应急预案和隧道内危化品</w:t>
      </w:r>
    </w:p>
    <w:p w14:paraId="0A9DF702">
      <w:pPr>
        <w:snapToGrid w:val="0"/>
        <w:spacing w:line="560" w:lineRule="exact"/>
        <w:jc w:val="center"/>
        <w:rPr>
          <w:rFonts w:ascii="Times New Roman" w:hAnsi="Times New Roman" w:eastAsia="方正小标宋简体"/>
          <w:color w:val="000000"/>
          <w:sz w:val="44"/>
          <w:szCs w:val="44"/>
        </w:rPr>
      </w:pPr>
      <w:r>
        <w:rPr>
          <w:rFonts w:ascii="Times New Roman" w:hAnsi="Times New Roman" w:eastAsia="方正小标宋简体"/>
          <w:color w:val="000000"/>
          <w:sz w:val="44"/>
          <w:szCs w:val="44"/>
        </w:rPr>
        <w:t>泄漏应急预案的通知</w:t>
      </w:r>
    </w:p>
    <w:p w14:paraId="2E43885F">
      <w:pPr>
        <w:snapToGrid w:val="0"/>
        <w:spacing w:line="560" w:lineRule="exact"/>
        <w:rPr>
          <w:rFonts w:ascii="Times New Roman" w:hAnsi="Times New Roman" w:eastAsia="楷体_GB2312"/>
          <w:color w:val="000000"/>
          <w:sz w:val="28"/>
          <w:szCs w:val="28"/>
        </w:rPr>
      </w:pPr>
    </w:p>
    <w:p w14:paraId="3552CD86">
      <w:pPr>
        <w:rPr>
          <w:rFonts w:ascii="Times New Roman" w:hAnsi="Times New Roman" w:eastAsia="仿宋_GB2312"/>
          <w:sz w:val="32"/>
          <w:szCs w:val="32"/>
        </w:rPr>
      </w:pPr>
      <w:r>
        <w:rPr>
          <w:rFonts w:ascii="Times New Roman" w:hAnsi="Times New Roman" w:eastAsia="仿宋_GB2312"/>
          <w:sz w:val="32"/>
          <w:szCs w:val="32"/>
        </w:rPr>
        <w:t>各街道办事处，区政府各委办局，各直属机构：</w:t>
      </w:r>
    </w:p>
    <w:p w14:paraId="33E4458D">
      <w:pPr>
        <w:ind w:firstLine="640" w:firstLineChars="200"/>
        <w:rPr>
          <w:rFonts w:ascii="Times New Roman" w:hAnsi="Times New Roman" w:eastAsia="仿宋_GB2312"/>
          <w:sz w:val="32"/>
          <w:szCs w:val="32"/>
        </w:rPr>
      </w:pPr>
      <w:r>
        <w:rPr>
          <w:rFonts w:ascii="Times New Roman" w:hAnsi="Times New Roman" w:eastAsia="仿宋_GB2312"/>
          <w:sz w:val="32"/>
          <w:szCs w:val="32"/>
        </w:rPr>
        <w:t>《官渡区危险化学品事故应急预案》、《官渡区烟花爆竹事故应急预案》和《官渡区隧道内危化品泄漏事故应急预案》经区人民政府同意，现印发给你们，请认真贯彻执行。</w:t>
      </w:r>
    </w:p>
    <w:p w14:paraId="244FF219">
      <w:pPr>
        <w:rPr>
          <w:rFonts w:ascii="Times New Roman" w:hAnsi="Times New Roman" w:eastAsia="仿宋_GB2312"/>
          <w:sz w:val="32"/>
          <w:szCs w:val="32"/>
        </w:rPr>
      </w:pPr>
      <w:r>
        <w:rPr>
          <w:rFonts w:ascii="Times New Roman" w:hAnsi="Times New Roman" w:eastAsia="仿宋_GB2312"/>
          <w:sz w:val="32"/>
          <w:szCs w:val="32"/>
        </w:rPr>
        <w:t xml:space="preserve">              </w:t>
      </w:r>
    </w:p>
    <w:p w14:paraId="30860CCF">
      <w:pPr>
        <w:rPr>
          <w:rFonts w:ascii="Times New Roman" w:hAnsi="Times New Roman" w:eastAsia="仿宋_GB2312"/>
          <w:sz w:val="32"/>
          <w:szCs w:val="32"/>
        </w:rPr>
      </w:pPr>
    </w:p>
    <w:p w14:paraId="27D79C6E">
      <w:pPr>
        <w:ind w:firstLine="4480" w:firstLineChars="1400"/>
        <w:rPr>
          <w:rFonts w:ascii="Times New Roman" w:hAnsi="Times New Roman" w:eastAsia="仿宋_GB2312"/>
          <w:sz w:val="32"/>
          <w:szCs w:val="32"/>
        </w:rPr>
      </w:pPr>
      <w:r>
        <w:rPr>
          <w:rFonts w:ascii="Times New Roman" w:hAnsi="Times New Roman" w:eastAsia="仿宋_GB2312"/>
          <w:sz w:val="32"/>
          <w:szCs w:val="32"/>
        </w:rPr>
        <w:t>官渡区人民政府办公室</w:t>
      </w:r>
    </w:p>
    <w:p w14:paraId="700301AE">
      <w:pPr>
        <w:rPr>
          <w:rFonts w:hint="eastAsia" w:ascii="Times New Roman" w:hAnsi="Times New Roman" w:eastAsia="仿宋_GB2312"/>
          <w:sz w:val="32"/>
          <w:szCs w:val="32"/>
        </w:rPr>
      </w:pPr>
      <w:r>
        <w:rPr>
          <w:rFonts w:ascii="Times New Roman" w:hAnsi="Times New Roman" w:eastAsia="仿宋_GB2312"/>
          <w:sz w:val="32"/>
          <w:szCs w:val="32"/>
        </w:rPr>
        <w:t xml:space="preserve">                              </w:t>
      </w:r>
      <w:r>
        <w:rPr>
          <w:rFonts w:hint="eastAsia" w:ascii="Times New Roman" w:hAnsi="Times New Roman" w:eastAsia="仿宋_GB2312"/>
          <w:sz w:val="32"/>
          <w:szCs w:val="32"/>
        </w:rPr>
        <w:t xml:space="preserve"> </w:t>
      </w:r>
      <w:r>
        <w:rPr>
          <w:rFonts w:ascii="Times New Roman" w:hAnsi="Times New Roman" w:eastAsia="仿宋_GB2312"/>
          <w:sz w:val="32"/>
          <w:szCs w:val="32"/>
        </w:rPr>
        <w:t>2021年7月10日</w:t>
      </w:r>
    </w:p>
    <w:p w14:paraId="2FF1864B">
      <w:pPr>
        <w:ind w:firstLine="640" w:firstLineChars="200"/>
        <w:rPr>
          <w:rFonts w:ascii="Times New Roman" w:hAnsi="Times New Roman" w:eastAsia="仿宋_GB2312"/>
          <w:sz w:val="32"/>
          <w:szCs w:val="32"/>
        </w:rPr>
      </w:pPr>
      <w:r>
        <w:rPr>
          <w:rFonts w:ascii="Times New Roman" w:hAnsi="Times New Roman" w:eastAsia="仿宋_GB2312"/>
          <w:sz w:val="32"/>
          <w:szCs w:val="32"/>
        </w:rPr>
        <w:t>（此件公开发布）</w:t>
      </w:r>
    </w:p>
    <w:p w14:paraId="0B9C06F5">
      <w:pPr>
        <w:rPr>
          <w:rFonts w:ascii="Times New Roman" w:hAnsi="Times New Roman" w:eastAsia="仿宋_GB2312"/>
          <w:sz w:val="32"/>
          <w:szCs w:val="32"/>
        </w:rPr>
      </w:pPr>
    </w:p>
    <w:p w14:paraId="0772AABB">
      <w:pPr>
        <w:ind w:firstLine="640"/>
        <w:rPr>
          <w:rFonts w:ascii="Times New Roman" w:hAnsi="Times New Roman" w:eastAsia="仿宋_GB2312"/>
          <w:sz w:val="32"/>
          <w:szCs w:val="32"/>
        </w:rPr>
      </w:pPr>
      <w:r>
        <w:rPr>
          <w:rFonts w:ascii="Times New Roman" w:hAnsi="Times New Roman" w:eastAsia="仿宋_GB2312"/>
          <w:sz w:val="32"/>
          <w:szCs w:val="32"/>
        </w:rPr>
        <w:t xml:space="preserve">                                  </w:t>
      </w:r>
    </w:p>
    <w:p w14:paraId="75EE7ACB">
      <w:pPr>
        <w:rPr>
          <w:rFonts w:ascii="Times New Roman" w:hAnsi="Times New Roman" w:eastAsia="仿宋_GB2312"/>
          <w:sz w:val="32"/>
          <w:szCs w:val="32"/>
        </w:rPr>
      </w:pPr>
    </w:p>
    <w:p w14:paraId="4CD38FCB">
      <w:pPr>
        <w:pStyle w:val="6"/>
        <w:shd w:val="clear" w:color="auto" w:fill="FFFFFF"/>
        <w:spacing w:beforeAutospacing="0" w:afterAutospacing="0" w:line="560" w:lineRule="exact"/>
        <w:jc w:val="center"/>
        <w:rPr>
          <w:rFonts w:ascii="Times New Roman" w:hAnsi="Times New Roman" w:eastAsia="方正小标宋简体" w:cs="Times New Roman"/>
          <w:sz w:val="44"/>
          <w:szCs w:val="44"/>
          <w:shd w:val="clear" w:color="auto" w:fill="FFFFFF"/>
        </w:rPr>
      </w:pPr>
      <w:r>
        <w:rPr>
          <w:rFonts w:ascii="Times New Roman" w:hAnsi="Times New Roman" w:cs="Times New Roman"/>
          <w:szCs w:val="2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779780</wp:posOffset>
                </wp:positionV>
                <wp:extent cx="6120130" cy="0"/>
                <wp:effectExtent l="0" t="9525" r="13970" b="9525"/>
                <wp:wrapNone/>
                <wp:docPr id="1" name="直接连接符 2"/>
                <wp:cNvGraphicFramePr/>
                <a:graphic xmlns:a="http://schemas.openxmlformats.org/drawingml/2006/main">
                  <a:graphicData uri="http://schemas.microsoft.com/office/word/2010/wordprocessingShape">
                    <wps:wsp>
                      <wps:cNvCnPr/>
                      <wps:spPr>
                        <a:xfrm>
                          <a:off x="0" y="0"/>
                          <a:ext cx="6120130" cy="0"/>
                        </a:xfrm>
                        <a:prstGeom prst="line">
                          <a:avLst/>
                        </a:prstGeom>
                        <a:ln w="19050" cap="flat" cmpd="sng">
                          <a:solidFill>
                            <a:srgbClr val="FF0000"/>
                          </a:solidFill>
                          <a:prstDash val="solid"/>
                          <a:headEnd type="none" w="med" len="med"/>
                          <a:tailEnd type="none" w="med" len="med"/>
                        </a:ln>
                        <a:effectLst/>
                      </wps:spPr>
                      <wps:bodyPr upright="1"/>
                    </wps:wsp>
                  </a:graphicData>
                </a:graphic>
              </wp:anchor>
            </w:drawing>
          </mc:Choice>
          <mc:Fallback>
            <w:pict>
              <v:line id="直接连接符 2" o:spid="_x0000_s1026" o:spt="20" style="position:absolute;left:0pt;margin-left:-27pt;margin-top:61.4pt;height:0pt;width:481.9pt;z-index:251660288;mso-width-relative:page;mso-height-relative:page;" filled="f" stroked="t" coordsize="21600,21600" o:gfxdata="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JjQr37YAAAACwEAAA8AAAAAAAAAAQAgAAAAIgAAAGRycy9kb3ducmV2Lnht&#10;bFBLAQIUABQAAAAIAIdO4kB6m9J8+QEAAPMDAAAOAAAAAAAAAAEAIAAAACcBAABkcnMvZTJvRG9j&#10;LnhtbFBLBQYAAAAABgAGAFkBAACSBQAAAAA=&#10;">
                <v:fill on="f" focussize="0,0"/>
                <v:stroke weight="1.5pt" color="#FF0000" joinstyle="round"/>
                <v:imagedata o:title=""/>
                <o:lock v:ext="edit" aspectratio="f"/>
              </v:line>
            </w:pict>
          </mc:Fallback>
        </mc:AlternateContent>
      </w:r>
    </w:p>
    <w:p w14:paraId="53C8CE49">
      <w:pPr>
        <w:pStyle w:val="6"/>
        <w:shd w:val="clear" w:color="auto" w:fill="FFFFFF"/>
        <w:spacing w:beforeAutospacing="0" w:afterAutospacing="0" w:line="560" w:lineRule="exact"/>
        <w:jc w:val="center"/>
        <w:rPr>
          <w:rFonts w:ascii="Times New Roman" w:hAnsi="Times New Roman" w:eastAsia="方正小标宋简体" w:cs="Times New Roman"/>
          <w:sz w:val="44"/>
          <w:szCs w:val="44"/>
          <w:shd w:val="clear" w:color="auto" w:fill="FFFFFF"/>
        </w:rPr>
      </w:pPr>
      <w:r>
        <w:rPr>
          <w:rFonts w:ascii="Times New Roman" w:hAnsi="Times New Roman" w:eastAsia="方正小标宋简体" w:cs="Times New Roman"/>
          <w:sz w:val="44"/>
          <w:szCs w:val="44"/>
          <w:shd w:val="clear" w:color="auto" w:fill="FFFFFF"/>
        </w:rPr>
        <w:t>官渡区危险化学品事故应急预案</w:t>
      </w:r>
    </w:p>
    <w:p w14:paraId="51B139C3">
      <w:pPr>
        <w:pStyle w:val="6"/>
        <w:shd w:val="clear" w:color="auto" w:fill="FFFFFF"/>
        <w:spacing w:beforeAutospacing="0" w:afterAutospacing="0" w:line="560" w:lineRule="exact"/>
        <w:ind w:firstLine="960" w:firstLineChars="300"/>
        <w:jc w:val="both"/>
        <w:rPr>
          <w:rFonts w:ascii="Times New Roman" w:hAnsi="Times New Roman" w:eastAsia="楷体_GB2312" w:cs="Times New Roman"/>
          <w:sz w:val="32"/>
          <w:szCs w:val="32"/>
          <w:shd w:val="clear" w:color="auto" w:fill="FFFFFF"/>
        </w:rPr>
      </w:pPr>
    </w:p>
    <w:p w14:paraId="576F9FE9">
      <w:pPr>
        <w:pStyle w:val="6"/>
        <w:shd w:val="clear" w:color="auto" w:fill="FFFFFF"/>
        <w:spacing w:beforeAutospacing="0" w:afterAutospacing="0" w:line="560" w:lineRule="exact"/>
        <w:ind w:firstLine="640" w:firstLineChars="200"/>
        <w:jc w:val="both"/>
        <w:rPr>
          <w:rFonts w:ascii="Times New Roman" w:hAnsi="Times New Roman" w:eastAsia="黑体" w:cs="Times New Roman"/>
          <w:sz w:val="32"/>
          <w:szCs w:val="32"/>
          <w:shd w:val="clear" w:color="auto" w:fill="FFFFFF"/>
        </w:rPr>
      </w:pPr>
      <w:r>
        <w:rPr>
          <w:rFonts w:ascii="Times New Roman" w:hAnsi="Times New Roman" w:eastAsia="黑体" w:cs="Times New Roman"/>
          <w:sz w:val="32"/>
          <w:szCs w:val="32"/>
          <w:shd w:val="clear" w:color="auto" w:fill="FFFFFF"/>
        </w:rPr>
        <w:t>1总则</w:t>
      </w:r>
    </w:p>
    <w:p w14:paraId="51E2971F">
      <w:pPr>
        <w:pStyle w:val="6"/>
        <w:shd w:val="clear" w:color="auto" w:fill="FFFFFF"/>
        <w:spacing w:beforeAutospacing="0" w:afterAutospacing="0" w:line="560" w:lineRule="exact"/>
        <w:ind w:firstLine="640" w:firstLineChars="200"/>
        <w:jc w:val="both"/>
        <w:rPr>
          <w:rFonts w:ascii="Times New Roman" w:hAnsi="Times New Roman" w:eastAsia="楷体_GB2312" w:cs="Times New Roman"/>
          <w:sz w:val="32"/>
          <w:szCs w:val="32"/>
          <w:shd w:val="clear" w:color="auto" w:fill="FFFFFF"/>
        </w:rPr>
      </w:pPr>
      <w:r>
        <w:rPr>
          <w:rFonts w:ascii="Times New Roman" w:hAnsi="Times New Roman" w:eastAsia="楷体_GB2312" w:cs="Times New Roman"/>
          <w:sz w:val="32"/>
          <w:szCs w:val="32"/>
          <w:shd w:val="clear" w:color="auto" w:fill="FFFFFF"/>
        </w:rPr>
        <w:t>1.1目的</w:t>
      </w:r>
    </w:p>
    <w:p w14:paraId="531F7981">
      <w:pPr>
        <w:pStyle w:val="6"/>
        <w:shd w:val="clear" w:color="auto" w:fill="FFFFFF"/>
        <w:spacing w:beforeAutospacing="0" w:afterAutospacing="0" w:line="560" w:lineRule="exact"/>
        <w:ind w:firstLine="640" w:firstLineChars="200"/>
        <w:jc w:val="both"/>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shd w:val="clear" w:color="auto" w:fill="FFFFFF"/>
        </w:rPr>
        <w:t>为进一步增强防范和应对危险化学品事故</w:t>
      </w:r>
      <w:r>
        <w:rPr>
          <w:rFonts w:ascii="Times New Roman" w:hAnsi="Times New Roman" w:eastAsia="仿宋_GB2312" w:cs="Times New Roman"/>
          <w:w w:val="95"/>
          <w:sz w:val="32"/>
          <w:szCs w:val="32"/>
          <w:shd w:val="clear" w:color="auto" w:fill="FFFFFF"/>
        </w:rPr>
        <w:t>风险和事故的能力</w:t>
      </w:r>
      <w:r>
        <w:rPr>
          <w:rFonts w:ascii="Times New Roman" w:hAnsi="Times New Roman" w:eastAsia="仿宋_GB2312" w:cs="Times New Roman"/>
          <w:sz w:val="32"/>
          <w:szCs w:val="32"/>
          <w:shd w:val="clear" w:color="auto" w:fill="FFFFFF"/>
        </w:rPr>
        <w:t>，最大限度地减少事故造成的人员伤亡和财产损失，制定本预案。</w:t>
      </w:r>
    </w:p>
    <w:p w14:paraId="10F5AE22">
      <w:pPr>
        <w:pStyle w:val="6"/>
        <w:shd w:val="clear" w:color="auto" w:fill="FFFFFF"/>
        <w:spacing w:beforeAutospacing="0" w:afterAutospacing="0" w:line="560" w:lineRule="exact"/>
        <w:ind w:firstLine="640" w:firstLineChars="200"/>
        <w:jc w:val="both"/>
        <w:rPr>
          <w:rFonts w:ascii="Times New Roman" w:hAnsi="Times New Roman" w:eastAsia="楷体_GB2312" w:cs="Times New Roman"/>
          <w:sz w:val="32"/>
          <w:szCs w:val="32"/>
          <w:shd w:val="clear" w:color="auto" w:fill="FFFFFF"/>
        </w:rPr>
      </w:pPr>
      <w:r>
        <w:rPr>
          <w:rFonts w:ascii="Times New Roman" w:hAnsi="Times New Roman" w:eastAsia="楷体_GB2312" w:cs="Times New Roman"/>
          <w:sz w:val="32"/>
          <w:szCs w:val="32"/>
          <w:shd w:val="clear" w:color="auto" w:fill="FFFFFF"/>
        </w:rPr>
        <w:t>1.2工作原则</w:t>
      </w:r>
    </w:p>
    <w:p w14:paraId="5E797FE8">
      <w:pPr>
        <w:pStyle w:val="6"/>
        <w:shd w:val="clear" w:color="auto" w:fill="FFFFFF"/>
        <w:spacing w:beforeAutospacing="0" w:afterAutospacing="0" w:line="560" w:lineRule="exact"/>
        <w:ind w:firstLine="640" w:firstLineChars="200"/>
        <w:jc w:val="both"/>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shd w:val="clear" w:color="auto" w:fill="FFFFFF"/>
        </w:rPr>
        <w:t>（1）以人为本，安全第一。危险化学品事故应急救援工作要始终把保障人民群众的生命安全和身体健康放在首位，切实加强应急救援人员的安全防护，最大限度地减少危险化学品事故造成的人员伤亡和危害。</w:t>
      </w:r>
    </w:p>
    <w:p w14:paraId="032A4214">
      <w:pPr>
        <w:pStyle w:val="6"/>
        <w:shd w:val="clear" w:color="auto" w:fill="FFFFFF"/>
        <w:spacing w:beforeAutospacing="0" w:afterAutospacing="0" w:line="560" w:lineRule="exact"/>
        <w:ind w:firstLine="640" w:firstLineChars="200"/>
        <w:jc w:val="both"/>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shd w:val="clear" w:color="auto" w:fill="FFFFFF"/>
        </w:rPr>
        <w:t>（2）统一领导，分级管理。区应急局在区委、区政府的统一领导下，负责指导、协调危险化学品事故应急救援工作。各街道办事处、区属有关部门和企业按照各自职责和权限，负责事故的应急管理和应急处置工作。发生事故的企业是事故应急救援的第一响应者。按照分级响应的原则。</w:t>
      </w:r>
    </w:p>
    <w:p w14:paraId="304AB3BE">
      <w:pPr>
        <w:pStyle w:val="6"/>
        <w:shd w:val="clear" w:color="auto" w:fill="FFFFFF"/>
        <w:spacing w:beforeAutospacing="0" w:afterAutospacing="0" w:line="560" w:lineRule="exact"/>
        <w:ind w:firstLine="640" w:firstLineChars="200"/>
        <w:jc w:val="both"/>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shd w:val="clear" w:color="auto" w:fill="FFFFFF"/>
        </w:rPr>
        <w:t>（3）依靠科学，依法规范。遵循科学原理，充分发挥专家的作用，实现科学民主决策。依靠科技进步，不断改进和完善应急救援装备、设施和手段。依法规范应急救援工作，确保预案的科学性、权威性和可操作性。</w:t>
      </w:r>
    </w:p>
    <w:p w14:paraId="5E93E4FC">
      <w:pPr>
        <w:pStyle w:val="6"/>
        <w:shd w:val="clear" w:color="auto" w:fill="FFFFFF"/>
        <w:spacing w:beforeAutospacing="0" w:afterAutospacing="0" w:line="560" w:lineRule="exact"/>
        <w:ind w:firstLine="640" w:firstLineChars="200"/>
        <w:jc w:val="both"/>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shd w:val="clear" w:color="auto" w:fill="FFFFFF"/>
        </w:rPr>
        <w:t>（4）预防为主，平战结合。贯彻落实“安全第一，预防为主，综合治理”的方针，坚持事故应急与预防相结合。按照长期准备、重点建设的要求，做好应对危险化学品事故的思想准备、预案准备、物资和经费准备、工作准备，加强培训演练，做到常备不懈。将日常管理工作和应急救援工作相结合，充分利用现有专业力量，努力实现一队多能，培养兼职应急救援力量并发挥其作用。</w:t>
      </w:r>
    </w:p>
    <w:p w14:paraId="3A4DA9F0">
      <w:pPr>
        <w:pStyle w:val="6"/>
        <w:shd w:val="clear" w:color="auto" w:fill="FFFFFF"/>
        <w:spacing w:beforeAutospacing="0" w:afterAutospacing="0" w:line="560" w:lineRule="exact"/>
        <w:ind w:firstLine="640" w:firstLineChars="200"/>
        <w:jc w:val="both"/>
        <w:rPr>
          <w:rFonts w:ascii="Times New Roman" w:hAnsi="Times New Roman" w:eastAsia="楷体_GB2312" w:cs="Times New Roman"/>
          <w:sz w:val="32"/>
          <w:szCs w:val="32"/>
          <w:shd w:val="clear" w:color="auto" w:fill="FFFFFF"/>
        </w:rPr>
      </w:pPr>
      <w:r>
        <w:rPr>
          <w:rFonts w:ascii="Times New Roman" w:hAnsi="Times New Roman" w:eastAsia="楷体_GB2312" w:cs="Times New Roman"/>
          <w:sz w:val="32"/>
          <w:szCs w:val="32"/>
          <w:shd w:val="clear" w:color="auto" w:fill="FFFFFF"/>
        </w:rPr>
        <w:t>1.3编制依据</w:t>
      </w:r>
    </w:p>
    <w:p w14:paraId="2FF6E3A2">
      <w:pPr>
        <w:pStyle w:val="6"/>
        <w:shd w:val="clear" w:color="auto" w:fill="FFFFFF"/>
        <w:spacing w:beforeAutospacing="0" w:afterAutospacing="0" w:line="560" w:lineRule="exact"/>
        <w:ind w:firstLine="640" w:firstLineChars="200"/>
        <w:jc w:val="both"/>
        <w:rPr>
          <w:rFonts w:ascii="Times New Roman" w:hAnsi="Times New Roman" w:eastAsia="仿宋_GB2312" w:cs="Times New Roman"/>
          <w:spacing w:val="-20"/>
          <w:sz w:val="32"/>
          <w:szCs w:val="32"/>
          <w:shd w:val="clear" w:color="auto" w:fill="FFFFFF"/>
        </w:rPr>
      </w:pPr>
      <w:r>
        <w:rPr>
          <w:rFonts w:ascii="Times New Roman" w:hAnsi="Times New Roman" w:eastAsia="仿宋_GB2312" w:cs="Times New Roman"/>
          <w:sz w:val="32"/>
          <w:szCs w:val="32"/>
          <w:shd w:val="clear" w:color="auto" w:fill="FFFFFF"/>
        </w:rPr>
        <w:t>《中华人民共和国安全生产法》、《中华人民共和国环境保护法》、《生产安全事故应急条例》、《危险化学品安全管理条例》、《昆明市突发事件应急预案管理规范》、《昆明市危险化学品事故应急预案》、《官渡区突发公共事件总体应急预案》</w:t>
      </w:r>
      <w:r>
        <w:rPr>
          <w:rFonts w:ascii="Times New Roman" w:hAnsi="Times New Roman" w:eastAsia="仿宋_GB2312" w:cs="Times New Roman"/>
          <w:spacing w:val="-20"/>
          <w:sz w:val="32"/>
          <w:szCs w:val="32"/>
          <w:shd w:val="clear" w:color="auto" w:fill="FFFFFF"/>
        </w:rPr>
        <w:t>等。</w:t>
      </w:r>
    </w:p>
    <w:p w14:paraId="6F5B7DBA">
      <w:pPr>
        <w:pStyle w:val="6"/>
        <w:shd w:val="clear" w:color="auto" w:fill="FFFFFF"/>
        <w:spacing w:beforeAutospacing="0" w:afterAutospacing="0" w:line="560" w:lineRule="exact"/>
        <w:ind w:firstLine="640" w:firstLineChars="200"/>
        <w:jc w:val="both"/>
        <w:rPr>
          <w:rFonts w:ascii="Times New Roman" w:hAnsi="Times New Roman" w:eastAsia="楷体_GB2312" w:cs="Times New Roman"/>
          <w:sz w:val="32"/>
          <w:szCs w:val="32"/>
          <w:shd w:val="clear" w:color="auto" w:fill="FFFFFF"/>
        </w:rPr>
      </w:pPr>
      <w:r>
        <w:rPr>
          <w:rFonts w:ascii="Times New Roman" w:hAnsi="Times New Roman" w:eastAsia="楷体_GB2312" w:cs="Times New Roman"/>
          <w:sz w:val="32"/>
          <w:szCs w:val="32"/>
          <w:shd w:val="clear" w:color="auto" w:fill="FFFFFF"/>
        </w:rPr>
        <w:t>1.4适用范围</w:t>
      </w:r>
    </w:p>
    <w:p w14:paraId="3A268CB5">
      <w:pPr>
        <w:pStyle w:val="6"/>
        <w:shd w:val="clear" w:color="auto" w:fill="FFFFFF"/>
        <w:spacing w:beforeAutospacing="0" w:afterAutospacing="0" w:line="560" w:lineRule="exact"/>
        <w:ind w:firstLine="640" w:firstLineChars="200"/>
        <w:jc w:val="both"/>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shd w:val="clear" w:color="auto" w:fill="FFFFFF"/>
        </w:rPr>
        <w:t>本预案适用于在官渡区行政辖区范围内，危险化学品生产、经营、储存、运输、使用和废弃危险化学品处置等过程中发生的一系列事故应对工作。各级各部门依照本应急预案组织、指挥、协调危险化学品事故应急工作。</w:t>
      </w:r>
    </w:p>
    <w:p w14:paraId="0FE8A350">
      <w:pPr>
        <w:pStyle w:val="6"/>
        <w:shd w:val="clear" w:color="auto" w:fill="FFFFFF"/>
        <w:spacing w:beforeAutospacing="0" w:afterAutospacing="0" w:line="560" w:lineRule="exact"/>
        <w:ind w:firstLine="640" w:firstLineChars="200"/>
        <w:jc w:val="both"/>
        <w:rPr>
          <w:rFonts w:ascii="Times New Roman" w:hAnsi="Times New Roman" w:eastAsia="黑体" w:cs="Times New Roman"/>
          <w:sz w:val="32"/>
          <w:szCs w:val="32"/>
          <w:shd w:val="clear" w:color="auto" w:fill="FFFFFF"/>
        </w:rPr>
      </w:pPr>
      <w:r>
        <w:rPr>
          <w:rFonts w:ascii="Times New Roman" w:hAnsi="Times New Roman" w:eastAsia="仿宋_GB2312" w:cs="Times New Roman"/>
          <w:sz w:val="32"/>
          <w:szCs w:val="32"/>
          <w:shd w:val="clear" w:color="auto" w:fill="FFFFFF"/>
        </w:rPr>
        <w:t>2</w:t>
      </w:r>
      <w:r>
        <w:rPr>
          <w:rFonts w:ascii="Times New Roman" w:hAnsi="Times New Roman" w:eastAsia="黑体" w:cs="Times New Roman"/>
          <w:sz w:val="32"/>
          <w:szCs w:val="32"/>
          <w:shd w:val="clear" w:color="auto" w:fill="FFFFFF"/>
        </w:rPr>
        <w:t>组织指挥体系及职责</w:t>
      </w:r>
    </w:p>
    <w:p w14:paraId="05A0B87E">
      <w:pPr>
        <w:pStyle w:val="6"/>
        <w:shd w:val="clear" w:color="auto" w:fill="FFFFFF"/>
        <w:spacing w:beforeAutospacing="0" w:afterAutospacing="0" w:line="560" w:lineRule="exact"/>
        <w:ind w:firstLine="640" w:firstLineChars="200"/>
        <w:jc w:val="both"/>
        <w:rPr>
          <w:rFonts w:ascii="Times New Roman" w:hAnsi="Times New Roman" w:eastAsia="楷体_GB2312" w:cs="Times New Roman"/>
          <w:sz w:val="32"/>
          <w:szCs w:val="32"/>
          <w:shd w:val="clear" w:color="auto" w:fill="FFFFFF"/>
        </w:rPr>
      </w:pPr>
      <w:r>
        <w:rPr>
          <w:rFonts w:ascii="Times New Roman" w:hAnsi="Times New Roman" w:eastAsia="楷体_GB2312" w:cs="Times New Roman"/>
          <w:sz w:val="32"/>
          <w:szCs w:val="32"/>
          <w:shd w:val="clear" w:color="auto" w:fill="FFFFFF"/>
        </w:rPr>
        <w:t>2.1协调指挥机构与职责</w:t>
      </w:r>
    </w:p>
    <w:p w14:paraId="5A78E41D">
      <w:pPr>
        <w:pStyle w:val="6"/>
        <w:shd w:val="clear" w:color="auto" w:fill="FFFFFF"/>
        <w:spacing w:beforeAutospacing="0" w:afterAutospacing="0" w:line="560" w:lineRule="exact"/>
        <w:ind w:firstLine="640" w:firstLineChars="200"/>
        <w:jc w:val="both"/>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shd w:val="clear" w:color="auto" w:fill="FFFFFF"/>
        </w:rPr>
        <w:t>在区委、区政府统一领导下，成立危险化学品事故应急工作领导小组（以下简称领导小组）。领导小组的组成及成员单位主要职责：</w:t>
      </w:r>
    </w:p>
    <w:p w14:paraId="2B49CD9A">
      <w:pPr>
        <w:pStyle w:val="6"/>
        <w:shd w:val="clear" w:color="auto" w:fill="FFFFFF"/>
        <w:spacing w:beforeAutospacing="0" w:afterAutospacing="0" w:line="560" w:lineRule="exact"/>
        <w:ind w:firstLine="640" w:firstLineChars="200"/>
        <w:jc w:val="both"/>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shd w:val="clear" w:color="auto" w:fill="FFFFFF"/>
        </w:rPr>
        <w:t>组    长：区政府副区长（分管应急管理工作）</w:t>
      </w:r>
    </w:p>
    <w:p w14:paraId="21CFBAA2">
      <w:pPr>
        <w:pStyle w:val="6"/>
        <w:shd w:val="clear" w:color="auto" w:fill="FFFFFF"/>
        <w:spacing w:beforeAutospacing="0" w:afterAutospacing="0" w:line="560" w:lineRule="exact"/>
        <w:ind w:firstLine="640" w:firstLineChars="200"/>
        <w:jc w:val="both"/>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shd w:val="clear" w:color="auto" w:fill="FFFFFF"/>
        </w:rPr>
        <w:t>副 组 长：区政府办公室联系副主任、区应急局主要领导</w:t>
      </w:r>
    </w:p>
    <w:p w14:paraId="3134DF7B">
      <w:pPr>
        <w:pStyle w:val="6"/>
        <w:shd w:val="clear" w:color="auto" w:fill="FFFFFF"/>
        <w:spacing w:beforeAutospacing="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shd w:val="clear" w:color="auto" w:fill="FFFFFF"/>
        </w:rPr>
        <w:t>成员单位：区应急局、市公安局官渡分局、市交警三大队、区商务投资促进局、市生态环境局官渡分局、区运管分局、区卫生健康局、区市场监管局、区融媒体中心、</w:t>
      </w:r>
      <w:r>
        <w:rPr>
          <w:rFonts w:ascii="Times New Roman" w:hAnsi="Times New Roman" w:eastAsia="仿宋_GB2312" w:cs="Times New Roman"/>
          <w:sz w:val="32"/>
          <w:szCs w:val="32"/>
        </w:rPr>
        <w:t>区财政局、</w:t>
      </w:r>
      <w:r>
        <w:rPr>
          <w:rFonts w:ascii="Times New Roman" w:hAnsi="Times New Roman" w:eastAsia="仿宋_GB2312" w:cs="Times New Roman"/>
          <w:sz w:val="32"/>
          <w:szCs w:val="28"/>
        </w:rPr>
        <w:t>昆明市官渡区气象局</w:t>
      </w:r>
      <w:r>
        <w:rPr>
          <w:rFonts w:ascii="Times New Roman" w:hAnsi="Times New Roman" w:eastAsia="仿宋_GB2312" w:cs="Times New Roman"/>
          <w:sz w:val="32"/>
          <w:szCs w:val="32"/>
        </w:rPr>
        <w:t>、区民政局、区总工会、区消防救援大队等部门和单位。</w:t>
      </w:r>
    </w:p>
    <w:p w14:paraId="55D89599">
      <w:pPr>
        <w:pStyle w:val="6"/>
        <w:numPr>
          <w:ilvl w:val="0"/>
          <w:numId w:val="1"/>
        </w:numPr>
        <w:shd w:val="clear" w:color="auto" w:fill="FFFFFF"/>
        <w:spacing w:beforeAutospacing="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shd w:val="clear" w:color="auto" w:fill="FFFFFF"/>
        </w:rPr>
        <w:t>区应急局：承担领导小组办公室职责，负责统筹危化品事故现场应急处置工作，</w:t>
      </w:r>
      <w:r>
        <w:rPr>
          <w:rFonts w:ascii="Times New Roman" w:hAnsi="Times New Roman" w:eastAsia="仿宋_GB2312" w:cs="Times New Roman"/>
          <w:sz w:val="32"/>
          <w:szCs w:val="32"/>
        </w:rPr>
        <w:t>负责接收、核实、汇总、上报事故信息，协调有关单位做好先期处置工作；传达并督促落实各级领导对事件处置的指示批示，根据现场救援需求联动有关部门、资源、队伍参与应急救援，确保救援行动有序开展。</w:t>
      </w:r>
    </w:p>
    <w:p w14:paraId="31546716">
      <w:pPr>
        <w:pStyle w:val="6"/>
        <w:numPr>
          <w:ilvl w:val="0"/>
          <w:numId w:val="1"/>
        </w:numPr>
        <w:shd w:val="clear" w:color="auto" w:fill="FFFFFF"/>
        <w:spacing w:beforeAutospacing="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shd w:val="clear" w:color="auto" w:fill="FFFFFF"/>
        </w:rPr>
        <w:t>市公安局官渡分局：</w:t>
      </w:r>
      <w:r>
        <w:rPr>
          <w:rFonts w:ascii="Times New Roman" w:hAnsi="Times New Roman" w:eastAsia="仿宋_GB2312" w:cs="Times New Roman"/>
          <w:sz w:val="32"/>
          <w:szCs w:val="32"/>
        </w:rPr>
        <w:t>负责组织领导公安系统部门承担危化品事故现场及周边重点目标的安全保卫工作。</w:t>
      </w:r>
    </w:p>
    <w:p w14:paraId="258FEC10">
      <w:pPr>
        <w:pStyle w:val="6"/>
        <w:numPr>
          <w:ilvl w:val="0"/>
          <w:numId w:val="1"/>
        </w:numPr>
        <w:shd w:val="clear" w:color="auto" w:fill="FFFFFF"/>
        <w:spacing w:beforeAutospacing="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shd w:val="clear" w:color="auto" w:fill="FFFFFF"/>
        </w:rPr>
        <w:t>市交警三大队：负责</w:t>
      </w:r>
      <w:r>
        <w:rPr>
          <w:rFonts w:ascii="Times New Roman" w:hAnsi="Times New Roman" w:eastAsia="仿宋_GB2312" w:cs="Times New Roman"/>
          <w:sz w:val="32"/>
          <w:szCs w:val="32"/>
        </w:rPr>
        <w:t>危化品事故现场及周边交通管制及疏导工作，保障应急车辆优先通行，避免次生、衍生事故发生。</w:t>
      </w:r>
    </w:p>
    <w:p w14:paraId="0AED9FD2">
      <w:pPr>
        <w:pStyle w:val="6"/>
        <w:shd w:val="clear" w:color="auto" w:fill="FFFFFF"/>
        <w:spacing w:beforeAutospacing="0" w:afterAutospacing="0" w:line="560" w:lineRule="exact"/>
        <w:ind w:firstLine="640" w:firstLineChars="200"/>
        <w:jc w:val="both"/>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shd w:val="clear" w:color="auto" w:fill="FFFFFF"/>
        </w:rPr>
        <w:t>（4）区商务投资促进局：协调有关人员赶赴事故现场参与事故应急救援工作。</w:t>
      </w:r>
    </w:p>
    <w:p w14:paraId="0D96E03E">
      <w:pPr>
        <w:pStyle w:val="6"/>
        <w:shd w:val="clear" w:color="auto" w:fill="FFFFFF"/>
        <w:spacing w:beforeAutospacing="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shd w:val="clear" w:color="auto" w:fill="FFFFFF"/>
        </w:rPr>
        <w:t>（5）市生态环境局官渡分局：</w:t>
      </w:r>
      <w:r>
        <w:rPr>
          <w:rFonts w:ascii="Times New Roman" w:hAnsi="Times New Roman" w:eastAsia="仿宋_GB2312" w:cs="Times New Roman"/>
          <w:sz w:val="32"/>
          <w:szCs w:val="32"/>
        </w:rPr>
        <w:t>负责在事故现场开设环境监测点，不间断监测泄漏物在空气当中的浓度，对周边大气、水体、土壤等进行环境监测，确定危险物质成分的浓度，确定污染区域范围，对事故造成的环境影响进行评估，提出处置建议；制定环境修复方案并组织实施。</w:t>
      </w:r>
    </w:p>
    <w:p w14:paraId="5E754EB8">
      <w:pPr>
        <w:pStyle w:val="6"/>
        <w:shd w:val="clear" w:color="auto" w:fill="FFFFFF"/>
        <w:spacing w:beforeAutospacing="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shd w:val="clear" w:color="auto" w:fill="FFFFFF"/>
        </w:rPr>
        <w:t>（6）区运管分局：配合做好危化品事故现场交通处置工作，</w:t>
      </w:r>
      <w:r>
        <w:rPr>
          <w:rFonts w:ascii="Times New Roman" w:hAnsi="Times New Roman" w:eastAsia="仿宋_GB2312" w:cs="Times New Roman"/>
          <w:sz w:val="32"/>
          <w:szCs w:val="32"/>
        </w:rPr>
        <w:t>协调工程机械、货运车辆、客运车辆、化学品运输车辆参与事故处置，协调高速公路应急车辆快速通行事项。</w:t>
      </w:r>
    </w:p>
    <w:p w14:paraId="1ACB0948">
      <w:pPr>
        <w:pStyle w:val="6"/>
        <w:shd w:val="clear" w:color="auto" w:fill="FFFFFF"/>
        <w:spacing w:beforeAutospacing="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shd w:val="clear" w:color="auto" w:fill="FFFFFF"/>
        </w:rPr>
        <w:t>（7）区卫生健康局：负责对现场受伤人员的医疗救治、转运、院内救治等工作；及时向应急指挥部报告伤员数量及医疗救治情况，</w:t>
      </w:r>
      <w:r>
        <w:rPr>
          <w:rFonts w:ascii="Times New Roman" w:hAnsi="Times New Roman" w:eastAsia="仿宋_GB2312" w:cs="Times New Roman"/>
          <w:sz w:val="32"/>
          <w:szCs w:val="32"/>
        </w:rPr>
        <w:t>提出防止传染病扩散措施，预防传染病的爆发。</w:t>
      </w:r>
    </w:p>
    <w:p w14:paraId="13CEA3A2">
      <w:pPr>
        <w:pStyle w:val="6"/>
        <w:shd w:val="clear" w:color="auto" w:fill="FFFFFF"/>
        <w:spacing w:beforeAutospacing="0" w:afterAutospacing="0" w:line="560" w:lineRule="exact"/>
        <w:ind w:firstLine="640" w:firstLineChars="200"/>
        <w:jc w:val="both"/>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shd w:val="clear" w:color="auto" w:fill="FFFFFF"/>
        </w:rPr>
        <w:t>（8）区市场监管局：参与制定危险化学品事故应急预案，参加危险化学品事故的应急救援；根据规定权限，依法组织危险化学品从业单位特种设备事故调查处理并通报调查结果。</w:t>
      </w:r>
    </w:p>
    <w:p w14:paraId="1D2322F7">
      <w:pPr>
        <w:pStyle w:val="6"/>
        <w:shd w:val="clear" w:color="auto" w:fill="FFFFFF"/>
        <w:spacing w:beforeAutospacing="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shd w:val="clear" w:color="auto" w:fill="FFFFFF"/>
        </w:rPr>
        <w:t>（9）区融媒体中心：</w:t>
      </w:r>
      <w:r>
        <w:rPr>
          <w:rFonts w:ascii="Times New Roman" w:hAnsi="Times New Roman" w:eastAsia="仿宋_GB2312" w:cs="Times New Roman"/>
          <w:sz w:val="32"/>
          <w:szCs w:val="32"/>
        </w:rPr>
        <w:t>根据应急指挥部授权，提出应急处置工作新闻发布意见建议，负责危化品事故的新闻报道，做好新闻媒体的组织、管理和网络舆论引导工作。</w:t>
      </w:r>
    </w:p>
    <w:p w14:paraId="7962123C">
      <w:pPr>
        <w:pStyle w:val="6"/>
        <w:shd w:val="clear" w:color="auto" w:fill="FFFFFF"/>
        <w:spacing w:beforeAutospacing="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（10）区财政局：负责官渡区危化品事故应急资金保障工作，开展资金的绩效管理工作。</w:t>
      </w:r>
    </w:p>
    <w:p w14:paraId="41AE489B">
      <w:pPr>
        <w:pStyle w:val="6"/>
        <w:shd w:val="clear" w:color="auto" w:fill="FFFFFF"/>
        <w:spacing w:beforeAutospacing="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（11）</w:t>
      </w:r>
      <w:r>
        <w:rPr>
          <w:rFonts w:ascii="Times New Roman" w:hAnsi="Times New Roman" w:eastAsia="仿宋_GB2312" w:cs="Times New Roman"/>
          <w:sz w:val="32"/>
          <w:szCs w:val="28"/>
        </w:rPr>
        <w:t>昆明市官渡区气象局</w:t>
      </w:r>
      <w:r>
        <w:rPr>
          <w:rFonts w:ascii="Times New Roman" w:hAnsi="Times New Roman" w:eastAsia="仿宋_GB2312" w:cs="Times New Roman"/>
          <w:sz w:val="32"/>
          <w:szCs w:val="32"/>
        </w:rPr>
        <w:t>：负责组织官渡区行政区域内重大灾害性天气跨地区、跨部门的联合监测、预报工作，为应急指挥部防御气象灾害可能造成的影响提供决策依据。</w:t>
      </w:r>
    </w:p>
    <w:p w14:paraId="77CF1EBB">
      <w:pPr>
        <w:pStyle w:val="6"/>
        <w:shd w:val="clear" w:color="auto" w:fill="FFFFFF"/>
        <w:spacing w:beforeAutospacing="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（12）区民政局：负责组织遇难人员遗体处置等善后工作。</w:t>
      </w:r>
    </w:p>
    <w:p w14:paraId="119D6256">
      <w:pPr>
        <w:pStyle w:val="6"/>
        <w:shd w:val="clear" w:color="auto" w:fill="FFFFFF"/>
        <w:spacing w:beforeAutospacing="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（13）区总工会：负责协调事故善后处理。</w:t>
      </w:r>
    </w:p>
    <w:p w14:paraId="3AD9D0C6">
      <w:pPr>
        <w:pStyle w:val="6"/>
        <w:shd w:val="clear" w:color="auto" w:fill="FFFFFF"/>
        <w:spacing w:beforeAutospacing="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（14）区消防救援大队：承担综合救援任务，救援遇险和受威胁群众，配合危化品专业救援队伍做好初期喷淋和冷却稀释等基础性工作，避免发生燃烧爆炸事故。</w:t>
      </w:r>
    </w:p>
    <w:p w14:paraId="19E57286">
      <w:pPr>
        <w:pStyle w:val="6"/>
        <w:shd w:val="clear" w:color="auto" w:fill="FFFFFF"/>
        <w:spacing w:beforeAutospacing="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（15）各危化专业应急救援队伍：负责做好专业救援任务。</w:t>
      </w:r>
    </w:p>
    <w:p w14:paraId="28A099B6">
      <w:pPr>
        <w:pStyle w:val="6"/>
        <w:shd w:val="clear" w:color="auto" w:fill="FFFFFF"/>
        <w:spacing w:beforeAutospacing="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（16）事发地街道办事处：按照属地管理原则，负责做好现场协同处置和后勤保障工作。</w:t>
      </w:r>
    </w:p>
    <w:p w14:paraId="53DC330F">
      <w:pPr>
        <w:pStyle w:val="6"/>
        <w:shd w:val="clear" w:color="auto" w:fill="FFFFFF"/>
        <w:spacing w:beforeAutospacing="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（17）其他部门和单位：按照各自职责，做好预防和应急处置工作。</w:t>
      </w:r>
    </w:p>
    <w:p w14:paraId="7AAAB4D5">
      <w:pPr>
        <w:pStyle w:val="6"/>
        <w:shd w:val="clear" w:color="auto" w:fill="FFFFFF"/>
        <w:spacing w:beforeAutospacing="0" w:afterAutospacing="0" w:line="560" w:lineRule="exact"/>
        <w:ind w:firstLine="640" w:firstLineChars="200"/>
        <w:jc w:val="both"/>
        <w:rPr>
          <w:rFonts w:ascii="Times New Roman" w:hAnsi="Times New Roman" w:eastAsia="楷体_GB2312" w:cs="Times New Roman"/>
          <w:sz w:val="32"/>
          <w:szCs w:val="32"/>
          <w:shd w:val="clear" w:color="auto" w:fill="FFFFFF"/>
        </w:rPr>
      </w:pPr>
      <w:r>
        <w:rPr>
          <w:rFonts w:ascii="Times New Roman" w:hAnsi="Times New Roman" w:eastAsia="楷体_GB2312" w:cs="Times New Roman"/>
          <w:sz w:val="32"/>
          <w:szCs w:val="32"/>
          <w:shd w:val="clear" w:color="auto" w:fill="FFFFFF"/>
        </w:rPr>
        <w:t>2.2事故现场应急救援指挥部及职责</w:t>
      </w:r>
    </w:p>
    <w:p w14:paraId="0F58F44C">
      <w:pPr>
        <w:pStyle w:val="6"/>
        <w:shd w:val="clear" w:color="auto" w:fill="FFFFFF"/>
        <w:spacing w:beforeAutospacing="0" w:afterAutospacing="0" w:line="560" w:lineRule="exact"/>
        <w:ind w:firstLine="640" w:firstLineChars="200"/>
        <w:jc w:val="both"/>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shd w:val="clear" w:color="auto" w:fill="FFFFFF"/>
        </w:rPr>
        <w:t>按事故等级和分级响应原则，由区政府相关部门组成现场应急救援指挥部，总指挥由区应急局主要负责人担任，全面负责应急救援指挥工作。现场应急救援指挥部负责指挥所有参与应急救援的队伍和人员实施应急救援，并及时向区领导小组办公室报告事故及救援情况，需要外部力量增援的，报请领导小组办公室协调，并说明需要的救援力量、救援装备等情况。</w:t>
      </w:r>
    </w:p>
    <w:p w14:paraId="54A5D49A">
      <w:pPr>
        <w:pStyle w:val="6"/>
        <w:shd w:val="clear" w:color="auto" w:fill="FFFFFF"/>
        <w:spacing w:beforeAutospacing="0" w:afterAutospacing="0" w:line="560" w:lineRule="exact"/>
        <w:ind w:firstLine="640" w:firstLineChars="200"/>
        <w:jc w:val="both"/>
        <w:rPr>
          <w:rFonts w:ascii="Times New Roman" w:hAnsi="Times New Roman" w:eastAsia="黑体" w:cs="Times New Roman"/>
          <w:sz w:val="32"/>
          <w:szCs w:val="32"/>
          <w:shd w:val="clear" w:color="auto" w:fill="FFFFFF"/>
        </w:rPr>
      </w:pPr>
      <w:r>
        <w:rPr>
          <w:rFonts w:ascii="Times New Roman" w:hAnsi="Times New Roman" w:eastAsia="仿宋_GB2312" w:cs="Times New Roman"/>
          <w:sz w:val="32"/>
          <w:szCs w:val="32"/>
          <w:shd w:val="clear" w:color="auto" w:fill="FFFFFF"/>
        </w:rPr>
        <w:t>3</w:t>
      </w:r>
      <w:r>
        <w:rPr>
          <w:rFonts w:ascii="Times New Roman" w:hAnsi="Times New Roman" w:eastAsia="黑体" w:cs="Times New Roman"/>
          <w:sz w:val="32"/>
          <w:szCs w:val="32"/>
          <w:shd w:val="clear" w:color="auto" w:fill="FFFFFF"/>
        </w:rPr>
        <w:t>预警和预防机制</w:t>
      </w:r>
    </w:p>
    <w:p w14:paraId="5C9F45F7">
      <w:pPr>
        <w:pStyle w:val="6"/>
        <w:shd w:val="clear" w:color="auto" w:fill="FFFFFF"/>
        <w:spacing w:beforeAutospacing="0" w:afterAutospacing="0" w:line="560" w:lineRule="exact"/>
        <w:ind w:firstLine="640" w:firstLineChars="200"/>
        <w:jc w:val="both"/>
        <w:rPr>
          <w:rFonts w:ascii="Times New Roman" w:hAnsi="Times New Roman" w:eastAsia="楷体_GB2312" w:cs="Times New Roman"/>
          <w:sz w:val="32"/>
          <w:szCs w:val="32"/>
          <w:shd w:val="clear" w:color="auto" w:fill="FFFFFF"/>
        </w:rPr>
      </w:pPr>
      <w:r>
        <w:rPr>
          <w:rFonts w:ascii="Times New Roman" w:hAnsi="Times New Roman" w:eastAsia="楷体_GB2312" w:cs="Times New Roman"/>
          <w:sz w:val="32"/>
          <w:szCs w:val="32"/>
          <w:shd w:val="clear" w:color="auto" w:fill="FFFFFF"/>
        </w:rPr>
        <w:t>3.1预警和预测</w:t>
      </w:r>
    </w:p>
    <w:p w14:paraId="7FC39D06">
      <w:pPr>
        <w:pStyle w:val="6"/>
        <w:shd w:val="clear" w:color="auto" w:fill="FFFFFF"/>
        <w:spacing w:beforeAutospacing="0" w:afterAutospacing="0" w:line="560" w:lineRule="exact"/>
        <w:ind w:firstLine="640" w:firstLineChars="200"/>
        <w:jc w:val="both"/>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shd w:val="clear" w:color="auto" w:fill="FFFFFF"/>
        </w:rPr>
        <w:t>危险化学品事故信息由区应急局负责统一接收、处理、统计分析，经核实后及时上报领导小组办公室。领导小组办公室核实后按有关规定及时报区委、区政府。</w:t>
      </w:r>
    </w:p>
    <w:p w14:paraId="663E2676">
      <w:pPr>
        <w:pStyle w:val="6"/>
        <w:shd w:val="clear" w:color="auto" w:fill="FFFFFF"/>
        <w:spacing w:beforeAutospacing="0" w:afterAutospacing="0" w:line="560" w:lineRule="exact"/>
        <w:ind w:firstLine="640" w:firstLineChars="200"/>
        <w:jc w:val="both"/>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shd w:val="clear" w:color="auto" w:fill="FFFFFF"/>
        </w:rPr>
        <w:t>各级各部门要遵循早发现、早报告、早处置原则，组织有关单位对各类危险化学品事故风险信息进行预测分析。</w:t>
      </w:r>
    </w:p>
    <w:p w14:paraId="713EDDD5">
      <w:pPr>
        <w:pStyle w:val="6"/>
        <w:shd w:val="clear" w:color="auto" w:fill="FFFFFF"/>
        <w:spacing w:beforeAutospacing="0" w:afterAutospacing="0" w:line="560" w:lineRule="exact"/>
        <w:ind w:firstLine="640" w:firstLineChars="200"/>
        <w:jc w:val="both"/>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shd w:val="clear" w:color="auto" w:fill="FFFFFF"/>
        </w:rPr>
        <w:t>预测分析主要包括以下内容：</w:t>
      </w:r>
    </w:p>
    <w:p w14:paraId="706B22A5">
      <w:pPr>
        <w:pStyle w:val="6"/>
        <w:shd w:val="clear" w:color="auto" w:fill="FFFFFF"/>
        <w:spacing w:beforeAutospacing="0" w:afterAutospacing="0" w:line="560" w:lineRule="exact"/>
        <w:ind w:firstLine="640" w:firstLineChars="200"/>
        <w:jc w:val="both"/>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shd w:val="clear" w:color="auto" w:fill="FFFFFF"/>
        </w:rPr>
        <w:t>（1）事故的基本情况和可能涉及的因素，如发生的对象时间、地点、原因、规模、手段、事故发生地周边的建筑、交通环境和人口密度，以及可能引发的次生、衍生危害情况等。</w:t>
      </w:r>
    </w:p>
    <w:p w14:paraId="11F1728B">
      <w:pPr>
        <w:pStyle w:val="6"/>
        <w:shd w:val="clear" w:color="auto" w:fill="FFFFFF"/>
        <w:spacing w:beforeAutospacing="0" w:afterAutospacing="0" w:line="560" w:lineRule="exact"/>
        <w:ind w:firstLine="640" w:firstLineChars="200"/>
        <w:jc w:val="both"/>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shd w:val="clear" w:color="auto" w:fill="FFFFFF"/>
        </w:rPr>
        <w:t>（2）事故的危害程度，如可能造成的人员伤亡、财产损失和社会影响，对经济发展和社会稳定造成的危险。</w:t>
      </w:r>
    </w:p>
    <w:p w14:paraId="4EEAF468">
      <w:pPr>
        <w:pStyle w:val="6"/>
        <w:shd w:val="clear" w:color="auto" w:fill="FFFFFF"/>
        <w:spacing w:beforeAutospacing="0" w:afterAutospacing="0" w:line="560" w:lineRule="exact"/>
        <w:ind w:firstLine="640" w:firstLineChars="200"/>
        <w:jc w:val="both"/>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shd w:val="clear" w:color="auto" w:fill="FFFFFF"/>
        </w:rPr>
        <w:t>（3）事故可能达到的等级，以及需要采取的应对措施。</w:t>
      </w:r>
    </w:p>
    <w:p w14:paraId="2DB681AA">
      <w:pPr>
        <w:pStyle w:val="6"/>
        <w:shd w:val="clear" w:color="auto" w:fill="FFFFFF"/>
        <w:spacing w:beforeAutospacing="0" w:afterAutospacing="0" w:line="560" w:lineRule="exact"/>
        <w:ind w:firstLine="640" w:firstLineChars="200"/>
        <w:jc w:val="both"/>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shd w:val="clear" w:color="auto" w:fill="FFFFFF"/>
        </w:rPr>
        <w:t>通过预测分析，若发生危化品事故几率较高、影响较大，各级各部门要及早采取预防和应对措施，同时迅速报告。</w:t>
      </w:r>
    </w:p>
    <w:p w14:paraId="6DBE4310">
      <w:pPr>
        <w:pStyle w:val="6"/>
        <w:shd w:val="clear" w:color="auto" w:fill="FFFFFF"/>
        <w:spacing w:beforeAutospacing="0" w:afterAutospacing="0" w:line="560" w:lineRule="exact"/>
        <w:ind w:firstLine="640" w:firstLineChars="200"/>
        <w:jc w:val="both"/>
        <w:rPr>
          <w:rFonts w:ascii="Times New Roman" w:hAnsi="Times New Roman" w:eastAsia="楷体_GB2312" w:cs="Times New Roman"/>
          <w:sz w:val="32"/>
          <w:szCs w:val="32"/>
          <w:shd w:val="clear" w:color="auto" w:fill="FFFFFF"/>
        </w:rPr>
      </w:pPr>
      <w:r>
        <w:rPr>
          <w:rFonts w:ascii="Times New Roman" w:hAnsi="Times New Roman" w:eastAsia="楷体_GB2312" w:cs="Times New Roman"/>
          <w:sz w:val="32"/>
          <w:szCs w:val="32"/>
          <w:shd w:val="clear" w:color="auto" w:fill="FFFFFF"/>
        </w:rPr>
        <w:t>3.2预警级别</w:t>
      </w:r>
    </w:p>
    <w:p w14:paraId="4D314EC8">
      <w:pPr>
        <w:pStyle w:val="6"/>
        <w:shd w:val="clear" w:color="auto" w:fill="FFFFFF"/>
        <w:spacing w:beforeAutospacing="0" w:afterAutospacing="0" w:line="560" w:lineRule="exact"/>
        <w:ind w:firstLine="640" w:firstLineChars="200"/>
        <w:jc w:val="both"/>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shd w:val="clear" w:color="auto" w:fill="FFFFFF"/>
        </w:rPr>
        <w:t>根据危化品安全事故等级、紧急程度和严重性，预警发布级别为四级：I级（特大）、II级（重大）、III级（较大）和IV级（一般），并依次用红色、橙色、黄色和蓝色表示。</w:t>
      </w:r>
    </w:p>
    <w:p w14:paraId="4F87BE50">
      <w:pPr>
        <w:pStyle w:val="6"/>
        <w:shd w:val="clear" w:color="auto" w:fill="FFFFFF"/>
        <w:spacing w:beforeAutospacing="0" w:afterAutospacing="0" w:line="560" w:lineRule="exact"/>
        <w:ind w:firstLine="640" w:firstLineChars="200"/>
        <w:jc w:val="both"/>
        <w:rPr>
          <w:rFonts w:ascii="Times New Roman" w:hAnsi="Times New Roman" w:eastAsia="楷体_GB2312" w:cs="Times New Roman"/>
          <w:sz w:val="32"/>
          <w:szCs w:val="32"/>
          <w:shd w:val="clear" w:color="auto" w:fill="FFFFFF"/>
        </w:rPr>
      </w:pPr>
      <w:r>
        <w:rPr>
          <w:rFonts w:ascii="Times New Roman" w:hAnsi="Times New Roman" w:eastAsia="楷体_GB2312" w:cs="Times New Roman"/>
          <w:sz w:val="32"/>
          <w:szCs w:val="32"/>
          <w:shd w:val="clear" w:color="auto" w:fill="FFFFFF"/>
        </w:rPr>
        <w:t>3.3信息报告</w:t>
      </w:r>
    </w:p>
    <w:p w14:paraId="1C208D75">
      <w:pPr>
        <w:pStyle w:val="6"/>
        <w:shd w:val="clear" w:color="auto" w:fill="FFFFFF"/>
        <w:spacing w:beforeAutospacing="0" w:afterAutospacing="0" w:line="560" w:lineRule="exact"/>
        <w:ind w:firstLine="640" w:firstLineChars="200"/>
        <w:jc w:val="both"/>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shd w:val="clear" w:color="auto" w:fill="FFFFFF"/>
        </w:rPr>
        <w:t>事故信息应逐级上报，任何部门、单位和个人都不得瞒报、缓报、谎报危化品事故信息，重大事故可越级上报，同时抄报同级党委、政府。发生危化品安全事故后，事故单位应立即报告事发地街道办事处、区应急局，区应急局应按规定在30分钟内报市应急局和区委、区政府，同时抄报区级有关部门。</w:t>
      </w:r>
    </w:p>
    <w:p w14:paraId="5D81E04F">
      <w:pPr>
        <w:pStyle w:val="6"/>
        <w:shd w:val="clear" w:color="auto" w:fill="FFFFFF"/>
        <w:spacing w:beforeAutospacing="0" w:afterAutospacing="0" w:line="560" w:lineRule="exact"/>
        <w:ind w:firstLine="640" w:firstLineChars="200"/>
        <w:jc w:val="both"/>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shd w:val="clear" w:color="auto" w:fill="FFFFFF"/>
        </w:rPr>
        <w:t>报告的内容主要包括：事故发生的单位、时间、地点；事故的性质、类型；事故的简要经过和现场伤亡情况；事故发生的初步原因；事故造成环境污染的情况及对周边的影响；报告人姓名、联系电话；其他与事故有关情况。</w:t>
      </w:r>
    </w:p>
    <w:p w14:paraId="1F58F95A">
      <w:pPr>
        <w:pStyle w:val="6"/>
        <w:shd w:val="clear" w:color="auto" w:fill="FFFFFF"/>
        <w:spacing w:beforeAutospacing="0" w:afterAutospacing="0" w:line="560" w:lineRule="exact"/>
        <w:ind w:firstLine="640" w:firstLineChars="200"/>
        <w:jc w:val="both"/>
        <w:rPr>
          <w:rFonts w:ascii="Times New Roman" w:hAnsi="Times New Roman" w:eastAsia="黑体" w:cs="Times New Roman"/>
          <w:sz w:val="32"/>
          <w:szCs w:val="32"/>
          <w:shd w:val="clear" w:color="auto" w:fill="FFFFFF"/>
        </w:rPr>
      </w:pPr>
      <w:r>
        <w:rPr>
          <w:rFonts w:ascii="Times New Roman" w:hAnsi="Times New Roman" w:eastAsia="仿宋_GB2312" w:cs="Times New Roman"/>
          <w:sz w:val="32"/>
          <w:szCs w:val="32"/>
          <w:shd w:val="clear" w:color="auto" w:fill="FFFFFF"/>
        </w:rPr>
        <w:t>4</w:t>
      </w:r>
      <w:r>
        <w:rPr>
          <w:rFonts w:ascii="Times New Roman" w:hAnsi="Times New Roman" w:eastAsia="黑体" w:cs="Times New Roman"/>
          <w:sz w:val="32"/>
          <w:szCs w:val="32"/>
          <w:shd w:val="clear" w:color="auto" w:fill="FFFFFF"/>
        </w:rPr>
        <w:t>应急响应</w:t>
      </w:r>
    </w:p>
    <w:p w14:paraId="6DE71214">
      <w:pPr>
        <w:pStyle w:val="6"/>
        <w:shd w:val="clear" w:color="auto" w:fill="FFFFFF"/>
        <w:spacing w:beforeAutospacing="0" w:afterAutospacing="0" w:line="560" w:lineRule="exact"/>
        <w:ind w:firstLine="640" w:firstLineChars="200"/>
        <w:jc w:val="both"/>
        <w:rPr>
          <w:rFonts w:ascii="Times New Roman" w:hAnsi="Times New Roman" w:eastAsia="楷体_GB2312" w:cs="Times New Roman"/>
          <w:sz w:val="32"/>
          <w:szCs w:val="32"/>
          <w:shd w:val="clear" w:color="auto" w:fill="FFFFFF"/>
        </w:rPr>
      </w:pPr>
      <w:r>
        <w:rPr>
          <w:rFonts w:ascii="Times New Roman" w:hAnsi="Times New Roman" w:eastAsia="楷体_GB2312" w:cs="Times New Roman"/>
          <w:sz w:val="32"/>
          <w:szCs w:val="32"/>
          <w:shd w:val="clear" w:color="auto" w:fill="FFFFFF"/>
        </w:rPr>
        <w:t>4.1分级响应</w:t>
      </w:r>
    </w:p>
    <w:p w14:paraId="542E45BC">
      <w:pPr>
        <w:pStyle w:val="6"/>
        <w:shd w:val="clear" w:color="auto" w:fill="FFFFFF"/>
        <w:spacing w:beforeAutospacing="0" w:afterAutospacing="0" w:line="560" w:lineRule="exact"/>
        <w:ind w:firstLine="640" w:firstLineChars="200"/>
        <w:jc w:val="both"/>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shd w:val="clear" w:color="auto" w:fill="FFFFFF"/>
        </w:rPr>
        <w:t>事故发生后，按照“统一指挥、属地管理、专业处置”的要求，根据预警的级别响应，启动相应级别的预案。</w:t>
      </w:r>
    </w:p>
    <w:p w14:paraId="079680C2">
      <w:pPr>
        <w:pStyle w:val="6"/>
        <w:shd w:val="clear" w:color="auto" w:fill="FFFFFF"/>
        <w:spacing w:beforeAutospacing="0" w:afterAutospacing="0" w:line="560" w:lineRule="exact"/>
        <w:ind w:firstLine="640" w:firstLineChars="200"/>
        <w:jc w:val="both"/>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shd w:val="clear" w:color="auto" w:fill="FFFFFF"/>
        </w:rPr>
        <w:t>I级应急响应：适用于处置特大危化品事故。由省应急厅请求国务院启动I级响应。在启动I级响应前，在省应急厅、市应急局领导下，组织先期处置工作。</w:t>
      </w:r>
    </w:p>
    <w:p w14:paraId="2E1E95F4">
      <w:pPr>
        <w:pStyle w:val="6"/>
        <w:shd w:val="clear" w:color="auto" w:fill="FFFFFF"/>
        <w:spacing w:beforeAutospacing="0" w:afterAutospacing="0" w:line="560" w:lineRule="exact"/>
        <w:ind w:firstLine="640" w:firstLineChars="200"/>
        <w:jc w:val="both"/>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shd w:val="clear" w:color="auto" w:fill="FFFFFF"/>
        </w:rPr>
        <w:t>II级应急响应：适用于处置重大危化品事故。由省应急厅启动II级响应。在启动</w:t>
      </w:r>
      <w:r>
        <w:rPr>
          <w:rFonts w:ascii="Times New Roman" w:hAnsi="Times New Roman" w:cs="Times New Roman"/>
          <w:sz w:val="32"/>
          <w:szCs w:val="32"/>
          <w:shd w:val="clear" w:color="auto" w:fill="FFFFFF"/>
        </w:rPr>
        <w:t>Ⅱ</w:t>
      </w:r>
      <w:r>
        <w:rPr>
          <w:rFonts w:ascii="Times New Roman" w:hAnsi="Times New Roman" w:eastAsia="仿宋_GB2312" w:cs="Times New Roman"/>
          <w:sz w:val="32"/>
          <w:szCs w:val="32"/>
          <w:shd w:val="clear" w:color="auto" w:fill="FFFFFF"/>
        </w:rPr>
        <w:t>级响应前，在省应急厅、市应急局领导下，组织先期处置工作。</w:t>
      </w:r>
    </w:p>
    <w:p w14:paraId="4A5E597E">
      <w:pPr>
        <w:pStyle w:val="6"/>
        <w:shd w:val="clear" w:color="auto" w:fill="FFFFFF"/>
        <w:spacing w:beforeAutospacing="0" w:afterAutospacing="0" w:line="560" w:lineRule="exact"/>
        <w:ind w:firstLine="640" w:firstLineChars="200"/>
        <w:jc w:val="both"/>
        <w:rPr>
          <w:rFonts w:ascii="Times New Roman" w:hAnsi="Times New Roman" w:eastAsia="仿宋_GB2312" w:cs="Times New Roman"/>
          <w:sz w:val="32"/>
          <w:szCs w:val="32"/>
          <w:shd w:val="clear" w:color="auto" w:fill="FFFFFF"/>
        </w:rPr>
      </w:pPr>
      <w:r>
        <w:rPr>
          <w:rFonts w:ascii="Times New Roman" w:hAnsi="Times New Roman" w:cs="Times New Roman"/>
          <w:sz w:val="32"/>
          <w:szCs w:val="32"/>
        </w:rPr>
        <w:t>Ⅲ</w:t>
      </w:r>
      <w:r>
        <w:rPr>
          <w:rFonts w:ascii="Times New Roman" w:hAnsi="Times New Roman" w:eastAsia="仿宋_GB2312" w:cs="Times New Roman"/>
          <w:sz w:val="32"/>
          <w:szCs w:val="32"/>
        </w:rPr>
        <w:t>级应急响应：适用于处置较大危化品事故。由市应急局决定启动</w:t>
      </w:r>
      <w:r>
        <w:rPr>
          <w:rFonts w:ascii="Times New Roman" w:hAnsi="Times New Roman" w:cs="Times New Roman"/>
          <w:sz w:val="32"/>
          <w:szCs w:val="32"/>
        </w:rPr>
        <w:t>Ⅲ</w:t>
      </w:r>
      <w:r>
        <w:rPr>
          <w:rFonts w:ascii="Times New Roman" w:hAnsi="Times New Roman" w:eastAsia="仿宋_GB2312" w:cs="Times New Roman"/>
          <w:sz w:val="32"/>
          <w:szCs w:val="32"/>
        </w:rPr>
        <w:t>级应急响应。</w:t>
      </w:r>
      <w:r>
        <w:rPr>
          <w:rFonts w:ascii="Times New Roman" w:hAnsi="Times New Roman" w:eastAsia="仿宋_GB2312" w:cs="Times New Roman"/>
          <w:sz w:val="32"/>
          <w:szCs w:val="32"/>
          <w:shd w:val="clear" w:color="auto" w:fill="FFFFFF"/>
        </w:rPr>
        <w:t>在启动</w:t>
      </w:r>
      <w:r>
        <w:rPr>
          <w:rFonts w:ascii="Times New Roman" w:hAnsi="Times New Roman" w:cs="Times New Roman"/>
          <w:sz w:val="32"/>
          <w:szCs w:val="32"/>
        </w:rPr>
        <w:t>Ⅲ</w:t>
      </w:r>
      <w:r>
        <w:rPr>
          <w:rFonts w:ascii="Times New Roman" w:hAnsi="Times New Roman" w:eastAsia="仿宋_GB2312" w:cs="Times New Roman"/>
          <w:sz w:val="32"/>
          <w:szCs w:val="32"/>
          <w:shd w:val="clear" w:color="auto" w:fill="FFFFFF"/>
        </w:rPr>
        <w:t>级响应前，在省应急厅、市应急局领导下，组织先期处置工作。</w:t>
      </w:r>
    </w:p>
    <w:p w14:paraId="3B7FC086">
      <w:pPr>
        <w:pStyle w:val="6"/>
        <w:shd w:val="clear" w:color="auto" w:fill="FFFFFF"/>
        <w:spacing w:beforeAutospacing="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shd w:val="clear" w:color="auto" w:fill="FFFFFF"/>
        </w:rPr>
        <w:t>IV级应急响应：</w:t>
      </w:r>
      <w:r>
        <w:rPr>
          <w:rFonts w:ascii="Times New Roman" w:hAnsi="Times New Roman" w:eastAsia="仿宋_GB2312" w:cs="Times New Roman"/>
          <w:sz w:val="32"/>
          <w:szCs w:val="32"/>
        </w:rPr>
        <w:t>适用于处置一般危化品事故。由区应急局决定启动Ⅳ级应急响应，Ⅳ级应急预案区应急局负责制定并实施（本预案），由区政府分管副区长任总指挥。Ⅳ级应急救援措施难以控制事态时，区应急局应及时请求市应急局启动Ⅲ级应急响应。</w:t>
      </w:r>
    </w:p>
    <w:p w14:paraId="26D6FDC9">
      <w:pPr>
        <w:pStyle w:val="6"/>
        <w:shd w:val="clear" w:color="auto" w:fill="FFFFFF"/>
        <w:spacing w:beforeAutospacing="0" w:afterAutospacing="0" w:line="560" w:lineRule="exact"/>
        <w:ind w:firstLine="640" w:firstLineChars="200"/>
        <w:jc w:val="both"/>
        <w:rPr>
          <w:rFonts w:ascii="Times New Roman" w:hAnsi="Times New Roman" w:eastAsia="楷体_GB2312" w:cs="Times New Roman"/>
          <w:sz w:val="32"/>
          <w:szCs w:val="32"/>
          <w:shd w:val="clear" w:color="auto" w:fill="FFFFFF"/>
        </w:rPr>
      </w:pPr>
      <w:r>
        <w:rPr>
          <w:rFonts w:ascii="Times New Roman" w:hAnsi="Times New Roman" w:eastAsia="楷体_GB2312" w:cs="Times New Roman"/>
          <w:sz w:val="32"/>
          <w:szCs w:val="32"/>
          <w:shd w:val="clear" w:color="auto" w:fill="FFFFFF"/>
        </w:rPr>
        <w:t>4.2指挥和协调</w:t>
      </w:r>
    </w:p>
    <w:p w14:paraId="5524BD0B">
      <w:pPr>
        <w:pStyle w:val="6"/>
        <w:shd w:val="clear" w:color="auto" w:fill="FFFFFF"/>
        <w:spacing w:beforeAutospacing="0" w:afterAutospacing="0" w:line="560" w:lineRule="exact"/>
        <w:ind w:firstLine="640" w:firstLineChars="200"/>
        <w:jc w:val="both"/>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shd w:val="clear" w:color="auto" w:fill="FFFFFF"/>
        </w:rPr>
        <w:t>危险化学品事故现场救援指挥坚持属地为主的原则。事故发生后，发生事故的企业应当立即启动企业预案，组织救援，按照分级响应的原则由区政府成立现场应急救援指挥部，按照有关处置预案，统一协调指挥事故救援。本预案启动后，区应急局协调指挥的主要内容是：</w:t>
      </w:r>
    </w:p>
    <w:p w14:paraId="39E65C32">
      <w:pPr>
        <w:pStyle w:val="6"/>
        <w:shd w:val="clear" w:color="auto" w:fill="FFFFFF"/>
        <w:spacing w:beforeAutospacing="0" w:afterAutospacing="0" w:line="560" w:lineRule="exact"/>
        <w:ind w:firstLine="640" w:firstLineChars="200"/>
        <w:jc w:val="both"/>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shd w:val="clear" w:color="auto" w:fill="FFFFFF"/>
        </w:rPr>
        <w:t>（1）根据现场救援工作需要和事发地安全生产应急救援力量的布局，协调调动有关的队伍、装备、物资，保障事故救援需要；</w:t>
      </w:r>
    </w:p>
    <w:p w14:paraId="27AA6DE5">
      <w:pPr>
        <w:pStyle w:val="6"/>
        <w:shd w:val="clear" w:color="auto" w:fill="FFFFFF"/>
        <w:spacing w:beforeAutospacing="0" w:afterAutospacing="0" w:line="560" w:lineRule="exact"/>
        <w:ind w:firstLine="640" w:firstLineChars="200"/>
        <w:jc w:val="both"/>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shd w:val="clear" w:color="auto" w:fill="FFFFFF"/>
        </w:rPr>
        <w:t>（2）组织有关专家指导现场救援工作，协助事发地政府制定救援方案和防止事故引发次生灾害的方案，并组织有关部门和单位实施；</w:t>
      </w:r>
    </w:p>
    <w:p w14:paraId="25FFE8A3">
      <w:pPr>
        <w:pStyle w:val="6"/>
        <w:shd w:val="clear" w:color="auto" w:fill="FFFFFF"/>
        <w:spacing w:beforeAutospacing="0" w:afterAutospacing="0" w:line="560" w:lineRule="exact"/>
        <w:ind w:firstLine="640" w:firstLineChars="200"/>
        <w:jc w:val="both"/>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shd w:val="clear" w:color="auto" w:fill="FFFFFF"/>
        </w:rPr>
        <w:t>（3）针对事故引发或可能引发的次生灾害，适时通知有关部门和单位启动应急预案；</w:t>
      </w:r>
    </w:p>
    <w:p w14:paraId="1DBE4E9D">
      <w:pPr>
        <w:pStyle w:val="6"/>
        <w:shd w:val="clear" w:color="auto" w:fill="FFFFFF"/>
        <w:spacing w:beforeAutospacing="0" w:afterAutospacing="0" w:line="560" w:lineRule="exact"/>
        <w:ind w:firstLine="640" w:firstLineChars="200"/>
        <w:jc w:val="both"/>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shd w:val="clear" w:color="auto" w:fill="FFFFFF"/>
        </w:rPr>
        <w:t>（4）协调事故发生地相邻地区配合、支援救援工作；</w:t>
      </w:r>
    </w:p>
    <w:p w14:paraId="343D667B">
      <w:pPr>
        <w:pStyle w:val="6"/>
        <w:shd w:val="clear" w:color="auto" w:fill="FFFFFF"/>
        <w:spacing w:beforeAutospacing="0" w:afterAutospacing="0" w:line="560" w:lineRule="exact"/>
        <w:ind w:firstLine="640" w:firstLineChars="200"/>
        <w:jc w:val="both"/>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shd w:val="clear" w:color="auto" w:fill="FFFFFF"/>
        </w:rPr>
        <w:t>（5）必要时，商请部队和武警参加应急救援。</w:t>
      </w:r>
    </w:p>
    <w:p w14:paraId="5B0FBA24">
      <w:pPr>
        <w:pStyle w:val="6"/>
        <w:shd w:val="clear" w:color="auto" w:fill="FFFFFF"/>
        <w:spacing w:beforeAutospacing="0" w:afterAutospacing="0" w:line="560" w:lineRule="exact"/>
        <w:ind w:firstLine="640" w:firstLineChars="200"/>
        <w:jc w:val="both"/>
        <w:rPr>
          <w:rFonts w:ascii="Times New Roman" w:hAnsi="Times New Roman" w:eastAsia="楷体_GB2312" w:cs="Times New Roman"/>
          <w:sz w:val="32"/>
          <w:szCs w:val="32"/>
          <w:shd w:val="clear" w:color="auto" w:fill="FFFFFF"/>
        </w:rPr>
      </w:pPr>
      <w:r>
        <w:rPr>
          <w:rFonts w:ascii="Times New Roman" w:hAnsi="Times New Roman" w:eastAsia="楷体_GB2312" w:cs="Times New Roman"/>
          <w:sz w:val="32"/>
          <w:szCs w:val="32"/>
          <w:shd w:val="clear" w:color="auto" w:fill="FFFFFF"/>
        </w:rPr>
        <w:t>4.3现场紧急处置</w:t>
      </w:r>
    </w:p>
    <w:p w14:paraId="1E86D787">
      <w:pPr>
        <w:pStyle w:val="6"/>
        <w:shd w:val="clear" w:color="auto" w:fill="FFFFFF"/>
        <w:spacing w:beforeAutospacing="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根据事态发展变化情况，出现急剧恶化的特殊险情时，现场应急救援指挥部在充分考虑专家建议和有关部门意见的基础上，依法采取紧急处置措施。</w:t>
      </w:r>
    </w:p>
    <w:p w14:paraId="249915C9">
      <w:pPr>
        <w:pStyle w:val="6"/>
        <w:shd w:val="clear" w:color="auto" w:fill="FFFFFF"/>
        <w:spacing w:beforeAutospacing="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根据危险化学品事故可能造成的后果，将危险化学品事故分为：火灾事故、爆炸事故、易燃、易爆或有毒物质泄漏事故。针对上述三类危险化学品事故的特点，其一般处置方案和各自处置方案要点分别如下：</w:t>
      </w:r>
    </w:p>
    <w:p w14:paraId="51EC0E7A">
      <w:pPr>
        <w:pStyle w:val="6"/>
        <w:shd w:val="clear" w:color="auto" w:fill="FFFFFF"/>
        <w:spacing w:beforeAutospacing="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（1）接报。接警时应明确危险化学品事故发生的单位、地址、事故引发物质、事故简要情况、人员伤亡情况等。</w:t>
      </w:r>
    </w:p>
    <w:p w14:paraId="33D4E0FE">
      <w:pPr>
        <w:pStyle w:val="6"/>
        <w:shd w:val="clear" w:color="auto" w:fill="FFFFFF"/>
        <w:spacing w:beforeAutospacing="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（2）隔离事故现场，建立警戒区。事故发生后，应根据化学品泄漏的扩散情况或火焰辐射热所涉及到的范围建立警戒区，并在通往事故现场的主要干道上实行交通管制。</w:t>
      </w:r>
    </w:p>
    <w:p w14:paraId="17AF7855">
      <w:pPr>
        <w:pStyle w:val="6"/>
        <w:shd w:val="clear" w:color="auto" w:fill="FFFFFF"/>
        <w:spacing w:beforeAutospacing="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（3）人员疏散。包括撤离和就地保护两种。撤离是指迅速将警戒区及污染区内与事故应急处理无关的人员撤离，以减少不必要的人员伤亡。</w:t>
      </w:r>
    </w:p>
    <w:p w14:paraId="1905AFDC">
      <w:pPr>
        <w:pStyle w:val="6"/>
        <w:shd w:val="clear" w:color="auto" w:fill="FFFFFF"/>
        <w:spacing w:beforeAutospacing="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（4）现场控制。应急人员应根据事故特点和事故引发物质的不同，采取不同的防护措施和急救方法。</w:t>
      </w:r>
    </w:p>
    <w:p w14:paraId="601EFEF7">
      <w:pPr>
        <w:pStyle w:val="6"/>
        <w:shd w:val="clear" w:color="auto" w:fill="FFFFFF"/>
        <w:spacing w:beforeAutospacing="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5）泄漏处理。危险化学品泄漏后，不仅污染环境，对人体也可能造成伤害，对可燃物质，还有引发火灾爆炸的可能，因此，对泄漏事故应及时、正确处理，防止事故扩大。泄漏处理一般包括泄漏源控制及泄漏物处理两部分。</w:t>
      </w:r>
    </w:p>
    <w:p w14:paraId="05320B65">
      <w:pPr>
        <w:pStyle w:val="6"/>
        <w:shd w:val="clear" w:color="auto" w:fill="FFFFFF"/>
        <w:spacing w:beforeAutospacing="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4.3.1 泄漏现场处理时，应注意以下事项：</w:t>
      </w:r>
    </w:p>
    <w:p w14:paraId="17A6FA75">
      <w:pPr>
        <w:pStyle w:val="6"/>
        <w:shd w:val="clear" w:color="auto" w:fill="FFFFFF"/>
        <w:spacing w:beforeAutospacing="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（1）进入现场人员必须配备必要的个人防护器具；</w:t>
      </w:r>
    </w:p>
    <w:p w14:paraId="542B12C9">
      <w:pPr>
        <w:pStyle w:val="6"/>
        <w:shd w:val="clear" w:color="auto" w:fill="FFFFFF"/>
        <w:spacing w:beforeAutospacing="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（2）如果泄漏物是易燃易爆的，应严禁火种；</w:t>
      </w:r>
    </w:p>
    <w:p w14:paraId="2AE3F9D7">
      <w:pPr>
        <w:pStyle w:val="6"/>
        <w:shd w:val="clear" w:color="auto" w:fill="FFFFFF"/>
        <w:spacing w:beforeAutospacing="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（3）应急处理时严禁单独行动，要有监护人，必要时用水枪掩护；</w:t>
      </w:r>
    </w:p>
    <w:p w14:paraId="2D614CDD">
      <w:pPr>
        <w:pStyle w:val="6"/>
        <w:shd w:val="clear" w:color="auto" w:fill="FFFFFF"/>
        <w:spacing w:beforeAutospacing="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（4）泄漏源的控制，如果有可能的话，可通过控制泄漏源来消除化学品的溢出或泄漏；</w:t>
      </w:r>
    </w:p>
    <w:p w14:paraId="08DF0CEF">
      <w:pPr>
        <w:pStyle w:val="6"/>
        <w:shd w:val="clear" w:color="auto" w:fill="FFFFFF"/>
        <w:spacing w:beforeAutospacing="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（5）泄漏物的处理，现场泄漏物要及时进行覆盖、收容、稀释、处理，使泄漏物得到安全可靠的处置，防止二次事故的发生。</w:t>
      </w:r>
    </w:p>
    <w:p w14:paraId="495805C2">
      <w:pPr>
        <w:pStyle w:val="6"/>
        <w:shd w:val="clear" w:color="auto" w:fill="FFFFFF"/>
        <w:spacing w:beforeAutospacing="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4.3.2 火灾事故处置方案要点：</w:t>
      </w:r>
    </w:p>
    <w:p w14:paraId="1195AEDD">
      <w:pPr>
        <w:pStyle w:val="6"/>
        <w:shd w:val="clear" w:color="auto" w:fill="FFFFFF"/>
        <w:spacing w:beforeAutospacing="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（1）确定火灾发生的位置；</w:t>
      </w:r>
    </w:p>
    <w:p w14:paraId="4D13BFA3">
      <w:pPr>
        <w:pStyle w:val="6"/>
        <w:shd w:val="clear" w:color="auto" w:fill="FFFFFF"/>
        <w:spacing w:beforeAutospacing="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（2）确定引发火灾的原因；</w:t>
      </w:r>
    </w:p>
    <w:p w14:paraId="4431ED32">
      <w:pPr>
        <w:pStyle w:val="6"/>
        <w:shd w:val="clear" w:color="auto" w:fill="FFFFFF"/>
        <w:spacing w:beforeAutospacing="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（3）确定引起火灾的物质类别（压缩气体、液化气体、易燃液体、易燃物品、自燃物品等）；</w:t>
      </w:r>
    </w:p>
    <w:p w14:paraId="304FD656">
      <w:pPr>
        <w:pStyle w:val="6"/>
        <w:shd w:val="clear" w:color="auto" w:fill="FFFFFF"/>
        <w:spacing w:beforeAutospacing="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（4）所需的火灾应急救援处置的专业技术专家类别；</w:t>
      </w:r>
    </w:p>
    <w:p w14:paraId="5297A2C7">
      <w:pPr>
        <w:pStyle w:val="6"/>
        <w:shd w:val="clear" w:color="auto" w:fill="FFFFFF"/>
        <w:spacing w:beforeAutospacing="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（5）明确火灾发生区域的周围环境；</w:t>
      </w:r>
    </w:p>
    <w:p w14:paraId="358D2A42">
      <w:pPr>
        <w:pStyle w:val="6"/>
        <w:shd w:val="clear" w:color="auto" w:fill="FFFFFF"/>
        <w:spacing w:beforeAutospacing="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（6）确定周围区域存在的重大危险源分布；</w:t>
      </w:r>
    </w:p>
    <w:p w14:paraId="2C4BC33F">
      <w:pPr>
        <w:pStyle w:val="6"/>
        <w:shd w:val="clear" w:color="auto" w:fill="FFFFFF"/>
        <w:spacing w:beforeAutospacing="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（7）确定火灾扑救的基本方法；</w:t>
      </w:r>
    </w:p>
    <w:p w14:paraId="2FB339A0">
      <w:pPr>
        <w:pStyle w:val="6"/>
        <w:shd w:val="clear" w:color="auto" w:fill="FFFFFF"/>
        <w:spacing w:beforeAutospacing="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（8）确定火灾可能导致的后果（含火灾与爆炸伴随发生的可能性）；</w:t>
      </w:r>
    </w:p>
    <w:p w14:paraId="25F23378">
      <w:pPr>
        <w:pStyle w:val="6"/>
        <w:shd w:val="clear" w:color="auto" w:fill="FFFFFF"/>
        <w:spacing w:beforeAutospacing="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（9）确定火灾可能导致的后果对周围区域的可能影响规模和程度；</w:t>
      </w:r>
    </w:p>
    <w:p w14:paraId="52420D1D">
      <w:pPr>
        <w:pStyle w:val="6"/>
        <w:shd w:val="clear" w:color="auto" w:fill="FFFFFF"/>
        <w:spacing w:beforeAutospacing="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（10）火灾可能导致的后果的主要控制措施（控制火灾蔓延、人员疏散、医疗救护等）；</w:t>
      </w:r>
    </w:p>
    <w:p w14:paraId="06CD1B55">
      <w:pPr>
        <w:pStyle w:val="6"/>
        <w:shd w:val="clear" w:color="auto" w:fill="FFFFFF"/>
        <w:spacing w:beforeAutospacing="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（11）可能需要调动的应急救援力量（消防队伍、企业消防队伍等）。</w:t>
      </w:r>
    </w:p>
    <w:p w14:paraId="5D8316C8">
      <w:pPr>
        <w:pStyle w:val="6"/>
        <w:shd w:val="clear" w:color="auto" w:fill="FFFFFF"/>
        <w:spacing w:beforeAutospacing="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4.3.3 爆炸事故处置方案要点：</w:t>
      </w:r>
    </w:p>
    <w:p w14:paraId="6DD50039">
      <w:pPr>
        <w:pStyle w:val="6"/>
        <w:shd w:val="clear" w:color="auto" w:fill="FFFFFF"/>
        <w:spacing w:beforeAutospacing="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（1）确定爆炸地点；</w:t>
      </w:r>
    </w:p>
    <w:p w14:paraId="45627298">
      <w:pPr>
        <w:shd w:val="clear" w:color="auto" w:fill="FFFFFF"/>
        <w:spacing w:line="56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（2）确定爆炸类型（物理性爆炸、化学性爆炸）；</w:t>
      </w:r>
    </w:p>
    <w:p w14:paraId="582A8807">
      <w:pPr>
        <w:shd w:val="clear" w:color="auto" w:fill="FFFFFF"/>
        <w:spacing w:line="56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（3）确定引发爆炸的物质类别（气体、液体、固体）；</w:t>
      </w:r>
    </w:p>
    <w:p w14:paraId="56782065">
      <w:pPr>
        <w:shd w:val="clear" w:color="auto" w:fill="FFFFFF"/>
        <w:spacing w:line="56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（4）所需的爆炸应急救援处置的专业技术专家类别；</w:t>
      </w:r>
    </w:p>
    <w:p w14:paraId="1D9124D3">
      <w:pPr>
        <w:shd w:val="clear" w:color="auto" w:fill="FFFFFF"/>
        <w:spacing w:line="56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（5）明确爆炸地点的周围环境；</w:t>
      </w:r>
    </w:p>
    <w:p w14:paraId="474279EF">
      <w:pPr>
        <w:shd w:val="clear" w:color="auto" w:fill="FFFFFF"/>
        <w:spacing w:line="56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（6）明确周围区域存在的重大危险源分布；</w:t>
      </w:r>
    </w:p>
    <w:p w14:paraId="680613E6">
      <w:pPr>
        <w:shd w:val="clear" w:color="auto" w:fill="FFFFFF"/>
        <w:spacing w:line="56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（7）确定爆炸可能导致的后果（如火灾、二次爆炸等）；</w:t>
      </w:r>
    </w:p>
    <w:p w14:paraId="7F39E340">
      <w:pPr>
        <w:shd w:val="clear" w:color="auto" w:fill="FFFFFF"/>
        <w:spacing w:line="56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（8）确定爆炸可能导致的后果的主要控制措施（再次爆炸控制手段、工程抢险、人员疏散、医疗救护等）；</w:t>
      </w:r>
    </w:p>
    <w:p w14:paraId="69828F9F">
      <w:pPr>
        <w:shd w:val="clear" w:color="auto" w:fill="FFFFFF"/>
        <w:spacing w:line="56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（9）可能需要调动的应急救援力量（消防队伍、企业消防队伍等）。</w:t>
      </w:r>
    </w:p>
    <w:p w14:paraId="55744703">
      <w:pPr>
        <w:shd w:val="clear" w:color="auto" w:fill="FFFFFF"/>
        <w:spacing w:line="56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4.3.4 易燃、易爆或有毒物质泄漏事故处置方案要点：</w:t>
      </w:r>
    </w:p>
    <w:p w14:paraId="7A424F7D">
      <w:pPr>
        <w:shd w:val="clear" w:color="auto" w:fill="FFFFFF"/>
        <w:spacing w:line="56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（1）确定泄漏源的位置；</w:t>
      </w:r>
    </w:p>
    <w:p w14:paraId="3B192180">
      <w:pPr>
        <w:shd w:val="clear" w:color="auto" w:fill="FFFFFF"/>
        <w:spacing w:line="56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（2）确定发生泄漏的化学品种类（易燃、易爆或有毒物质）；</w:t>
      </w:r>
    </w:p>
    <w:p w14:paraId="669BE67A">
      <w:pPr>
        <w:shd w:val="clear" w:color="auto" w:fill="FFFFFF"/>
        <w:spacing w:line="56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（3）所需的泄漏应急救援处置的专业技术专家类别；</w:t>
      </w:r>
    </w:p>
    <w:p w14:paraId="6954497A">
      <w:pPr>
        <w:shd w:val="clear" w:color="auto" w:fill="FFFFFF"/>
        <w:spacing w:line="56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（4）确定泄漏源的周围环境（环境功能区、人口密度等）；</w:t>
      </w:r>
    </w:p>
    <w:p w14:paraId="661D3E94">
      <w:pPr>
        <w:shd w:val="clear" w:color="auto" w:fill="FFFFFF"/>
        <w:spacing w:line="56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（5）确定是否已有泄漏物质进入大气、附近水源、下水道等场所；</w:t>
      </w:r>
    </w:p>
    <w:p w14:paraId="30728AE8">
      <w:pPr>
        <w:shd w:val="clear" w:color="auto" w:fill="FFFFFF"/>
        <w:spacing w:line="56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（6）明确周围区域存在的重大危险源分布；</w:t>
      </w:r>
    </w:p>
    <w:p w14:paraId="1AA7DA6B">
      <w:pPr>
        <w:shd w:val="clear" w:color="auto" w:fill="FFFFFF"/>
        <w:spacing w:line="56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（7）确定泄漏时间或预计持续时间；</w:t>
      </w:r>
    </w:p>
    <w:p w14:paraId="39156937">
      <w:pPr>
        <w:shd w:val="clear" w:color="auto" w:fill="FFFFFF"/>
        <w:spacing w:line="56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（8）实际或估算的泄漏量；</w:t>
      </w:r>
    </w:p>
    <w:p w14:paraId="7D897736">
      <w:pPr>
        <w:shd w:val="clear" w:color="auto" w:fill="FFFFFF"/>
        <w:spacing w:line="56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（9）气象信息；</w:t>
      </w:r>
    </w:p>
    <w:p w14:paraId="39931C5A">
      <w:pPr>
        <w:shd w:val="clear" w:color="auto" w:fill="FFFFFF"/>
        <w:spacing w:line="56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（10）泄漏扩散趋势预测；</w:t>
      </w:r>
    </w:p>
    <w:p w14:paraId="783F2959">
      <w:pPr>
        <w:shd w:val="clear" w:color="auto" w:fill="FFFFFF"/>
        <w:spacing w:line="56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（11）明确泄漏可能导致的后果（泄漏是否可能引起火灾、爆炸、中毒等后果）；</w:t>
      </w:r>
    </w:p>
    <w:p w14:paraId="10E15EB1">
      <w:pPr>
        <w:shd w:val="clear" w:color="auto" w:fill="FFFFFF"/>
        <w:spacing w:line="56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（12）明确泄漏危及周围环境的可能性；</w:t>
      </w:r>
    </w:p>
    <w:p w14:paraId="4A9CCF11">
      <w:pPr>
        <w:shd w:val="clear" w:color="auto" w:fill="FFFFFF"/>
        <w:spacing w:line="56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（13）确定泄漏可能导致的后果的主要控制措施（堵漏、工程抢险、人员疏散、医疗救护等）；</w:t>
      </w:r>
    </w:p>
    <w:p w14:paraId="69E965FF">
      <w:pPr>
        <w:shd w:val="clear" w:color="auto" w:fill="FFFFFF"/>
        <w:spacing w:line="56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（14）可能需要调动的应急救援力量（消防救援队伍、企业救援队伍、驻昆部队等）。</w:t>
      </w:r>
    </w:p>
    <w:p w14:paraId="2776F825">
      <w:pPr>
        <w:shd w:val="clear" w:color="auto" w:fill="FFFFFF"/>
        <w:spacing w:line="560" w:lineRule="exact"/>
        <w:ind w:firstLine="640" w:firstLineChars="200"/>
        <w:rPr>
          <w:rFonts w:ascii="Times New Roman" w:hAnsi="Times New Roman" w:eastAsia="楷体_GB2312"/>
          <w:sz w:val="32"/>
          <w:szCs w:val="32"/>
          <w:shd w:val="clear" w:color="auto" w:fill="FFFFFF"/>
        </w:rPr>
      </w:pPr>
      <w:r>
        <w:rPr>
          <w:rFonts w:ascii="Times New Roman" w:hAnsi="Times New Roman" w:eastAsia="楷体_GB2312"/>
          <w:sz w:val="32"/>
          <w:szCs w:val="32"/>
          <w:shd w:val="clear" w:color="auto" w:fill="FFFFFF"/>
        </w:rPr>
        <w:t>4.4应急措施</w:t>
      </w:r>
    </w:p>
    <w:p w14:paraId="258905E6">
      <w:pPr>
        <w:shd w:val="clear" w:color="auto" w:fill="FFFFFF"/>
        <w:spacing w:line="560" w:lineRule="exact"/>
        <w:ind w:firstLine="640" w:firstLineChars="20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1）事故发生后，区应急局、区属相关部门、事发地街道办事处，事故单位和先期到达的应急救援队伍必须迅速、有效地实施先期处置，组织职工、群众开展自救、互救；控制事态发展，防止次生、衍生事故（事件）发生；保护现场不被破坏，妥善保护现场重要痕迹、物证资料。</w:t>
      </w:r>
    </w:p>
    <w:p w14:paraId="44E28065">
      <w:pPr>
        <w:shd w:val="clear" w:color="auto" w:fill="FFFFFF"/>
        <w:spacing w:line="560" w:lineRule="exact"/>
        <w:ind w:firstLine="640" w:firstLineChars="20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（2）现场应急救援指挥部成立后，立即组织专家召开情况碰头会，研究、形成救援方案，指挥、调集快速反应力量，实施抢险救援和紧急处置行动。</w:t>
      </w:r>
    </w:p>
    <w:p w14:paraId="23032FE6">
      <w:pPr>
        <w:shd w:val="clear" w:color="auto" w:fill="FFFFFF"/>
        <w:spacing w:line="560" w:lineRule="exact"/>
        <w:ind w:firstLine="640" w:firstLineChars="20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（3）参与危化品事故应急处理的区属部门和街道办事处要建立可靠快捷的通讯方式和分级联系方式，完善稳定、便捷、畅通、保密的通讯手段，确保突发危化品事故处理期间信息畅通。</w:t>
      </w:r>
    </w:p>
    <w:p w14:paraId="651316E3">
      <w:pPr>
        <w:shd w:val="clear" w:color="auto" w:fill="FFFFFF"/>
        <w:spacing w:line="560" w:lineRule="exact"/>
        <w:ind w:firstLine="640" w:firstLineChars="200"/>
        <w:rPr>
          <w:rFonts w:ascii="Times New Roman" w:hAnsi="Times New Roman" w:eastAsia="楷体_GB2312"/>
          <w:sz w:val="32"/>
          <w:szCs w:val="32"/>
          <w:shd w:val="clear" w:color="auto" w:fill="FFFFFF"/>
        </w:rPr>
      </w:pPr>
      <w:r>
        <w:rPr>
          <w:rFonts w:ascii="Times New Roman" w:hAnsi="Times New Roman" w:eastAsia="楷体_GB2312"/>
          <w:sz w:val="32"/>
          <w:szCs w:val="32"/>
          <w:shd w:val="clear" w:color="auto" w:fill="FFFFFF"/>
        </w:rPr>
        <w:t>4.5事故分析、检测与后果评估</w:t>
      </w:r>
    </w:p>
    <w:p w14:paraId="131667F3">
      <w:pPr>
        <w:shd w:val="clear" w:color="auto" w:fill="FFFFFF"/>
        <w:spacing w:line="560" w:lineRule="exact"/>
        <w:ind w:firstLine="640" w:firstLineChars="20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市生态环境局官渡分局和支援的环境监测及化学品检测机构负责对水源、空气、土壤等样品就地实行分析处理，及时检测出毒物的种类和浓度，并计算出扩散范围等应急救援所需的各种数据，以确定污染区域范围，并对事故造成的环境影响进行评估。</w:t>
      </w:r>
    </w:p>
    <w:p w14:paraId="6E396AFC">
      <w:pPr>
        <w:shd w:val="clear" w:color="auto" w:fill="FFFFFF"/>
        <w:spacing w:line="560" w:lineRule="exact"/>
        <w:ind w:firstLine="640" w:firstLineChars="200"/>
        <w:rPr>
          <w:rFonts w:ascii="Times New Roman" w:hAnsi="Times New Roman" w:eastAsia="楷体_GB2312"/>
          <w:sz w:val="32"/>
          <w:szCs w:val="32"/>
          <w:shd w:val="clear" w:color="auto" w:fill="FFFFFF"/>
        </w:rPr>
      </w:pPr>
      <w:r>
        <w:rPr>
          <w:rFonts w:ascii="Times New Roman" w:hAnsi="Times New Roman" w:eastAsia="楷体_GB2312"/>
          <w:sz w:val="32"/>
          <w:szCs w:val="32"/>
          <w:shd w:val="clear" w:color="auto" w:fill="FFFFFF"/>
        </w:rPr>
        <w:t>4.6应急结束</w:t>
      </w:r>
    </w:p>
    <w:p w14:paraId="760BDE50">
      <w:pPr>
        <w:shd w:val="clear" w:color="auto" w:fill="FFFFFF"/>
        <w:spacing w:line="560" w:lineRule="exact"/>
        <w:ind w:firstLine="640" w:firstLineChars="20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事故现场得以控制，环境符合有关标准，导致次生、衍生事故隐患消除后，经现场应急救援指挥部确认和批准，现场应急处置工作结束，应急救援队伍撤离现场。</w:t>
      </w:r>
    </w:p>
    <w:p w14:paraId="266D26B7">
      <w:pPr>
        <w:shd w:val="clear" w:color="auto" w:fill="FFFFFF"/>
        <w:spacing w:line="560" w:lineRule="exact"/>
        <w:ind w:firstLine="640" w:firstLineChars="200"/>
        <w:rPr>
          <w:rFonts w:ascii="Times New Roman" w:hAnsi="Times New Roman" w:eastAsia="楷体_GB2312"/>
          <w:sz w:val="32"/>
          <w:szCs w:val="32"/>
          <w:shd w:val="clear" w:color="auto" w:fill="FFFFFF"/>
        </w:rPr>
      </w:pPr>
      <w:r>
        <w:rPr>
          <w:rFonts w:ascii="Times New Roman" w:hAnsi="Times New Roman" w:eastAsia="楷体_GB2312"/>
          <w:sz w:val="32"/>
          <w:szCs w:val="32"/>
          <w:shd w:val="clear" w:color="auto" w:fill="FFFFFF"/>
        </w:rPr>
        <w:t>4.7技术储备与保障</w:t>
      </w:r>
    </w:p>
    <w:p w14:paraId="2D94135A">
      <w:pPr>
        <w:shd w:val="clear" w:color="auto" w:fill="FFFFFF"/>
        <w:spacing w:line="560" w:lineRule="exact"/>
        <w:ind w:firstLine="640" w:firstLineChars="20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应急响应状态下，市气象局官渡分局要为危险化学品事故的应急救援决策和响应行动提供所需要的气象资料和气象技术支持。</w:t>
      </w:r>
    </w:p>
    <w:p w14:paraId="18DF9CF1">
      <w:pPr>
        <w:shd w:val="clear" w:color="auto" w:fill="FFFFFF"/>
        <w:spacing w:line="560" w:lineRule="exact"/>
        <w:ind w:firstLine="640" w:firstLineChars="20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根据重大危险源的普查情况，利用重大危险源、重大事故隐患分布和基本情况台账，建立重大危险源和化学品基础数据库，为危险化学品事故应急救援提供基本信息。根据危险化学品登记的有关内容，利用已建立的危险化学品数据库，逐步建立危险化学品安全管理信息系统，为应急救援工作提供保障。</w:t>
      </w:r>
    </w:p>
    <w:p w14:paraId="21642606">
      <w:pPr>
        <w:shd w:val="clear" w:color="auto" w:fill="FFFFFF"/>
        <w:spacing w:line="560" w:lineRule="exact"/>
        <w:ind w:firstLine="640" w:firstLineChars="20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依托有关科研单位开展化学应急救援技术、装备等专项研究，加强化学应急救援技术储备，为危险化学品事故应急救援提供技术支持。</w:t>
      </w:r>
    </w:p>
    <w:p w14:paraId="335B37E3">
      <w:pPr>
        <w:shd w:val="clear" w:color="auto" w:fill="FFFFFF"/>
        <w:spacing w:line="560" w:lineRule="exact"/>
        <w:ind w:firstLine="640" w:firstLineChars="200"/>
        <w:rPr>
          <w:rFonts w:ascii="Times New Roman" w:hAnsi="Times New Roman" w:eastAsia="楷体_GB2312"/>
          <w:sz w:val="32"/>
          <w:szCs w:val="32"/>
          <w:shd w:val="clear" w:color="auto" w:fill="FFFFFF"/>
        </w:rPr>
      </w:pPr>
      <w:r>
        <w:rPr>
          <w:rFonts w:ascii="Times New Roman" w:hAnsi="Times New Roman" w:eastAsia="楷体_GB2312"/>
          <w:sz w:val="32"/>
          <w:szCs w:val="32"/>
          <w:shd w:val="clear" w:color="auto" w:fill="FFFFFF"/>
        </w:rPr>
        <w:t>4.8宣传、培训和演练</w:t>
      </w:r>
    </w:p>
    <w:p w14:paraId="3E43009F">
      <w:pPr>
        <w:shd w:val="clear" w:color="auto" w:fill="FFFFFF"/>
        <w:spacing w:line="560" w:lineRule="exact"/>
        <w:ind w:firstLine="640" w:firstLineChars="20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1）公众信息交流。各级政府、各危险化学品从业单位要按规定向公众和员工说明企业生产、储运或使用的危险化学品的危险性及发生事故可能造成的危害，广泛宣传应急救援有关法律法规和危险化学品事故预防、避险、避灾、自救、互救的常识。</w:t>
      </w:r>
    </w:p>
    <w:p w14:paraId="752CDD3F">
      <w:pPr>
        <w:shd w:val="clear" w:color="auto" w:fill="FFFFFF"/>
        <w:spacing w:line="560" w:lineRule="exact"/>
        <w:ind w:firstLine="640" w:firstLineChars="20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2）培训。危险化学品事故有关应急救援队伍按照有关规定参加业务培训；危险化学品从业单位按照有关规定对员工进行应急培训；各级应急管理部门负责对应急救援培训情况进行监督检查。各级应急救援管理机构要加强应急管理、救援人员的上岗前培训和常规性培训。</w:t>
      </w:r>
    </w:p>
    <w:p w14:paraId="048B134D">
      <w:pPr>
        <w:shd w:val="clear" w:color="auto" w:fill="FFFFFF"/>
        <w:spacing w:line="560" w:lineRule="exact"/>
        <w:ind w:firstLine="640" w:firstLineChars="20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（3）演练。危险化学品从业单位定期组织应急演练；各街道办事处，螺蛳湾综合管理办，应根据自身实际情况定期组织危险化学品事故应急救援演练，并于演练结束后向区应急局提交书面报告。</w:t>
      </w:r>
    </w:p>
    <w:p w14:paraId="66F91115">
      <w:pPr>
        <w:shd w:val="clear" w:color="auto" w:fill="FFFFFF"/>
        <w:spacing w:line="560" w:lineRule="exact"/>
        <w:ind w:firstLine="640" w:firstLineChars="200"/>
        <w:rPr>
          <w:rFonts w:ascii="Times New Roman" w:hAnsi="Times New Roman" w:eastAsia="楷体_GB2312"/>
          <w:sz w:val="32"/>
          <w:szCs w:val="32"/>
          <w:shd w:val="clear" w:color="auto" w:fill="FFFFFF"/>
        </w:rPr>
      </w:pPr>
      <w:r>
        <w:rPr>
          <w:rFonts w:ascii="Times New Roman" w:hAnsi="Times New Roman" w:eastAsia="楷体_GB2312"/>
          <w:sz w:val="32"/>
          <w:szCs w:val="32"/>
          <w:shd w:val="clear" w:color="auto" w:fill="FFFFFF"/>
        </w:rPr>
        <w:t>4.9监督检查</w:t>
      </w:r>
    </w:p>
    <w:p w14:paraId="085C136F">
      <w:pPr>
        <w:shd w:val="clear" w:color="auto" w:fill="FFFFFF"/>
        <w:spacing w:line="560" w:lineRule="exact"/>
        <w:ind w:firstLine="640" w:firstLineChars="20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领导小组办公室对危险化学品事故应急预案实施的全过程进行监督和检查。</w:t>
      </w:r>
    </w:p>
    <w:p w14:paraId="770D963E">
      <w:pPr>
        <w:shd w:val="clear" w:color="auto" w:fill="FFFFFF"/>
        <w:spacing w:line="560" w:lineRule="exact"/>
        <w:ind w:firstLine="640" w:firstLineChars="200"/>
        <w:rPr>
          <w:rFonts w:ascii="Times New Roman" w:hAnsi="Times New Roman" w:eastAsia="黑体"/>
          <w:sz w:val="32"/>
          <w:szCs w:val="32"/>
          <w:shd w:val="clear" w:color="auto" w:fill="FFFFFF"/>
        </w:rPr>
      </w:pPr>
      <w:r>
        <w:rPr>
          <w:rFonts w:ascii="Times New Roman" w:hAnsi="Times New Roman" w:eastAsia="仿宋_GB2312"/>
          <w:sz w:val="32"/>
          <w:szCs w:val="32"/>
          <w:shd w:val="clear" w:color="auto" w:fill="FFFFFF"/>
        </w:rPr>
        <w:t xml:space="preserve">5 </w:t>
      </w:r>
      <w:r>
        <w:rPr>
          <w:rFonts w:ascii="Times New Roman" w:hAnsi="Times New Roman" w:eastAsia="黑体"/>
          <w:sz w:val="32"/>
          <w:szCs w:val="32"/>
          <w:shd w:val="clear" w:color="auto" w:fill="FFFFFF"/>
        </w:rPr>
        <w:t>预案管理与更新</w:t>
      </w:r>
    </w:p>
    <w:p w14:paraId="3790B691">
      <w:pPr>
        <w:shd w:val="clear" w:color="auto" w:fill="FFFFFF"/>
        <w:spacing w:line="560" w:lineRule="exact"/>
        <w:ind w:firstLine="640" w:firstLineChars="20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领导小组办公室会同区级有关部门定期对应急预案的执行情况进行检查，发现问题和提出修改意见，并根据实际情况的变化，及时修改本预案，报区政府、市应急局备案，并抄送区属有关部门。</w:t>
      </w:r>
    </w:p>
    <w:p w14:paraId="47968007">
      <w:pPr>
        <w:shd w:val="clear" w:color="auto" w:fill="FFFFFF"/>
        <w:spacing w:line="560" w:lineRule="exact"/>
        <w:ind w:firstLine="640" w:firstLineChars="20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下列情况，本预案应进行更新：</w:t>
      </w:r>
    </w:p>
    <w:p w14:paraId="53327FC2">
      <w:pPr>
        <w:shd w:val="clear" w:color="auto" w:fill="FFFFFF"/>
        <w:spacing w:line="560" w:lineRule="exact"/>
        <w:ind w:firstLine="640" w:firstLineChars="20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（1）预案依据的有关法律，行政法规、规章、标准、上位预案中有关规定发生变化的；</w:t>
      </w:r>
    </w:p>
    <w:p w14:paraId="42A85D22">
      <w:pPr>
        <w:shd w:val="clear" w:color="auto" w:fill="FFFFFF"/>
        <w:spacing w:line="560" w:lineRule="exact"/>
        <w:ind w:firstLine="640" w:firstLineChars="20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（2）预案中的其他重要信息发生变化的；</w:t>
      </w:r>
    </w:p>
    <w:p w14:paraId="37E2AB5F">
      <w:pPr>
        <w:shd w:val="clear" w:color="auto" w:fill="FFFFFF"/>
        <w:spacing w:line="560" w:lineRule="exact"/>
        <w:ind w:firstLine="640" w:firstLineChars="20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（3）预案定制单位认为应当修订的其他情况。</w:t>
      </w:r>
    </w:p>
    <w:p w14:paraId="3FD8D5CF">
      <w:pPr>
        <w:shd w:val="clear" w:color="auto" w:fill="FFFFFF"/>
        <w:spacing w:line="560" w:lineRule="exact"/>
        <w:ind w:firstLine="640" w:firstLineChars="200"/>
        <w:rPr>
          <w:rFonts w:ascii="Times New Roman" w:hAnsi="Times New Roman" w:eastAsia="黑体"/>
          <w:sz w:val="32"/>
          <w:szCs w:val="32"/>
          <w:shd w:val="clear" w:color="auto" w:fill="FFFFFF"/>
        </w:rPr>
      </w:pPr>
      <w:r>
        <w:rPr>
          <w:rFonts w:ascii="Times New Roman" w:hAnsi="Times New Roman" w:eastAsia="仿宋_GB2312"/>
          <w:sz w:val="32"/>
          <w:szCs w:val="32"/>
          <w:shd w:val="clear" w:color="auto" w:fill="FFFFFF"/>
        </w:rPr>
        <w:t xml:space="preserve">6 </w:t>
      </w:r>
      <w:r>
        <w:rPr>
          <w:rFonts w:ascii="Times New Roman" w:hAnsi="Times New Roman" w:eastAsia="黑体"/>
          <w:sz w:val="32"/>
          <w:szCs w:val="32"/>
          <w:shd w:val="clear" w:color="auto" w:fill="FFFFFF"/>
        </w:rPr>
        <w:t>其他</w:t>
      </w:r>
    </w:p>
    <w:p w14:paraId="10647A0B">
      <w:pPr>
        <w:shd w:val="clear" w:color="auto" w:fill="FFFFFF"/>
        <w:spacing w:line="560" w:lineRule="exact"/>
        <w:ind w:firstLine="640" w:firstLineChars="20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本预案自发布之日起施行。</w:t>
      </w:r>
    </w:p>
    <w:p w14:paraId="5D9435F6">
      <w:pPr>
        <w:shd w:val="clear" w:color="auto" w:fill="FFFFFF"/>
        <w:spacing w:line="560" w:lineRule="exact"/>
        <w:rPr>
          <w:rFonts w:ascii="Times New Roman" w:hAnsi="Times New Roman" w:eastAsia="仿宋_GB2312"/>
          <w:sz w:val="32"/>
          <w:szCs w:val="32"/>
          <w:shd w:val="clear" w:color="auto" w:fill="FFFFFF"/>
        </w:rPr>
      </w:pPr>
    </w:p>
    <w:p w14:paraId="614695ED">
      <w:pPr>
        <w:shd w:val="clear" w:color="auto" w:fill="FFFFFF"/>
        <w:spacing w:line="560" w:lineRule="exact"/>
        <w:rPr>
          <w:rFonts w:ascii="Times New Roman" w:hAnsi="Times New Roman" w:eastAsia="仿宋_GB2312"/>
          <w:sz w:val="32"/>
          <w:szCs w:val="32"/>
          <w:shd w:val="clear" w:color="auto" w:fill="FFFFFF"/>
        </w:rPr>
        <w:sectPr>
          <w:headerReference r:id="rId5" w:type="first"/>
          <w:footerReference r:id="rId8" w:type="first"/>
          <w:headerReference r:id="rId3" w:type="default"/>
          <w:footerReference r:id="rId6" w:type="default"/>
          <w:headerReference r:id="rId4" w:type="even"/>
          <w:footerReference r:id="rId7" w:type="even"/>
          <w:pgSz w:w="11906" w:h="16838"/>
          <w:pgMar w:top="2098" w:right="1800" w:bottom="1440" w:left="1474" w:header="851" w:footer="992" w:gutter="0"/>
          <w:cols w:space="720" w:num="1"/>
          <w:docGrid w:type="lines" w:linePitch="312" w:charSpace="0"/>
        </w:sectPr>
      </w:pPr>
    </w:p>
    <w:tbl>
      <w:tblPr>
        <w:tblStyle w:val="7"/>
        <w:tblW w:w="0" w:type="auto"/>
        <w:tblInd w:w="0" w:type="dxa"/>
        <w:tblLayout w:type="fixed"/>
        <w:tblCellMar>
          <w:top w:w="0" w:type="dxa"/>
          <w:left w:w="0" w:type="dxa"/>
          <w:bottom w:w="0" w:type="dxa"/>
          <w:right w:w="0" w:type="dxa"/>
        </w:tblCellMar>
      </w:tblPr>
      <w:tblGrid>
        <w:gridCol w:w="484"/>
        <w:gridCol w:w="1500"/>
        <w:gridCol w:w="2100"/>
        <w:gridCol w:w="2310"/>
        <w:gridCol w:w="1665"/>
        <w:gridCol w:w="3150"/>
        <w:gridCol w:w="1485"/>
        <w:gridCol w:w="1230"/>
        <w:gridCol w:w="140"/>
      </w:tblGrid>
      <w:tr w14:paraId="7B150081">
        <w:tblPrEx>
          <w:tblCellMar>
            <w:top w:w="0" w:type="dxa"/>
            <w:left w:w="0" w:type="dxa"/>
            <w:bottom w:w="0" w:type="dxa"/>
            <w:right w:w="0" w:type="dxa"/>
          </w:tblCellMar>
        </w:tblPrEx>
        <w:trPr>
          <w:trHeight w:val="960" w:hRule="atLeast"/>
        </w:trPr>
        <w:tc>
          <w:tcPr>
            <w:tcW w:w="14064" w:type="dxa"/>
            <w:gridSpan w:val="9"/>
            <w:tcBorders>
              <w:top w:val="nil"/>
              <w:left w:val="nil"/>
              <w:bottom w:val="nil"/>
              <w:right w:val="nil"/>
            </w:tcBorders>
            <w:noWrap/>
            <w:tcMar>
              <w:top w:w="15" w:type="dxa"/>
              <w:left w:w="15" w:type="dxa"/>
              <w:right w:w="15" w:type="dxa"/>
            </w:tcMar>
            <w:vAlign w:val="center"/>
          </w:tcPr>
          <w:p w14:paraId="46827834">
            <w:pPr>
              <w:shd w:val="clear" w:color="auto" w:fill="FFFFFF"/>
              <w:spacing w:line="560" w:lineRule="exact"/>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附件1：</w:t>
            </w:r>
          </w:p>
          <w:p w14:paraId="1230A199">
            <w:pPr>
              <w:shd w:val="clear" w:color="auto" w:fill="FFFFFF"/>
              <w:spacing w:line="560" w:lineRule="exact"/>
              <w:ind w:firstLine="643" w:firstLineChars="200"/>
              <w:jc w:val="center"/>
              <w:rPr>
                <w:rFonts w:ascii="Times New Roman" w:hAnsi="Times New Roman" w:eastAsia="仿宋_GB2312"/>
                <w:sz w:val="44"/>
                <w:szCs w:val="44"/>
                <w:shd w:val="clear" w:color="auto" w:fill="FFFFFF"/>
              </w:rPr>
            </w:pPr>
            <w:r>
              <w:rPr>
                <w:rFonts w:ascii="Times New Roman" w:hAnsi="Times New Roman" w:eastAsia="仿宋_GB2312"/>
                <w:b/>
                <w:bCs/>
                <w:sz w:val="32"/>
                <w:szCs w:val="32"/>
                <w:shd w:val="clear" w:color="auto" w:fill="FFFFFF"/>
              </w:rPr>
              <w:t>官渡区油库汇总表</w:t>
            </w:r>
          </w:p>
        </w:tc>
      </w:tr>
      <w:tr w14:paraId="2ADBAE9C">
        <w:tblPrEx>
          <w:tblCellMar>
            <w:top w:w="0" w:type="dxa"/>
            <w:left w:w="0" w:type="dxa"/>
            <w:bottom w:w="0" w:type="dxa"/>
            <w:right w:w="0" w:type="dxa"/>
          </w:tblCellMar>
        </w:tblPrEx>
        <w:trPr>
          <w:gridAfter w:val="1"/>
          <w:wAfter w:w="140" w:type="dxa"/>
          <w:trHeight w:val="960" w:hRule="atLeast"/>
        </w:trPr>
        <w:tc>
          <w:tcPr>
            <w:tcW w:w="484" w:type="dxa"/>
            <w:tcBorders>
              <w:top w:val="single" w:color="000000" w:sz="4" w:space="0"/>
              <w:left w:val="single" w:color="000000" w:sz="4" w:space="0"/>
              <w:bottom w:val="nil"/>
              <w:right w:val="single" w:color="000000" w:sz="4" w:space="0"/>
            </w:tcBorders>
            <w:noWrap/>
            <w:tcMar>
              <w:top w:w="15" w:type="dxa"/>
              <w:left w:w="15" w:type="dxa"/>
              <w:right w:w="15" w:type="dxa"/>
            </w:tcMar>
            <w:vAlign w:val="center"/>
          </w:tcPr>
          <w:p w14:paraId="654FFA82">
            <w:pPr>
              <w:shd w:val="clear" w:color="auto" w:fill="FFFFFF"/>
              <w:spacing w:line="560" w:lineRule="exact"/>
              <w:rPr>
                <w:rFonts w:ascii="Times New Roman" w:hAnsi="Times New Roman"/>
                <w:sz w:val="18"/>
                <w:szCs w:val="18"/>
                <w:shd w:val="clear" w:color="auto" w:fill="FFFFFF"/>
              </w:rPr>
            </w:pPr>
            <w:r>
              <w:rPr>
                <w:rFonts w:ascii="Times New Roman" w:hAnsi="Times New Roman"/>
                <w:sz w:val="18"/>
                <w:szCs w:val="18"/>
                <w:shd w:val="clear" w:color="auto" w:fill="FFFFFF"/>
              </w:rPr>
              <w:t>序号</w:t>
            </w:r>
          </w:p>
        </w:tc>
        <w:tc>
          <w:tcPr>
            <w:tcW w:w="1500" w:type="dxa"/>
            <w:tcBorders>
              <w:top w:val="single" w:color="000000" w:sz="4" w:space="0"/>
              <w:left w:val="single" w:color="000000" w:sz="4" w:space="0"/>
              <w:bottom w:val="nil"/>
              <w:right w:val="single" w:color="000000" w:sz="4" w:space="0"/>
            </w:tcBorders>
            <w:noWrap/>
            <w:tcMar>
              <w:top w:w="15" w:type="dxa"/>
              <w:left w:w="15" w:type="dxa"/>
              <w:right w:w="15" w:type="dxa"/>
            </w:tcMar>
            <w:vAlign w:val="center"/>
          </w:tcPr>
          <w:p w14:paraId="7AE3BBB3">
            <w:pPr>
              <w:shd w:val="clear" w:color="auto" w:fill="FFFFFF"/>
              <w:spacing w:line="560" w:lineRule="exact"/>
              <w:ind w:firstLine="360" w:firstLineChars="200"/>
              <w:rPr>
                <w:rFonts w:ascii="Times New Roman" w:hAnsi="Times New Roman"/>
                <w:sz w:val="18"/>
                <w:szCs w:val="18"/>
                <w:shd w:val="clear" w:color="auto" w:fill="FFFFFF"/>
              </w:rPr>
            </w:pPr>
            <w:r>
              <w:rPr>
                <w:rFonts w:ascii="Times New Roman" w:hAnsi="Times New Roman"/>
                <w:color w:val="000000"/>
                <w:kern w:val="0"/>
                <w:sz w:val="18"/>
                <w:szCs w:val="18"/>
                <w:lang w:bidi="ar"/>
              </w:rPr>
              <w:t>单位名称</w:t>
            </w:r>
          </w:p>
        </w:tc>
        <w:tc>
          <w:tcPr>
            <w:tcW w:w="2100" w:type="dxa"/>
            <w:tcBorders>
              <w:top w:val="single" w:color="000000" w:sz="4" w:space="0"/>
              <w:left w:val="single" w:color="000000" w:sz="4" w:space="0"/>
              <w:bottom w:val="nil"/>
              <w:right w:val="single" w:color="000000" w:sz="4" w:space="0"/>
            </w:tcBorders>
            <w:noWrap/>
            <w:tcMar>
              <w:top w:w="15" w:type="dxa"/>
              <w:left w:w="15" w:type="dxa"/>
              <w:right w:w="15" w:type="dxa"/>
            </w:tcMar>
            <w:vAlign w:val="center"/>
          </w:tcPr>
          <w:p w14:paraId="7E57A982">
            <w:pPr>
              <w:shd w:val="clear" w:color="auto" w:fill="FFFFFF"/>
              <w:spacing w:line="560" w:lineRule="exact"/>
              <w:ind w:firstLine="360" w:firstLineChars="200"/>
              <w:jc w:val="center"/>
              <w:rPr>
                <w:rFonts w:ascii="Times New Roman" w:hAnsi="Times New Roman"/>
                <w:sz w:val="18"/>
                <w:szCs w:val="18"/>
                <w:shd w:val="clear" w:color="auto" w:fill="FFFFFF"/>
              </w:rPr>
            </w:pPr>
            <w:r>
              <w:rPr>
                <w:rFonts w:ascii="Times New Roman" w:hAnsi="Times New Roman"/>
                <w:sz w:val="18"/>
                <w:szCs w:val="18"/>
                <w:shd w:val="clear" w:color="auto" w:fill="FFFFFF"/>
              </w:rPr>
              <w:t>地       址</w:t>
            </w:r>
          </w:p>
        </w:tc>
        <w:tc>
          <w:tcPr>
            <w:tcW w:w="2310"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3BE932E6">
            <w:pPr>
              <w:shd w:val="clear" w:color="auto" w:fill="FFFFFF"/>
              <w:spacing w:line="560" w:lineRule="exact"/>
              <w:ind w:firstLine="440" w:firstLineChars="200"/>
              <w:rPr>
                <w:rFonts w:ascii="Times New Roman" w:hAnsi="Times New Roman"/>
                <w:sz w:val="18"/>
                <w:szCs w:val="18"/>
                <w:shd w:val="clear" w:color="auto" w:fill="FFFFFF"/>
              </w:rPr>
            </w:pPr>
            <w:r>
              <w:rPr>
                <w:rFonts w:ascii="Times New Roman" w:hAnsi="Times New Roman"/>
                <w:color w:val="000000"/>
                <w:kern w:val="0"/>
                <w:sz w:val="22"/>
                <w:szCs w:val="22"/>
                <w:lang w:bidi="ar"/>
              </w:rPr>
              <w:t>危险化学品品种</w:t>
            </w:r>
          </w:p>
        </w:tc>
        <w:tc>
          <w:tcPr>
            <w:tcW w:w="1665"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56032096">
            <w:pPr>
              <w:shd w:val="clear" w:color="auto" w:fill="FFFFFF"/>
              <w:spacing w:line="560" w:lineRule="exact"/>
              <w:ind w:firstLine="220" w:firstLineChars="100"/>
              <w:rPr>
                <w:rFonts w:ascii="Times New Roman" w:hAnsi="Times New Roman"/>
                <w:sz w:val="18"/>
                <w:szCs w:val="18"/>
                <w:shd w:val="clear" w:color="auto" w:fill="FFFFFF"/>
              </w:rPr>
            </w:pPr>
            <w:r>
              <w:rPr>
                <w:rFonts w:ascii="Times New Roman" w:hAnsi="Times New Roman"/>
                <w:color w:val="000000"/>
                <w:kern w:val="0"/>
                <w:sz w:val="22"/>
                <w:szCs w:val="22"/>
                <w:lang w:bidi="ar"/>
              </w:rPr>
              <w:t>联系人姓名</w:t>
            </w:r>
          </w:p>
        </w:tc>
        <w:tc>
          <w:tcPr>
            <w:tcW w:w="3150"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2F36B710">
            <w:pPr>
              <w:shd w:val="clear" w:color="auto" w:fill="FFFFFF"/>
              <w:spacing w:line="560" w:lineRule="exact"/>
              <w:ind w:firstLine="440" w:firstLineChars="200"/>
              <w:jc w:val="center"/>
              <w:rPr>
                <w:rFonts w:ascii="Times New Roman" w:hAnsi="Times New Roman"/>
                <w:sz w:val="18"/>
                <w:szCs w:val="18"/>
                <w:shd w:val="clear" w:color="auto" w:fill="FFFFFF"/>
              </w:rPr>
            </w:pPr>
            <w:r>
              <w:rPr>
                <w:rFonts w:ascii="Times New Roman" w:hAnsi="Times New Roman"/>
                <w:color w:val="000000"/>
                <w:kern w:val="0"/>
                <w:sz w:val="22"/>
                <w:szCs w:val="22"/>
                <w:lang w:bidi="ar"/>
              </w:rPr>
              <w:t>联系电话</w:t>
            </w:r>
          </w:p>
        </w:tc>
        <w:tc>
          <w:tcPr>
            <w:tcW w:w="1485"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16F744BE">
            <w:pPr>
              <w:shd w:val="clear" w:color="auto" w:fill="FFFFFF"/>
              <w:spacing w:line="560" w:lineRule="exact"/>
              <w:jc w:val="center"/>
              <w:rPr>
                <w:rFonts w:ascii="Times New Roman" w:hAnsi="Times New Roman"/>
                <w:sz w:val="18"/>
                <w:szCs w:val="18"/>
                <w:shd w:val="clear" w:color="auto" w:fill="FFFFFF"/>
              </w:rPr>
            </w:pPr>
            <w:r>
              <w:rPr>
                <w:rFonts w:ascii="Times New Roman" w:hAnsi="Times New Roman"/>
                <w:sz w:val="18"/>
                <w:szCs w:val="18"/>
                <w:shd w:val="clear" w:color="auto" w:fill="FFFFFF"/>
              </w:rPr>
              <w:t>汽油罐个数</w:t>
            </w:r>
          </w:p>
          <w:p w14:paraId="4BAE7A7F">
            <w:pPr>
              <w:shd w:val="clear" w:color="auto" w:fill="FFFFFF"/>
              <w:spacing w:line="560" w:lineRule="exact"/>
              <w:jc w:val="center"/>
              <w:rPr>
                <w:rFonts w:ascii="Times New Roman" w:hAnsi="Times New Roman"/>
                <w:sz w:val="18"/>
                <w:szCs w:val="18"/>
                <w:shd w:val="clear" w:color="auto" w:fill="FFFFFF"/>
              </w:rPr>
            </w:pPr>
            <w:r>
              <w:rPr>
                <w:rFonts w:ascii="Times New Roman" w:hAnsi="Times New Roman"/>
                <w:sz w:val="18"/>
                <w:szCs w:val="18"/>
                <w:shd w:val="clear" w:color="auto" w:fill="FFFFFF"/>
              </w:rPr>
              <w:t>及总容积</w:t>
            </w:r>
          </w:p>
        </w:tc>
        <w:tc>
          <w:tcPr>
            <w:tcW w:w="1230"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53C2F219">
            <w:pPr>
              <w:shd w:val="clear" w:color="auto" w:fill="FFFFFF"/>
              <w:spacing w:line="560" w:lineRule="exact"/>
              <w:jc w:val="center"/>
              <w:rPr>
                <w:rFonts w:ascii="Times New Roman" w:hAnsi="Times New Roman"/>
                <w:sz w:val="18"/>
                <w:szCs w:val="18"/>
                <w:shd w:val="clear" w:color="auto" w:fill="FFFFFF"/>
              </w:rPr>
            </w:pPr>
            <w:r>
              <w:rPr>
                <w:rFonts w:ascii="Times New Roman" w:hAnsi="Times New Roman"/>
                <w:sz w:val="18"/>
                <w:szCs w:val="18"/>
                <w:shd w:val="clear" w:color="auto" w:fill="FFFFFF"/>
              </w:rPr>
              <w:t>柴油罐个数</w:t>
            </w:r>
          </w:p>
          <w:p w14:paraId="129C0001">
            <w:pPr>
              <w:shd w:val="clear" w:color="auto" w:fill="FFFFFF"/>
              <w:spacing w:line="560" w:lineRule="exact"/>
              <w:jc w:val="center"/>
              <w:rPr>
                <w:rFonts w:ascii="Times New Roman" w:hAnsi="Times New Roman"/>
                <w:sz w:val="18"/>
                <w:szCs w:val="18"/>
                <w:shd w:val="clear" w:color="auto" w:fill="FFFFFF"/>
              </w:rPr>
            </w:pPr>
            <w:r>
              <w:rPr>
                <w:rFonts w:ascii="Times New Roman" w:hAnsi="Times New Roman"/>
                <w:sz w:val="18"/>
                <w:szCs w:val="18"/>
                <w:shd w:val="clear" w:color="auto" w:fill="FFFFFF"/>
              </w:rPr>
              <w:t>及总容积</w:t>
            </w:r>
          </w:p>
        </w:tc>
      </w:tr>
      <w:tr w14:paraId="52722571">
        <w:tblPrEx>
          <w:tblCellMar>
            <w:top w:w="0" w:type="dxa"/>
            <w:left w:w="0" w:type="dxa"/>
            <w:bottom w:w="0" w:type="dxa"/>
            <w:right w:w="0" w:type="dxa"/>
          </w:tblCellMar>
        </w:tblPrEx>
        <w:trPr>
          <w:gridAfter w:val="1"/>
          <w:wAfter w:w="140" w:type="dxa"/>
          <w:trHeight w:val="1720" w:hRule="atLeast"/>
        </w:trPr>
        <w:tc>
          <w:tcPr>
            <w:tcW w:w="4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BFFE6AF">
            <w:pPr>
              <w:shd w:val="clear" w:color="auto" w:fill="FFFFFF"/>
              <w:spacing w:line="560" w:lineRule="exact"/>
              <w:jc w:val="center"/>
              <w:rPr>
                <w:rFonts w:ascii="Times New Roman" w:hAnsi="Times New Roman"/>
                <w:sz w:val="18"/>
                <w:szCs w:val="18"/>
                <w:shd w:val="clear" w:color="auto" w:fill="FFFFFF"/>
              </w:rPr>
            </w:pPr>
            <w:r>
              <w:rPr>
                <w:rFonts w:ascii="Times New Roman" w:hAnsi="Times New Roman"/>
                <w:sz w:val="18"/>
                <w:szCs w:val="18"/>
                <w:shd w:val="clear" w:color="auto" w:fill="FFFFFF"/>
              </w:rPr>
              <w:t>1</w:t>
            </w:r>
          </w:p>
        </w:tc>
        <w:tc>
          <w:tcPr>
            <w:tcW w:w="1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A7AC36">
            <w:pPr>
              <w:shd w:val="clear" w:color="auto" w:fill="FFFFFF"/>
              <w:spacing w:line="560" w:lineRule="exact"/>
              <w:rPr>
                <w:rFonts w:ascii="Times New Roman" w:hAnsi="Times New Roman"/>
                <w:sz w:val="18"/>
                <w:szCs w:val="18"/>
                <w:shd w:val="clear" w:color="auto" w:fill="FFFFFF"/>
              </w:rPr>
            </w:pPr>
            <w:r>
              <w:rPr>
                <w:rFonts w:ascii="Times New Roman" w:hAnsi="Times New Roman"/>
                <w:sz w:val="18"/>
                <w:szCs w:val="18"/>
                <w:shd w:val="clear" w:color="auto" w:fill="FFFFFF"/>
              </w:rPr>
              <w:t>中石化云南昆明石油分公司（昆东油库）</w:t>
            </w:r>
          </w:p>
        </w:tc>
        <w:tc>
          <w:tcPr>
            <w:tcW w:w="21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74351F">
            <w:pPr>
              <w:shd w:val="clear" w:color="auto" w:fill="FFFFFF"/>
              <w:spacing w:line="560" w:lineRule="exact"/>
              <w:rPr>
                <w:rFonts w:ascii="Times New Roman" w:hAnsi="Times New Roman"/>
                <w:sz w:val="18"/>
                <w:szCs w:val="18"/>
                <w:shd w:val="clear" w:color="auto" w:fill="FFFFFF"/>
              </w:rPr>
            </w:pPr>
            <w:r>
              <w:rPr>
                <w:rFonts w:ascii="Times New Roman" w:hAnsi="Times New Roman"/>
                <w:sz w:val="18"/>
                <w:szCs w:val="18"/>
                <w:shd w:val="clear" w:color="auto" w:fill="FFFFFF"/>
              </w:rPr>
              <w:t>昆明市官渡区金马街道大桥村</w:t>
            </w:r>
          </w:p>
        </w:tc>
        <w:tc>
          <w:tcPr>
            <w:tcW w:w="2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B68894">
            <w:pPr>
              <w:shd w:val="clear" w:color="auto" w:fill="FFFFFF"/>
              <w:spacing w:line="560" w:lineRule="exact"/>
              <w:ind w:firstLine="360" w:firstLineChars="200"/>
              <w:jc w:val="center"/>
              <w:rPr>
                <w:rFonts w:ascii="Times New Roman" w:hAnsi="Times New Roman"/>
                <w:sz w:val="18"/>
                <w:szCs w:val="18"/>
                <w:shd w:val="clear" w:color="auto" w:fill="FFFFFF"/>
              </w:rPr>
            </w:pPr>
            <w:r>
              <w:rPr>
                <w:rFonts w:ascii="Times New Roman" w:hAnsi="Times New Roman"/>
                <w:sz w:val="18"/>
                <w:szCs w:val="18"/>
                <w:shd w:val="clear" w:color="auto" w:fill="FFFFFF"/>
              </w:rPr>
              <w:t>油     料</w:t>
            </w:r>
          </w:p>
        </w:tc>
        <w:tc>
          <w:tcPr>
            <w:tcW w:w="16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153BFD">
            <w:pPr>
              <w:shd w:val="clear" w:color="auto" w:fill="FFFFFF"/>
              <w:spacing w:line="560" w:lineRule="exact"/>
              <w:ind w:firstLine="440" w:firstLineChars="200"/>
              <w:rPr>
                <w:rFonts w:ascii="Times New Roman" w:hAnsi="Times New Roman"/>
                <w:sz w:val="18"/>
                <w:szCs w:val="18"/>
                <w:shd w:val="clear" w:color="auto" w:fill="FFFFFF"/>
              </w:rPr>
            </w:pPr>
            <w:r>
              <w:rPr>
                <w:rFonts w:ascii="Times New Roman" w:hAnsi="Times New Roman"/>
                <w:color w:val="000000"/>
                <w:kern w:val="0"/>
                <w:sz w:val="22"/>
                <w:szCs w:val="22"/>
                <w:lang w:bidi="ar"/>
              </w:rPr>
              <w:t>王贵林</w:t>
            </w:r>
          </w:p>
        </w:tc>
        <w:tc>
          <w:tcPr>
            <w:tcW w:w="31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6FEB3E">
            <w:pPr>
              <w:shd w:val="clear" w:color="auto" w:fill="FFFFFF"/>
              <w:spacing w:line="560" w:lineRule="exact"/>
              <w:rPr>
                <w:rFonts w:ascii="Times New Roman" w:hAnsi="Times New Roman"/>
                <w:color w:val="000000"/>
                <w:kern w:val="0"/>
                <w:sz w:val="22"/>
                <w:szCs w:val="22"/>
                <w:lang w:bidi="ar"/>
              </w:rPr>
            </w:pPr>
            <w:r>
              <w:rPr>
                <w:rFonts w:ascii="Times New Roman" w:hAnsi="Times New Roman"/>
                <w:color w:val="000000"/>
                <w:kern w:val="0"/>
                <w:sz w:val="22"/>
                <w:szCs w:val="22"/>
                <w:lang w:bidi="ar"/>
              </w:rPr>
              <w:t xml:space="preserve">13759101920   </w:t>
            </w:r>
          </w:p>
          <w:p w14:paraId="611EB1D5">
            <w:pPr>
              <w:shd w:val="clear" w:color="auto" w:fill="FFFFFF"/>
              <w:spacing w:line="560" w:lineRule="exact"/>
              <w:rPr>
                <w:rFonts w:ascii="Times New Roman" w:hAnsi="Times New Roman"/>
                <w:color w:val="000000"/>
                <w:kern w:val="0"/>
                <w:sz w:val="22"/>
                <w:szCs w:val="22"/>
                <w:lang w:bidi="ar"/>
              </w:rPr>
            </w:pPr>
            <w:r>
              <w:rPr>
                <w:rFonts w:ascii="Times New Roman" w:hAnsi="Times New Roman"/>
                <w:color w:val="000000"/>
                <w:kern w:val="0"/>
                <w:sz w:val="22"/>
                <w:szCs w:val="22"/>
                <w:lang w:bidi="ar"/>
              </w:rPr>
              <w:t xml:space="preserve">63911034      63911009（传真）  </w:t>
            </w:r>
          </w:p>
          <w:p w14:paraId="26436E85">
            <w:pPr>
              <w:shd w:val="clear" w:color="auto" w:fill="FFFFFF"/>
              <w:spacing w:line="560" w:lineRule="exact"/>
              <w:rPr>
                <w:rFonts w:ascii="Times New Roman" w:hAnsi="Times New Roman"/>
                <w:sz w:val="18"/>
                <w:szCs w:val="18"/>
                <w:shd w:val="clear" w:color="auto" w:fill="FFFFFF"/>
              </w:rPr>
            </w:pPr>
            <w:r>
              <w:rPr>
                <w:rFonts w:ascii="Times New Roman" w:hAnsi="Times New Roman"/>
                <w:color w:val="000000"/>
                <w:kern w:val="0"/>
                <w:sz w:val="22"/>
                <w:szCs w:val="22"/>
                <w:lang w:bidi="ar"/>
              </w:rPr>
              <w:t>14983091（QQ邮箱）</w:t>
            </w:r>
          </w:p>
        </w:tc>
        <w:tc>
          <w:tcPr>
            <w:tcW w:w="14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7DC639">
            <w:pPr>
              <w:shd w:val="clear" w:color="auto" w:fill="FFFFFF"/>
              <w:spacing w:line="560" w:lineRule="exact"/>
              <w:ind w:firstLine="360" w:firstLineChars="200"/>
              <w:rPr>
                <w:rFonts w:ascii="Times New Roman" w:hAnsi="Times New Roman"/>
                <w:sz w:val="18"/>
                <w:szCs w:val="18"/>
                <w:shd w:val="clear" w:color="auto" w:fill="FFFFFF"/>
              </w:rPr>
            </w:pPr>
            <w:r>
              <w:rPr>
                <w:rFonts w:ascii="Times New Roman" w:hAnsi="Times New Roman"/>
                <w:sz w:val="18"/>
                <w:szCs w:val="18"/>
                <w:shd w:val="clear" w:color="auto" w:fill="FFFFFF"/>
              </w:rPr>
              <w:t>2万4立方</w:t>
            </w:r>
          </w:p>
        </w:tc>
        <w:tc>
          <w:tcPr>
            <w:tcW w:w="12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3283CA">
            <w:pPr>
              <w:shd w:val="clear" w:color="auto" w:fill="FFFFFF"/>
              <w:spacing w:line="560" w:lineRule="exact"/>
              <w:ind w:firstLine="360" w:firstLineChars="200"/>
              <w:rPr>
                <w:rFonts w:ascii="Times New Roman" w:hAnsi="Times New Roman"/>
                <w:sz w:val="18"/>
                <w:szCs w:val="18"/>
                <w:shd w:val="clear" w:color="auto" w:fill="FFFFFF"/>
              </w:rPr>
            </w:pPr>
            <w:r>
              <w:rPr>
                <w:rFonts w:ascii="Times New Roman" w:hAnsi="Times New Roman"/>
                <w:sz w:val="18"/>
                <w:szCs w:val="18"/>
                <w:shd w:val="clear" w:color="auto" w:fill="FFFFFF"/>
              </w:rPr>
              <w:t>3万立方</w:t>
            </w:r>
          </w:p>
        </w:tc>
      </w:tr>
      <w:tr w14:paraId="25217744">
        <w:tblPrEx>
          <w:tblCellMar>
            <w:top w:w="0" w:type="dxa"/>
            <w:left w:w="0" w:type="dxa"/>
            <w:bottom w:w="0" w:type="dxa"/>
            <w:right w:w="0" w:type="dxa"/>
          </w:tblCellMar>
        </w:tblPrEx>
        <w:trPr>
          <w:gridAfter w:val="1"/>
          <w:wAfter w:w="140" w:type="dxa"/>
          <w:trHeight w:val="1860" w:hRule="atLeast"/>
        </w:trPr>
        <w:tc>
          <w:tcPr>
            <w:tcW w:w="4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E07094F">
            <w:pPr>
              <w:shd w:val="clear" w:color="auto" w:fill="FFFFFF"/>
              <w:spacing w:line="560" w:lineRule="exact"/>
              <w:jc w:val="center"/>
              <w:rPr>
                <w:rFonts w:ascii="Times New Roman" w:hAnsi="Times New Roman"/>
                <w:sz w:val="18"/>
                <w:szCs w:val="18"/>
                <w:shd w:val="clear" w:color="auto" w:fill="FFFFFF"/>
              </w:rPr>
            </w:pPr>
            <w:r>
              <w:rPr>
                <w:rFonts w:ascii="Times New Roman" w:hAnsi="Times New Roman"/>
                <w:sz w:val="18"/>
                <w:szCs w:val="18"/>
                <w:shd w:val="clear" w:color="auto" w:fill="FFFFFF"/>
              </w:rPr>
              <w:t>2</w:t>
            </w:r>
          </w:p>
        </w:tc>
        <w:tc>
          <w:tcPr>
            <w:tcW w:w="1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2C11FA">
            <w:pPr>
              <w:shd w:val="clear" w:color="auto" w:fill="FFFFFF"/>
              <w:spacing w:line="560" w:lineRule="exact"/>
              <w:rPr>
                <w:rFonts w:ascii="Times New Roman" w:hAnsi="Times New Roman"/>
                <w:sz w:val="18"/>
                <w:szCs w:val="18"/>
                <w:shd w:val="clear" w:color="auto" w:fill="FFFFFF"/>
              </w:rPr>
            </w:pPr>
            <w:r>
              <w:rPr>
                <w:rFonts w:ascii="Times New Roman" w:hAnsi="Times New Roman"/>
                <w:sz w:val="18"/>
                <w:szCs w:val="18"/>
                <w:shd w:val="clear" w:color="auto" w:fill="FFFFFF"/>
              </w:rPr>
              <w:t>中航油云南有限公司（羊方凹油库）</w:t>
            </w:r>
          </w:p>
        </w:tc>
        <w:tc>
          <w:tcPr>
            <w:tcW w:w="21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F68D05">
            <w:pPr>
              <w:shd w:val="clear" w:color="auto" w:fill="FFFFFF"/>
              <w:spacing w:line="560" w:lineRule="exact"/>
              <w:rPr>
                <w:rFonts w:ascii="Times New Roman" w:hAnsi="Times New Roman"/>
                <w:sz w:val="18"/>
                <w:szCs w:val="18"/>
                <w:shd w:val="clear" w:color="auto" w:fill="FFFFFF"/>
              </w:rPr>
            </w:pPr>
            <w:r>
              <w:rPr>
                <w:rFonts w:ascii="Times New Roman" w:hAnsi="Times New Roman"/>
                <w:sz w:val="18"/>
                <w:szCs w:val="18"/>
                <w:shd w:val="clear" w:color="auto" w:fill="FFFFFF"/>
              </w:rPr>
              <w:t>昆明市官渡区金马街道小羊方旺村</w:t>
            </w:r>
          </w:p>
        </w:tc>
        <w:tc>
          <w:tcPr>
            <w:tcW w:w="2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2A916C">
            <w:pPr>
              <w:shd w:val="clear" w:color="auto" w:fill="FFFFFF"/>
              <w:spacing w:line="560" w:lineRule="exact"/>
              <w:ind w:firstLine="1080" w:firstLineChars="600"/>
              <w:rPr>
                <w:rFonts w:ascii="Times New Roman" w:hAnsi="Times New Roman"/>
                <w:sz w:val="18"/>
                <w:szCs w:val="18"/>
                <w:shd w:val="clear" w:color="auto" w:fill="FFFFFF"/>
              </w:rPr>
            </w:pPr>
            <w:r>
              <w:rPr>
                <w:rFonts w:ascii="Times New Roman" w:hAnsi="Times New Roman"/>
                <w:sz w:val="18"/>
                <w:szCs w:val="18"/>
                <w:shd w:val="clear" w:color="auto" w:fill="FFFFFF"/>
              </w:rPr>
              <w:t>油     料</w:t>
            </w:r>
          </w:p>
        </w:tc>
        <w:tc>
          <w:tcPr>
            <w:tcW w:w="16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106B72">
            <w:pPr>
              <w:shd w:val="clear" w:color="auto" w:fill="FFFFFF"/>
              <w:spacing w:line="560" w:lineRule="exact"/>
              <w:ind w:firstLine="440"/>
              <w:rPr>
                <w:rFonts w:ascii="Times New Roman" w:hAnsi="Times New Roman"/>
                <w:color w:val="000000"/>
                <w:kern w:val="0"/>
                <w:sz w:val="22"/>
                <w:szCs w:val="22"/>
                <w:lang w:bidi="ar"/>
              </w:rPr>
            </w:pPr>
            <w:r>
              <w:rPr>
                <w:rFonts w:ascii="Times New Roman" w:hAnsi="Times New Roman"/>
                <w:color w:val="000000"/>
                <w:kern w:val="0"/>
                <w:sz w:val="22"/>
                <w:szCs w:val="22"/>
                <w:lang w:bidi="ar"/>
              </w:rPr>
              <w:t>张  力</w:t>
            </w:r>
          </w:p>
          <w:p w14:paraId="2641DEF4">
            <w:pPr>
              <w:shd w:val="clear" w:color="auto" w:fill="FFFFFF"/>
              <w:spacing w:line="560" w:lineRule="exact"/>
              <w:ind w:firstLine="440"/>
              <w:rPr>
                <w:rFonts w:ascii="Times New Roman" w:hAnsi="Times New Roman"/>
                <w:color w:val="000000"/>
                <w:kern w:val="0"/>
                <w:sz w:val="22"/>
                <w:szCs w:val="22"/>
                <w:lang w:bidi="ar"/>
              </w:rPr>
            </w:pPr>
            <w:r>
              <w:rPr>
                <w:rFonts w:ascii="Times New Roman" w:hAnsi="Times New Roman"/>
                <w:color w:val="000000"/>
                <w:kern w:val="0"/>
                <w:sz w:val="22"/>
                <w:szCs w:val="22"/>
                <w:lang w:bidi="ar"/>
              </w:rPr>
              <w:t>赵  刚</w:t>
            </w:r>
          </w:p>
        </w:tc>
        <w:tc>
          <w:tcPr>
            <w:tcW w:w="31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4B4C34">
            <w:pPr>
              <w:shd w:val="clear" w:color="auto" w:fill="FFFFFF"/>
              <w:spacing w:line="560" w:lineRule="exact"/>
              <w:rPr>
                <w:rFonts w:ascii="Times New Roman" w:hAnsi="Times New Roman"/>
                <w:sz w:val="18"/>
                <w:szCs w:val="18"/>
                <w:shd w:val="clear" w:color="auto" w:fill="FFFFFF"/>
              </w:rPr>
            </w:pPr>
            <w:r>
              <w:rPr>
                <w:rFonts w:ascii="Times New Roman" w:hAnsi="Times New Roman"/>
                <w:color w:val="000000"/>
                <w:kern w:val="0"/>
                <w:sz w:val="22"/>
                <w:szCs w:val="22"/>
                <w:lang w:bidi="ar"/>
              </w:rPr>
              <w:t>13888107209   67152586（传真）  13888418006</w:t>
            </w:r>
          </w:p>
        </w:tc>
        <w:tc>
          <w:tcPr>
            <w:tcW w:w="14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494DF6">
            <w:pPr>
              <w:shd w:val="clear" w:color="auto" w:fill="FFFFFF"/>
              <w:spacing w:line="560" w:lineRule="exact"/>
              <w:ind w:firstLine="360" w:firstLineChars="200"/>
              <w:rPr>
                <w:rFonts w:ascii="Times New Roman" w:hAnsi="Times New Roman"/>
                <w:sz w:val="18"/>
                <w:szCs w:val="18"/>
                <w:shd w:val="clear" w:color="auto" w:fill="FFFFFF"/>
              </w:rPr>
            </w:pPr>
            <w:r>
              <w:rPr>
                <w:rFonts w:ascii="Times New Roman" w:hAnsi="Times New Roman"/>
                <w:sz w:val="18"/>
                <w:szCs w:val="18"/>
                <w:shd w:val="clear" w:color="auto" w:fill="FFFFFF"/>
              </w:rPr>
              <w:t>2万</w:t>
            </w:r>
          </w:p>
        </w:tc>
        <w:tc>
          <w:tcPr>
            <w:tcW w:w="12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62AA44">
            <w:pPr>
              <w:shd w:val="clear" w:color="auto" w:fill="FFFFFF"/>
              <w:spacing w:line="560" w:lineRule="exact"/>
              <w:ind w:firstLine="360" w:firstLineChars="200"/>
              <w:rPr>
                <w:rFonts w:ascii="Times New Roman" w:hAnsi="Times New Roman"/>
                <w:sz w:val="18"/>
                <w:szCs w:val="18"/>
                <w:shd w:val="clear" w:color="auto" w:fill="FFFFFF"/>
              </w:rPr>
            </w:pPr>
            <w:r>
              <w:rPr>
                <w:rFonts w:ascii="Times New Roman" w:hAnsi="Times New Roman"/>
                <w:sz w:val="18"/>
                <w:szCs w:val="18"/>
                <w:shd w:val="clear" w:color="auto" w:fill="FFFFFF"/>
              </w:rPr>
              <w:t>2万</w:t>
            </w:r>
          </w:p>
        </w:tc>
      </w:tr>
    </w:tbl>
    <w:p w14:paraId="0D1DF3C7">
      <w:pPr>
        <w:shd w:val="clear" w:color="auto" w:fill="FFFFFF"/>
        <w:spacing w:line="560" w:lineRule="exact"/>
        <w:rPr>
          <w:rFonts w:ascii="Times New Roman" w:hAnsi="Times New Roman" w:eastAsia="仿宋_GB2312"/>
          <w:sz w:val="32"/>
          <w:szCs w:val="32"/>
          <w:shd w:val="clear" w:color="auto" w:fill="FFFFFF"/>
        </w:rPr>
      </w:pPr>
    </w:p>
    <w:p w14:paraId="1C2AA6BF">
      <w:pPr>
        <w:shd w:val="clear" w:color="auto" w:fill="FFFFFF"/>
        <w:spacing w:line="560" w:lineRule="exact"/>
        <w:rPr>
          <w:rFonts w:ascii="Times New Roman" w:hAnsi="Times New Roman" w:eastAsia="仿宋_GB2312"/>
          <w:sz w:val="32"/>
          <w:szCs w:val="32"/>
          <w:shd w:val="clear" w:color="auto" w:fill="FFFFFF"/>
        </w:rPr>
      </w:pPr>
    </w:p>
    <w:p w14:paraId="2DDB9489">
      <w:pPr>
        <w:shd w:val="clear" w:color="auto" w:fill="FFFFFF"/>
        <w:spacing w:line="560" w:lineRule="exact"/>
        <w:rPr>
          <w:rFonts w:ascii="Times New Roman" w:hAnsi="Times New Roman" w:eastAsia="仿宋_GB2312"/>
          <w:sz w:val="32"/>
          <w:szCs w:val="32"/>
          <w:shd w:val="clear" w:color="auto" w:fill="FFFFFF"/>
        </w:rPr>
      </w:pPr>
    </w:p>
    <w:p w14:paraId="578AF020">
      <w:pPr>
        <w:shd w:val="clear" w:color="auto" w:fill="FFFFFF"/>
        <w:spacing w:line="560" w:lineRule="exact"/>
        <w:rPr>
          <w:rFonts w:ascii="Times New Roman" w:hAnsi="Times New Roman" w:eastAsia="仿宋_GB2312"/>
          <w:sz w:val="32"/>
          <w:szCs w:val="32"/>
          <w:shd w:val="clear" w:color="auto" w:fill="FFFFFF"/>
        </w:rPr>
      </w:pPr>
    </w:p>
    <w:p w14:paraId="545E33FD">
      <w:pPr>
        <w:shd w:val="clear" w:color="auto" w:fill="FFFFFF"/>
        <w:spacing w:line="560" w:lineRule="exact"/>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附件2：</w:t>
      </w:r>
    </w:p>
    <w:p w14:paraId="70537551">
      <w:pPr>
        <w:shd w:val="clear" w:color="auto" w:fill="FFFFFF"/>
        <w:spacing w:line="560" w:lineRule="exact"/>
        <w:jc w:val="center"/>
        <w:rPr>
          <w:rFonts w:ascii="Times New Roman" w:hAnsi="Times New Roman" w:eastAsia="仿宋_GB2312"/>
          <w:b/>
          <w:bCs/>
          <w:sz w:val="32"/>
          <w:szCs w:val="32"/>
          <w:shd w:val="clear" w:color="auto" w:fill="FFFFFF"/>
        </w:rPr>
      </w:pPr>
      <w:r>
        <w:rPr>
          <w:rFonts w:ascii="Times New Roman" w:hAnsi="Times New Roman" w:eastAsia="仿宋_GB2312"/>
          <w:b/>
          <w:bCs/>
          <w:sz w:val="36"/>
          <w:szCs w:val="36"/>
          <w:shd w:val="clear" w:color="auto" w:fill="FFFFFF"/>
        </w:rPr>
        <w:t>官渡区加油站汇总</w:t>
      </w:r>
    </w:p>
    <w:tbl>
      <w:tblPr>
        <w:tblStyle w:val="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9"/>
        <w:gridCol w:w="2430"/>
        <w:gridCol w:w="1633"/>
        <w:gridCol w:w="2717"/>
        <w:gridCol w:w="840"/>
        <w:gridCol w:w="2160"/>
        <w:gridCol w:w="1856"/>
        <w:gridCol w:w="1130"/>
        <w:gridCol w:w="1740"/>
      </w:tblGrid>
      <w:tr w14:paraId="35FD47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6" w:hRule="atLeast"/>
        </w:trPr>
        <w:tc>
          <w:tcPr>
            <w:tcW w:w="379" w:type="dxa"/>
            <w:noWrap w:val="0"/>
            <w:tcMar>
              <w:top w:w="15" w:type="dxa"/>
              <w:left w:w="15" w:type="dxa"/>
              <w:right w:w="15" w:type="dxa"/>
            </w:tcMar>
            <w:vAlign w:val="center"/>
          </w:tcPr>
          <w:p w14:paraId="2E8ABA84">
            <w:pPr>
              <w:widowControl/>
              <w:spacing w:line="560" w:lineRule="exact"/>
              <w:jc w:val="center"/>
              <w:textAlignment w:val="center"/>
              <w:rPr>
                <w:rFonts w:ascii="Times New Roman" w:hAnsi="Times New Roman" w:eastAsia="仿宋_GB2312"/>
                <w:b/>
                <w:color w:val="000000"/>
                <w:sz w:val="24"/>
              </w:rPr>
            </w:pPr>
            <w:r>
              <w:rPr>
                <w:rFonts w:ascii="Times New Roman" w:hAnsi="Times New Roman" w:eastAsia="仿宋_GB2312"/>
                <w:b/>
                <w:color w:val="000000"/>
                <w:kern w:val="0"/>
                <w:sz w:val="24"/>
                <w:lang w:bidi="ar"/>
              </w:rPr>
              <w:t>序号</w:t>
            </w:r>
          </w:p>
        </w:tc>
        <w:tc>
          <w:tcPr>
            <w:tcW w:w="2430" w:type="dxa"/>
            <w:noWrap w:val="0"/>
            <w:tcMar>
              <w:top w:w="15" w:type="dxa"/>
              <w:left w:w="15" w:type="dxa"/>
              <w:right w:w="15" w:type="dxa"/>
            </w:tcMar>
            <w:vAlign w:val="center"/>
          </w:tcPr>
          <w:p w14:paraId="17051E32">
            <w:pPr>
              <w:widowControl/>
              <w:spacing w:line="560" w:lineRule="exact"/>
              <w:jc w:val="center"/>
              <w:textAlignment w:val="center"/>
              <w:rPr>
                <w:rFonts w:ascii="Times New Roman" w:hAnsi="Times New Roman" w:eastAsia="仿宋_GB2312"/>
                <w:b/>
                <w:color w:val="000000"/>
                <w:sz w:val="24"/>
              </w:rPr>
            </w:pPr>
            <w:r>
              <w:rPr>
                <w:rFonts w:ascii="Times New Roman" w:hAnsi="Times New Roman" w:eastAsia="仿宋_GB2312"/>
                <w:b/>
                <w:color w:val="000000"/>
                <w:kern w:val="0"/>
                <w:sz w:val="24"/>
                <w:lang w:bidi="ar"/>
              </w:rPr>
              <w:t>加油站名称</w:t>
            </w:r>
          </w:p>
        </w:tc>
        <w:tc>
          <w:tcPr>
            <w:tcW w:w="1633" w:type="dxa"/>
            <w:noWrap w:val="0"/>
            <w:tcMar>
              <w:top w:w="15" w:type="dxa"/>
              <w:left w:w="15" w:type="dxa"/>
              <w:right w:w="15" w:type="dxa"/>
            </w:tcMar>
            <w:vAlign w:val="center"/>
          </w:tcPr>
          <w:p w14:paraId="55B2B012">
            <w:pPr>
              <w:widowControl/>
              <w:spacing w:line="560" w:lineRule="exact"/>
              <w:jc w:val="center"/>
              <w:textAlignment w:val="center"/>
              <w:rPr>
                <w:rFonts w:ascii="Times New Roman" w:hAnsi="Times New Roman" w:eastAsia="仿宋_GB2312"/>
                <w:b/>
                <w:color w:val="000000"/>
                <w:sz w:val="24"/>
              </w:rPr>
            </w:pPr>
            <w:r>
              <w:rPr>
                <w:rFonts w:ascii="Times New Roman" w:hAnsi="Times New Roman" w:eastAsia="仿宋_GB2312"/>
                <w:b/>
                <w:color w:val="000000"/>
                <w:kern w:val="0"/>
                <w:sz w:val="24"/>
                <w:lang w:bidi="ar"/>
              </w:rPr>
              <w:t>地址</w:t>
            </w:r>
          </w:p>
        </w:tc>
        <w:tc>
          <w:tcPr>
            <w:tcW w:w="2717" w:type="dxa"/>
            <w:noWrap w:val="0"/>
            <w:tcMar>
              <w:top w:w="15" w:type="dxa"/>
              <w:left w:w="15" w:type="dxa"/>
              <w:right w:w="15" w:type="dxa"/>
            </w:tcMar>
            <w:vAlign w:val="center"/>
          </w:tcPr>
          <w:p w14:paraId="77474F54">
            <w:pPr>
              <w:widowControl/>
              <w:spacing w:line="560" w:lineRule="exact"/>
              <w:jc w:val="center"/>
              <w:textAlignment w:val="center"/>
              <w:rPr>
                <w:rFonts w:ascii="Times New Roman" w:hAnsi="Times New Roman" w:eastAsia="仿宋_GB2312"/>
                <w:b/>
                <w:color w:val="000000"/>
                <w:sz w:val="24"/>
              </w:rPr>
            </w:pPr>
            <w:r>
              <w:rPr>
                <w:rFonts w:ascii="Times New Roman" w:hAnsi="Times New Roman" w:eastAsia="仿宋_GB2312"/>
                <w:b/>
                <w:color w:val="000000"/>
                <w:kern w:val="0"/>
                <w:sz w:val="24"/>
                <w:lang w:bidi="ar"/>
              </w:rPr>
              <w:t>经营许可证号</w:t>
            </w:r>
          </w:p>
        </w:tc>
        <w:tc>
          <w:tcPr>
            <w:tcW w:w="840" w:type="dxa"/>
            <w:noWrap w:val="0"/>
            <w:tcMar>
              <w:top w:w="15" w:type="dxa"/>
              <w:left w:w="15" w:type="dxa"/>
              <w:right w:w="15" w:type="dxa"/>
            </w:tcMar>
            <w:vAlign w:val="center"/>
          </w:tcPr>
          <w:p w14:paraId="3C568852">
            <w:pPr>
              <w:widowControl/>
              <w:spacing w:line="560" w:lineRule="exact"/>
              <w:jc w:val="center"/>
              <w:textAlignment w:val="center"/>
              <w:rPr>
                <w:rFonts w:ascii="Times New Roman" w:hAnsi="Times New Roman" w:eastAsia="仿宋_GB2312"/>
                <w:b/>
                <w:color w:val="000000"/>
                <w:sz w:val="24"/>
              </w:rPr>
            </w:pPr>
            <w:r>
              <w:rPr>
                <w:rFonts w:ascii="Times New Roman" w:hAnsi="Times New Roman" w:eastAsia="仿宋_GB2312"/>
                <w:b/>
                <w:color w:val="000000"/>
                <w:kern w:val="0"/>
                <w:sz w:val="24"/>
                <w:lang w:bidi="ar"/>
              </w:rPr>
              <w:t>加油站  等级</w:t>
            </w:r>
          </w:p>
        </w:tc>
        <w:tc>
          <w:tcPr>
            <w:tcW w:w="2160" w:type="dxa"/>
            <w:noWrap w:val="0"/>
            <w:tcMar>
              <w:top w:w="15" w:type="dxa"/>
              <w:left w:w="15" w:type="dxa"/>
              <w:right w:w="15" w:type="dxa"/>
            </w:tcMar>
            <w:vAlign w:val="center"/>
          </w:tcPr>
          <w:p w14:paraId="3347545B">
            <w:pPr>
              <w:widowControl/>
              <w:spacing w:line="560" w:lineRule="exact"/>
              <w:jc w:val="center"/>
              <w:textAlignment w:val="center"/>
              <w:rPr>
                <w:rFonts w:ascii="Times New Roman" w:hAnsi="Times New Roman" w:eastAsia="仿宋_GB2312"/>
                <w:b/>
                <w:color w:val="000000"/>
                <w:sz w:val="24"/>
              </w:rPr>
            </w:pPr>
            <w:r>
              <w:rPr>
                <w:rFonts w:ascii="Times New Roman" w:hAnsi="Times New Roman" w:eastAsia="仿宋_GB2312"/>
                <w:b/>
                <w:color w:val="000000"/>
                <w:kern w:val="0"/>
                <w:sz w:val="24"/>
                <w:lang w:bidi="ar"/>
              </w:rPr>
              <w:t>汽油罐个数及总容积</w:t>
            </w:r>
          </w:p>
        </w:tc>
        <w:tc>
          <w:tcPr>
            <w:tcW w:w="1856" w:type="dxa"/>
            <w:noWrap w:val="0"/>
            <w:tcMar>
              <w:top w:w="15" w:type="dxa"/>
              <w:left w:w="15" w:type="dxa"/>
              <w:right w:w="15" w:type="dxa"/>
            </w:tcMar>
            <w:vAlign w:val="center"/>
          </w:tcPr>
          <w:p w14:paraId="28088110">
            <w:pPr>
              <w:widowControl/>
              <w:spacing w:line="560" w:lineRule="exact"/>
              <w:jc w:val="center"/>
              <w:textAlignment w:val="center"/>
              <w:rPr>
                <w:rFonts w:ascii="Times New Roman" w:hAnsi="Times New Roman" w:eastAsia="仿宋_GB2312"/>
                <w:b/>
                <w:color w:val="000000"/>
                <w:sz w:val="24"/>
              </w:rPr>
            </w:pPr>
            <w:r>
              <w:rPr>
                <w:rFonts w:ascii="Times New Roman" w:hAnsi="Times New Roman" w:eastAsia="仿宋_GB2312"/>
                <w:b/>
                <w:color w:val="000000"/>
                <w:kern w:val="0"/>
                <w:sz w:val="24"/>
                <w:lang w:bidi="ar"/>
              </w:rPr>
              <w:t>柴油罐个数及总容积</w:t>
            </w:r>
          </w:p>
        </w:tc>
        <w:tc>
          <w:tcPr>
            <w:tcW w:w="1130" w:type="dxa"/>
            <w:noWrap w:val="0"/>
            <w:tcMar>
              <w:top w:w="15" w:type="dxa"/>
              <w:left w:w="15" w:type="dxa"/>
              <w:right w:w="15" w:type="dxa"/>
            </w:tcMar>
            <w:vAlign w:val="center"/>
          </w:tcPr>
          <w:p w14:paraId="3B332036">
            <w:pPr>
              <w:widowControl/>
              <w:spacing w:line="560" w:lineRule="exact"/>
              <w:jc w:val="center"/>
              <w:textAlignment w:val="center"/>
              <w:rPr>
                <w:rFonts w:ascii="Times New Roman" w:hAnsi="Times New Roman"/>
                <w:b/>
                <w:color w:val="000000"/>
                <w:sz w:val="22"/>
                <w:szCs w:val="22"/>
              </w:rPr>
            </w:pPr>
            <w:r>
              <w:rPr>
                <w:rFonts w:ascii="Times New Roman" w:hAnsi="Times New Roman"/>
                <w:b/>
                <w:color w:val="000000"/>
                <w:kern w:val="0"/>
                <w:sz w:val="22"/>
                <w:szCs w:val="22"/>
                <w:lang w:bidi="ar"/>
              </w:rPr>
              <w:t>法人</w:t>
            </w:r>
          </w:p>
        </w:tc>
        <w:tc>
          <w:tcPr>
            <w:tcW w:w="1740" w:type="dxa"/>
            <w:noWrap w:val="0"/>
            <w:tcMar>
              <w:top w:w="15" w:type="dxa"/>
              <w:left w:w="15" w:type="dxa"/>
              <w:right w:w="15" w:type="dxa"/>
            </w:tcMar>
            <w:vAlign w:val="center"/>
          </w:tcPr>
          <w:p w14:paraId="6D7AE31C">
            <w:pPr>
              <w:widowControl/>
              <w:spacing w:line="560" w:lineRule="exact"/>
              <w:jc w:val="center"/>
              <w:textAlignment w:val="center"/>
              <w:rPr>
                <w:rFonts w:ascii="Times New Roman" w:hAnsi="Times New Roman"/>
                <w:b/>
                <w:color w:val="000000"/>
                <w:sz w:val="22"/>
                <w:szCs w:val="22"/>
              </w:rPr>
            </w:pPr>
            <w:r>
              <w:rPr>
                <w:rFonts w:ascii="Times New Roman" w:hAnsi="Times New Roman"/>
                <w:b/>
                <w:color w:val="000000"/>
                <w:kern w:val="0"/>
                <w:sz w:val="22"/>
                <w:szCs w:val="22"/>
                <w:lang w:bidi="ar"/>
              </w:rPr>
              <w:t>负责人及联系电话</w:t>
            </w:r>
          </w:p>
        </w:tc>
      </w:tr>
      <w:tr w14:paraId="2D4BE7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9" w:hRule="atLeast"/>
        </w:trPr>
        <w:tc>
          <w:tcPr>
            <w:tcW w:w="379" w:type="dxa"/>
            <w:noWrap/>
            <w:tcMar>
              <w:top w:w="15" w:type="dxa"/>
              <w:left w:w="15" w:type="dxa"/>
              <w:right w:w="15" w:type="dxa"/>
            </w:tcMar>
            <w:vAlign w:val="center"/>
          </w:tcPr>
          <w:p w14:paraId="1B4008B3">
            <w:pPr>
              <w:widowControl/>
              <w:spacing w:line="560" w:lineRule="exact"/>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lang w:bidi="ar"/>
              </w:rPr>
              <w:t>1</w:t>
            </w:r>
          </w:p>
        </w:tc>
        <w:tc>
          <w:tcPr>
            <w:tcW w:w="2430" w:type="dxa"/>
            <w:noWrap w:val="0"/>
            <w:tcMar>
              <w:top w:w="15" w:type="dxa"/>
              <w:left w:w="15" w:type="dxa"/>
              <w:right w:w="15" w:type="dxa"/>
            </w:tcMar>
            <w:vAlign w:val="center"/>
          </w:tcPr>
          <w:p w14:paraId="574F1D7D">
            <w:pPr>
              <w:widowControl/>
              <w:spacing w:line="560" w:lineRule="exact"/>
              <w:jc w:val="center"/>
              <w:textAlignment w:val="center"/>
              <w:rPr>
                <w:rFonts w:ascii="Times New Roman" w:hAnsi="Times New Roman" w:eastAsia="仿宋_GB2312"/>
                <w:color w:val="000000"/>
                <w:sz w:val="20"/>
                <w:szCs w:val="20"/>
              </w:rPr>
            </w:pPr>
            <w:r>
              <w:rPr>
                <w:rStyle w:val="13"/>
                <w:rFonts w:ascii="Times New Roman" w:hAnsi="Times New Roman" w:cs="Times New Roman"/>
                <w:lang w:bidi="ar"/>
              </w:rPr>
              <w:t>云南强林石化集团有限公司　　　　　</w:t>
            </w:r>
            <w:r>
              <w:rPr>
                <w:rFonts w:ascii="Times New Roman" w:hAnsi="Times New Roman" w:eastAsia="仿宋_GB2312"/>
                <w:b/>
                <w:color w:val="000000"/>
                <w:kern w:val="0"/>
                <w:sz w:val="22"/>
                <w:szCs w:val="22"/>
                <w:lang w:bidi="ar"/>
              </w:rPr>
              <w:t>昌宏路1号加油站</w:t>
            </w:r>
          </w:p>
        </w:tc>
        <w:tc>
          <w:tcPr>
            <w:tcW w:w="1633" w:type="dxa"/>
            <w:noWrap w:val="0"/>
            <w:tcMar>
              <w:top w:w="15" w:type="dxa"/>
              <w:left w:w="15" w:type="dxa"/>
              <w:right w:w="15" w:type="dxa"/>
            </w:tcMar>
            <w:vAlign w:val="center"/>
          </w:tcPr>
          <w:p w14:paraId="1484A00B">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小板桥街道办事处中闸村委会昌宏西路北段</w:t>
            </w:r>
          </w:p>
        </w:tc>
        <w:tc>
          <w:tcPr>
            <w:tcW w:w="2717" w:type="dxa"/>
            <w:noWrap w:val="0"/>
            <w:tcMar>
              <w:top w:w="15" w:type="dxa"/>
              <w:left w:w="15" w:type="dxa"/>
              <w:right w:w="15" w:type="dxa"/>
            </w:tcMar>
            <w:vAlign w:val="center"/>
          </w:tcPr>
          <w:p w14:paraId="1E2A57DE">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云昆官安经字</w:t>
            </w:r>
            <w:r>
              <w:rPr>
                <w:rFonts w:ascii="Times New Roman" w:hAnsi="Times New Roman" w:eastAsia="仿宋_GB2312"/>
                <w:color w:val="000000"/>
                <w:kern w:val="0"/>
                <w:sz w:val="20"/>
                <w:szCs w:val="20"/>
                <w:lang w:bidi="ar"/>
              </w:rPr>
              <w:br w:type="textWrapping"/>
            </w:r>
            <w:r>
              <w:rPr>
                <w:rFonts w:ascii="Times New Roman" w:hAnsi="Times New Roman" w:eastAsia="仿宋_GB2312"/>
                <w:color w:val="000000"/>
                <w:kern w:val="0"/>
                <w:sz w:val="20"/>
                <w:szCs w:val="20"/>
                <w:lang w:bidi="ar"/>
              </w:rPr>
              <w:t>[2020]0054发证：2020.9.22</w:t>
            </w:r>
          </w:p>
        </w:tc>
        <w:tc>
          <w:tcPr>
            <w:tcW w:w="840" w:type="dxa"/>
            <w:noWrap w:val="0"/>
            <w:tcMar>
              <w:top w:w="15" w:type="dxa"/>
              <w:left w:w="15" w:type="dxa"/>
              <w:right w:w="15" w:type="dxa"/>
            </w:tcMar>
            <w:vAlign w:val="center"/>
          </w:tcPr>
          <w:p w14:paraId="680B79B2">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三级</w:t>
            </w:r>
          </w:p>
        </w:tc>
        <w:tc>
          <w:tcPr>
            <w:tcW w:w="2160" w:type="dxa"/>
            <w:noWrap w:val="0"/>
            <w:tcMar>
              <w:top w:w="15" w:type="dxa"/>
              <w:left w:w="15" w:type="dxa"/>
              <w:right w:w="15" w:type="dxa"/>
            </w:tcMar>
            <w:vAlign w:val="center"/>
          </w:tcPr>
          <w:p w14:paraId="4DC26BE7">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3个、90(m3)</w:t>
            </w:r>
          </w:p>
        </w:tc>
        <w:tc>
          <w:tcPr>
            <w:tcW w:w="1856" w:type="dxa"/>
            <w:noWrap w:val="0"/>
            <w:tcMar>
              <w:top w:w="15" w:type="dxa"/>
              <w:left w:w="15" w:type="dxa"/>
              <w:right w:w="15" w:type="dxa"/>
            </w:tcMar>
            <w:vAlign w:val="center"/>
          </w:tcPr>
          <w:p w14:paraId="37292472">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1个、25(m3)</w:t>
            </w:r>
          </w:p>
        </w:tc>
        <w:tc>
          <w:tcPr>
            <w:tcW w:w="1130" w:type="dxa"/>
            <w:noWrap w:val="0"/>
            <w:tcMar>
              <w:top w:w="15" w:type="dxa"/>
              <w:left w:w="15" w:type="dxa"/>
              <w:right w:w="15" w:type="dxa"/>
            </w:tcMar>
            <w:vAlign w:val="center"/>
          </w:tcPr>
          <w:p w14:paraId="35CCF08F">
            <w:pPr>
              <w:widowControl/>
              <w:spacing w:line="560" w:lineRule="exact"/>
              <w:jc w:val="center"/>
              <w:textAlignment w:val="center"/>
              <w:rPr>
                <w:rFonts w:ascii="Times New Roman" w:hAnsi="Times New Roman" w:eastAsia="方正仿宋_GBK"/>
                <w:color w:val="000000"/>
                <w:sz w:val="22"/>
                <w:szCs w:val="22"/>
              </w:rPr>
            </w:pPr>
            <w:r>
              <w:rPr>
                <w:rFonts w:ascii="Times New Roman" w:hAnsi="Times New Roman" w:eastAsia="方正仿宋_GBK"/>
                <w:color w:val="000000"/>
                <w:kern w:val="0"/>
                <w:sz w:val="22"/>
                <w:szCs w:val="22"/>
                <w:lang w:bidi="ar"/>
              </w:rPr>
              <w:t>余竣</w:t>
            </w:r>
          </w:p>
        </w:tc>
        <w:tc>
          <w:tcPr>
            <w:tcW w:w="1740" w:type="dxa"/>
            <w:noWrap w:val="0"/>
            <w:tcMar>
              <w:top w:w="15" w:type="dxa"/>
              <w:left w:w="15" w:type="dxa"/>
              <w:right w:w="15" w:type="dxa"/>
            </w:tcMar>
            <w:vAlign w:val="center"/>
          </w:tcPr>
          <w:p w14:paraId="4D06D090">
            <w:pPr>
              <w:widowControl/>
              <w:spacing w:line="560" w:lineRule="exact"/>
              <w:jc w:val="center"/>
              <w:textAlignment w:val="center"/>
              <w:rPr>
                <w:rFonts w:ascii="Times New Roman" w:hAnsi="Times New Roman" w:eastAsia="方正仿宋_GBK"/>
                <w:color w:val="000000"/>
                <w:sz w:val="20"/>
                <w:szCs w:val="20"/>
              </w:rPr>
            </w:pPr>
            <w:r>
              <w:rPr>
                <w:rFonts w:ascii="Times New Roman" w:hAnsi="Times New Roman" w:eastAsia="方正仿宋_GBK"/>
                <w:color w:val="000000"/>
                <w:kern w:val="0"/>
                <w:sz w:val="20"/>
                <w:szCs w:val="20"/>
                <w:lang w:bidi="ar"/>
              </w:rPr>
              <w:t>郭虎猛15198990144</w:t>
            </w:r>
          </w:p>
        </w:tc>
      </w:tr>
      <w:tr w14:paraId="44939F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trPr>
        <w:tc>
          <w:tcPr>
            <w:tcW w:w="379" w:type="dxa"/>
            <w:noWrap/>
            <w:tcMar>
              <w:top w:w="15" w:type="dxa"/>
              <w:left w:w="15" w:type="dxa"/>
              <w:right w:w="15" w:type="dxa"/>
            </w:tcMar>
            <w:vAlign w:val="center"/>
          </w:tcPr>
          <w:p w14:paraId="32918EED">
            <w:pPr>
              <w:widowControl/>
              <w:spacing w:line="560" w:lineRule="exact"/>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lang w:bidi="ar"/>
              </w:rPr>
              <w:t>2</w:t>
            </w:r>
          </w:p>
        </w:tc>
        <w:tc>
          <w:tcPr>
            <w:tcW w:w="2430" w:type="dxa"/>
            <w:noWrap w:val="0"/>
            <w:tcMar>
              <w:top w:w="15" w:type="dxa"/>
              <w:left w:w="15" w:type="dxa"/>
              <w:right w:w="15" w:type="dxa"/>
            </w:tcMar>
            <w:vAlign w:val="center"/>
          </w:tcPr>
          <w:p w14:paraId="0B8AE647">
            <w:pPr>
              <w:widowControl/>
              <w:spacing w:line="560" w:lineRule="exact"/>
              <w:jc w:val="center"/>
              <w:textAlignment w:val="center"/>
              <w:rPr>
                <w:rFonts w:ascii="Times New Roman" w:hAnsi="Times New Roman" w:eastAsia="仿宋_GB2312"/>
                <w:color w:val="000000"/>
                <w:sz w:val="22"/>
                <w:szCs w:val="22"/>
              </w:rPr>
            </w:pPr>
            <w:r>
              <w:rPr>
                <w:rFonts w:ascii="Times New Roman" w:hAnsi="Times New Roman" w:eastAsia="仿宋_GB2312"/>
                <w:color w:val="000000"/>
                <w:kern w:val="0"/>
                <w:sz w:val="22"/>
                <w:szCs w:val="22"/>
                <w:lang w:bidi="ar"/>
              </w:rPr>
              <w:t>云南强林石化集团有限公司</w:t>
            </w:r>
            <w:r>
              <w:rPr>
                <w:rFonts w:ascii="Times New Roman" w:hAnsi="Times New Roman" w:eastAsia="仿宋_GB2312"/>
                <w:b/>
                <w:color w:val="000000"/>
                <w:kern w:val="0"/>
                <w:sz w:val="22"/>
                <w:szCs w:val="22"/>
                <w:lang w:bidi="ar"/>
              </w:rPr>
              <w:t>珥季路加油站</w:t>
            </w:r>
          </w:p>
        </w:tc>
        <w:tc>
          <w:tcPr>
            <w:tcW w:w="1633" w:type="dxa"/>
            <w:noWrap w:val="0"/>
            <w:tcMar>
              <w:top w:w="15" w:type="dxa"/>
              <w:left w:w="15" w:type="dxa"/>
              <w:right w:w="15" w:type="dxa"/>
            </w:tcMar>
            <w:vAlign w:val="center"/>
          </w:tcPr>
          <w:p w14:paraId="33A9C17B">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珥季路中段强林石化加油站</w:t>
            </w:r>
          </w:p>
        </w:tc>
        <w:tc>
          <w:tcPr>
            <w:tcW w:w="2717" w:type="dxa"/>
            <w:noWrap w:val="0"/>
            <w:tcMar>
              <w:top w:w="15" w:type="dxa"/>
              <w:left w:w="15" w:type="dxa"/>
              <w:right w:w="15" w:type="dxa"/>
            </w:tcMar>
            <w:vAlign w:val="center"/>
          </w:tcPr>
          <w:p w14:paraId="0FFCFAAC">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云昆官安经字</w:t>
            </w:r>
            <w:r>
              <w:rPr>
                <w:rFonts w:ascii="Times New Roman" w:hAnsi="Times New Roman" w:eastAsia="仿宋_GB2312"/>
                <w:color w:val="000000"/>
                <w:kern w:val="0"/>
                <w:sz w:val="20"/>
                <w:szCs w:val="20"/>
                <w:lang w:bidi="ar"/>
              </w:rPr>
              <w:br w:type="textWrapping"/>
            </w:r>
            <w:r>
              <w:rPr>
                <w:rFonts w:ascii="Times New Roman" w:hAnsi="Times New Roman" w:eastAsia="仿宋_GB2312"/>
                <w:color w:val="000000"/>
                <w:kern w:val="0"/>
                <w:sz w:val="20"/>
                <w:szCs w:val="20"/>
                <w:lang w:bidi="ar"/>
              </w:rPr>
              <w:t>[2020]0055发证：2020.9.22</w:t>
            </w:r>
          </w:p>
        </w:tc>
        <w:tc>
          <w:tcPr>
            <w:tcW w:w="840" w:type="dxa"/>
            <w:noWrap w:val="0"/>
            <w:tcMar>
              <w:top w:w="15" w:type="dxa"/>
              <w:left w:w="15" w:type="dxa"/>
              <w:right w:w="15" w:type="dxa"/>
            </w:tcMar>
            <w:vAlign w:val="center"/>
          </w:tcPr>
          <w:p w14:paraId="514E56F7">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三级</w:t>
            </w:r>
          </w:p>
        </w:tc>
        <w:tc>
          <w:tcPr>
            <w:tcW w:w="2160" w:type="dxa"/>
            <w:noWrap w:val="0"/>
            <w:tcMar>
              <w:top w:w="15" w:type="dxa"/>
              <w:left w:w="15" w:type="dxa"/>
              <w:right w:w="15" w:type="dxa"/>
            </w:tcMar>
            <w:vAlign w:val="center"/>
          </w:tcPr>
          <w:p w14:paraId="37B285E8">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3个、90(m4)</w:t>
            </w:r>
          </w:p>
        </w:tc>
        <w:tc>
          <w:tcPr>
            <w:tcW w:w="1856" w:type="dxa"/>
            <w:noWrap w:val="0"/>
            <w:tcMar>
              <w:top w:w="15" w:type="dxa"/>
              <w:left w:w="15" w:type="dxa"/>
              <w:right w:w="15" w:type="dxa"/>
            </w:tcMar>
            <w:vAlign w:val="center"/>
          </w:tcPr>
          <w:p w14:paraId="6244E8E4">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1个、25(m4)</w:t>
            </w:r>
          </w:p>
        </w:tc>
        <w:tc>
          <w:tcPr>
            <w:tcW w:w="1130" w:type="dxa"/>
            <w:noWrap w:val="0"/>
            <w:tcMar>
              <w:top w:w="15" w:type="dxa"/>
              <w:left w:w="15" w:type="dxa"/>
              <w:right w:w="15" w:type="dxa"/>
            </w:tcMar>
            <w:vAlign w:val="center"/>
          </w:tcPr>
          <w:p w14:paraId="459BE85F">
            <w:pPr>
              <w:widowControl/>
              <w:spacing w:line="560" w:lineRule="exact"/>
              <w:jc w:val="center"/>
              <w:textAlignment w:val="center"/>
              <w:rPr>
                <w:rFonts w:ascii="Times New Roman" w:hAnsi="Times New Roman" w:eastAsia="方正仿宋_GBK"/>
                <w:color w:val="000000"/>
                <w:sz w:val="22"/>
                <w:szCs w:val="22"/>
              </w:rPr>
            </w:pPr>
            <w:r>
              <w:rPr>
                <w:rFonts w:ascii="Times New Roman" w:hAnsi="Times New Roman" w:eastAsia="方正仿宋_GBK"/>
                <w:color w:val="000000"/>
                <w:kern w:val="0"/>
                <w:sz w:val="22"/>
                <w:szCs w:val="22"/>
                <w:lang w:bidi="ar"/>
              </w:rPr>
              <w:t>余竣</w:t>
            </w:r>
          </w:p>
        </w:tc>
        <w:tc>
          <w:tcPr>
            <w:tcW w:w="1740" w:type="dxa"/>
            <w:noWrap w:val="0"/>
            <w:tcMar>
              <w:top w:w="15" w:type="dxa"/>
              <w:left w:w="15" w:type="dxa"/>
              <w:right w:w="15" w:type="dxa"/>
            </w:tcMar>
            <w:vAlign w:val="center"/>
          </w:tcPr>
          <w:p w14:paraId="3BC56986">
            <w:pPr>
              <w:widowControl/>
              <w:spacing w:line="560" w:lineRule="exact"/>
              <w:jc w:val="center"/>
              <w:textAlignment w:val="center"/>
              <w:rPr>
                <w:rFonts w:ascii="Times New Roman" w:hAnsi="Times New Roman" w:eastAsia="方正仿宋_GBK"/>
                <w:color w:val="000000"/>
                <w:sz w:val="20"/>
                <w:szCs w:val="20"/>
              </w:rPr>
            </w:pPr>
            <w:r>
              <w:rPr>
                <w:rFonts w:ascii="Times New Roman" w:hAnsi="Times New Roman" w:eastAsia="方正仿宋_GBK"/>
                <w:color w:val="000000"/>
                <w:kern w:val="0"/>
                <w:sz w:val="20"/>
                <w:szCs w:val="20"/>
                <w:lang w:bidi="ar"/>
              </w:rPr>
              <w:t>张举林15912149323</w:t>
            </w:r>
          </w:p>
        </w:tc>
      </w:tr>
      <w:tr w14:paraId="7C8E77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9" w:hRule="atLeast"/>
        </w:trPr>
        <w:tc>
          <w:tcPr>
            <w:tcW w:w="379" w:type="dxa"/>
            <w:noWrap/>
            <w:tcMar>
              <w:top w:w="15" w:type="dxa"/>
              <w:left w:w="15" w:type="dxa"/>
              <w:right w:w="15" w:type="dxa"/>
            </w:tcMar>
            <w:vAlign w:val="center"/>
          </w:tcPr>
          <w:p w14:paraId="4176F14C">
            <w:pPr>
              <w:widowControl/>
              <w:spacing w:line="560" w:lineRule="exact"/>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lang w:bidi="ar"/>
              </w:rPr>
              <w:t>3</w:t>
            </w:r>
          </w:p>
        </w:tc>
        <w:tc>
          <w:tcPr>
            <w:tcW w:w="2430" w:type="dxa"/>
            <w:noWrap w:val="0"/>
            <w:tcMar>
              <w:top w:w="15" w:type="dxa"/>
              <w:left w:w="15" w:type="dxa"/>
              <w:right w:w="15" w:type="dxa"/>
            </w:tcMar>
            <w:vAlign w:val="center"/>
          </w:tcPr>
          <w:p w14:paraId="014DE5B6">
            <w:pPr>
              <w:widowControl/>
              <w:spacing w:line="560" w:lineRule="exact"/>
              <w:jc w:val="center"/>
              <w:textAlignment w:val="center"/>
              <w:rPr>
                <w:rFonts w:ascii="Times New Roman" w:hAnsi="Times New Roman" w:eastAsia="仿宋_GB2312"/>
                <w:color w:val="000000"/>
                <w:sz w:val="22"/>
                <w:szCs w:val="22"/>
              </w:rPr>
            </w:pPr>
            <w:r>
              <w:rPr>
                <w:rFonts w:ascii="Times New Roman" w:hAnsi="Times New Roman" w:eastAsia="仿宋_GB2312"/>
                <w:color w:val="000000"/>
                <w:kern w:val="0"/>
                <w:sz w:val="22"/>
                <w:szCs w:val="22"/>
                <w:lang w:bidi="ar"/>
              </w:rPr>
              <w:t>云南强林石化集团有限公司</w:t>
            </w:r>
            <w:r>
              <w:rPr>
                <w:rFonts w:ascii="Times New Roman" w:hAnsi="Times New Roman" w:eastAsia="仿宋_GB2312"/>
                <w:b/>
                <w:color w:val="000000"/>
                <w:kern w:val="0"/>
                <w:sz w:val="22"/>
                <w:szCs w:val="22"/>
                <w:lang w:bidi="ar"/>
              </w:rPr>
              <w:t>牛街庄加油站</w:t>
            </w:r>
          </w:p>
        </w:tc>
        <w:tc>
          <w:tcPr>
            <w:tcW w:w="1633" w:type="dxa"/>
            <w:noWrap w:val="0"/>
            <w:tcMar>
              <w:top w:w="15" w:type="dxa"/>
              <w:left w:w="15" w:type="dxa"/>
              <w:right w:w="15" w:type="dxa"/>
            </w:tcMar>
            <w:vAlign w:val="center"/>
          </w:tcPr>
          <w:p w14:paraId="2D8DF421">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牛街庄贵昆公路2771公里处</w:t>
            </w:r>
          </w:p>
        </w:tc>
        <w:tc>
          <w:tcPr>
            <w:tcW w:w="2717" w:type="dxa"/>
            <w:noWrap w:val="0"/>
            <w:tcMar>
              <w:top w:w="15" w:type="dxa"/>
              <w:left w:w="15" w:type="dxa"/>
              <w:right w:w="15" w:type="dxa"/>
            </w:tcMar>
            <w:vAlign w:val="center"/>
          </w:tcPr>
          <w:p w14:paraId="554068C4">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云昆官安经字</w:t>
            </w:r>
            <w:r>
              <w:rPr>
                <w:rFonts w:ascii="Times New Roman" w:hAnsi="Times New Roman" w:eastAsia="仿宋_GB2312"/>
                <w:color w:val="000000"/>
                <w:kern w:val="0"/>
                <w:sz w:val="20"/>
                <w:szCs w:val="20"/>
                <w:lang w:bidi="ar"/>
              </w:rPr>
              <w:br w:type="textWrapping"/>
            </w:r>
            <w:r>
              <w:rPr>
                <w:rFonts w:ascii="Times New Roman" w:hAnsi="Times New Roman" w:eastAsia="仿宋_GB2312"/>
                <w:color w:val="000000"/>
                <w:kern w:val="0"/>
                <w:sz w:val="20"/>
                <w:szCs w:val="20"/>
                <w:lang w:bidi="ar"/>
              </w:rPr>
              <w:t>[2018]0027发证：2018.6.21</w:t>
            </w:r>
          </w:p>
        </w:tc>
        <w:tc>
          <w:tcPr>
            <w:tcW w:w="840" w:type="dxa"/>
            <w:noWrap w:val="0"/>
            <w:tcMar>
              <w:top w:w="15" w:type="dxa"/>
              <w:left w:w="15" w:type="dxa"/>
              <w:right w:w="15" w:type="dxa"/>
            </w:tcMar>
            <w:vAlign w:val="center"/>
          </w:tcPr>
          <w:p w14:paraId="7BE2B9D0">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三级</w:t>
            </w:r>
          </w:p>
        </w:tc>
        <w:tc>
          <w:tcPr>
            <w:tcW w:w="2160" w:type="dxa"/>
            <w:noWrap w:val="0"/>
            <w:tcMar>
              <w:top w:w="15" w:type="dxa"/>
              <w:left w:w="15" w:type="dxa"/>
              <w:right w:w="15" w:type="dxa"/>
            </w:tcMar>
            <w:vAlign w:val="center"/>
          </w:tcPr>
          <w:p w14:paraId="59D98B43">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3个、90(m5)</w:t>
            </w:r>
          </w:p>
        </w:tc>
        <w:tc>
          <w:tcPr>
            <w:tcW w:w="1856" w:type="dxa"/>
            <w:noWrap w:val="0"/>
            <w:tcMar>
              <w:top w:w="15" w:type="dxa"/>
              <w:left w:w="15" w:type="dxa"/>
              <w:right w:w="15" w:type="dxa"/>
            </w:tcMar>
            <w:vAlign w:val="center"/>
          </w:tcPr>
          <w:p w14:paraId="3B0F0E30">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1个、25(m5)</w:t>
            </w:r>
          </w:p>
        </w:tc>
        <w:tc>
          <w:tcPr>
            <w:tcW w:w="1130" w:type="dxa"/>
            <w:noWrap w:val="0"/>
            <w:tcMar>
              <w:top w:w="15" w:type="dxa"/>
              <w:left w:w="15" w:type="dxa"/>
              <w:right w:w="15" w:type="dxa"/>
            </w:tcMar>
            <w:vAlign w:val="center"/>
          </w:tcPr>
          <w:p w14:paraId="6D1F75AC">
            <w:pPr>
              <w:widowControl/>
              <w:spacing w:line="560" w:lineRule="exact"/>
              <w:jc w:val="center"/>
              <w:textAlignment w:val="center"/>
              <w:rPr>
                <w:rFonts w:ascii="Times New Roman" w:hAnsi="Times New Roman" w:eastAsia="方正仿宋_GBK"/>
                <w:color w:val="000000"/>
                <w:sz w:val="22"/>
                <w:szCs w:val="22"/>
              </w:rPr>
            </w:pPr>
            <w:r>
              <w:rPr>
                <w:rFonts w:ascii="Times New Roman" w:hAnsi="Times New Roman" w:eastAsia="方正仿宋_GBK"/>
                <w:color w:val="000000"/>
                <w:kern w:val="0"/>
                <w:sz w:val="22"/>
                <w:szCs w:val="22"/>
                <w:lang w:bidi="ar"/>
              </w:rPr>
              <w:t>武仕</w:t>
            </w:r>
          </w:p>
        </w:tc>
        <w:tc>
          <w:tcPr>
            <w:tcW w:w="1740" w:type="dxa"/>
            <w:noWrap w:val="0"/>
            <w:tcMar>
              <w:top w:w="15" w:type="dxa"/>
              <w:left w:w="15" w:type="dxa"/>
              <w:right w:w="15" w:type="dxa"/>
            </w:tcMar>
            <w:vAlign w:val="center"/>
          </w:tcPr>
          <w:p w14:paraId="1F22BCB9">
            <w:pPr>
              <w:widowControl/>
              <w:spacing w:line="560" w:lineRule="exact"/>
              <w:jc w:val="center"/>
              <w:textAlignment w:val="center"/>
              <w:rPr>
                <w:rFonts w:ascii="Times New Roman" w:hAnsi="Times New Roman" w:eastAsia="方正仿宋_GBK"/>
                <w:color w:val="000000"/>
                <w:sz w:val="20"/>
                <w:szCs w:val="20"/>
              </w:rPr>
            </w:pPr>
            <w:r>
              <w:rPr>
                <w:rFonts w:ascii="Times New Roman" w:hAnsi="Times New Roman" w:eastAsia="方正仿宋_GBK"/>
                <w:color w:val="000000"/>
                <w:kern w:val="0"/>
                <w:sz w:val="20"/>
                <w:szCs w:val="20"/>
                <w:lang w:bidi="ar"/>
              </w:rPr>
              <w:t>秦东蔚13708893857</w:t>
            </w:r>
          </w:p>
        </w:tc>
      </w:tr>
      <w:tr w14:paraId="692B68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trPr>
        <w:tc>
          <w:tcPr>
            <w:tcW w:w="379" w:type="dxa"/>
            <w:noWrap/>
            <w:tcMar>
              <w:top w:w="15" w:type="dxa"/>
              <w:left w:w="15" w:type="dxa"/>
              <w:right w:w="15" w:type="dxa"/>
            </w:tcMar>
            <w:vAlign w:val="center"/>
          </w:tcPr>
          <w:p w14:paraId="4B872B93">
            <w:pPr>
              <w:widowControl/>
              <w:spacing w:line="560" w:lineRule="exact"/>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lang w:bidi="ar"/>
              </w:rPr>
              <w:t>4</w:t>
            </w:r>
          </w:p>
        </w:tc>
        <w:tc>
          <w:tcPr>
            <w:tcW w:w="2430" w:type="dxa"/>
            <w:noWrap w:val="0"/>
            <w:tcMar>
              <w:top w:w="15" w:type="dxa"/>
              <w:left w:w="15" w:type="dxa"/>
              <w:right w:w="15" w:type="dxa"/>
            </w:tcMar>
            <w:vAlign w:val="center"/>
          </w:tcPr>
          <w:p w14:paraId="175CB745">
            <w:pPr>
              <w:widowControl/>
              <w:spacing w:line="560" w:lineRule="exact"/>
              <w:jc w:val="center"/>
              <w:textAlignment w:val="center"/>
              <w:rPr>
                <w:rFonts w:ascii="Times New Roman" w:hAnsi="Times New Roman" w:eastAsia="仿宋_GB2312"/>
                <w:color w:val="000000"/>
                <w:sz w:val="22"/>
                <w:szCs w:val="22"/>
              </w:rPr>
            </w:pPr>
            <w:r>
              <w:rPr>
                <w:rFonts w:ascii="Times New Roman" w:hAnsi="Times New Roman" w:eastAsia="仿宋_GB2312"/>
                <w:color w:val="000000"/>
                <w:kern w:val="0"/>
                <w:sz w:val="22"/>
                <w:szCs w:val="22"/>
                <w:lang w:bidi="ar"/>
              </w:rPr>
              <w:t>云南强林石化集团有限公司</w:t>
            </w:r>
            <w:r>
              <w:rPr>
                <w:rFonts w:ascii="Times New Roman" w:hAnsi="Times New Roman" w:eastAsia="仿宋_GB2312"/>
                <w:b/>
                <w:color w:val="000000"/>
                <w:kern w:val="0"/>
                <w:sz w:val="22"/>
                <w:szCs w:val="22"/>
                <w:lang w:bidi="ar"/>
              </w:rPr>
              <w:t>姚安加油站</w:t>
            </w:r>
          </w:p>
        </w:tc>
        <w:tc>
          <w:tcPr>
            <w:tcW w:w="1633" w:type="dxa"/>
            <w:noWrap w:val="0"/>
            <w:tcMar>
              <w:top w:w="15" w:type="dxa"/>
              <w:left w:w="15" w:type="dxa"/>
              <w:right w:w="15" w:type="dxa"/>
            </w:tcMar>
            <w:vAlign w:val="center"/>
          </w:tcPr>
          <w:p w14:paraId="4396797A">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昆明市官渡区官渡街道办事处龙马社区珥季路西段</w:t>
            </w:r>
          </w:p>
        </w:tc>
        <w:tc>
          <w:tcPr>
            <w:tcW w:w="2717" w:type="dxa"/>
            <w:noWrap w:val="0"/>
            <w:tcMar>
              <w:top w:w="15" w:type="dxa"/>
              <w:left w:w="15" w:type="dxa"/>
              <w:right w:w="15" w:type="dxa"/>
            </w:tcMar>
            <w:vAlign w:val="center"/>
          </w:tcPr>
          <w:p w14:paraId="427A2AEB">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云昆官安经字</w:t>
            </w:r>
            <w:r>
              <w:rPr>
                <w:rFonts w:ascii="Times New Roman" w:hAnsi="Times New Roman" w:eastAsia="仿宋_GB2312"/>
                <w:color w:val="000000"/>
                <w:kern w:val="0"/>
                <w:sz w:val="20"/>
                <w:szCs w:val="20"/>
                <w:lang w:bidi="ar"/>
              </w:rPr>
              <w:br w:type="textWrapping"/>
            </w:r>
            <w:r>
              <w:rPr>
                <w:rFonts w:ascii="Times New Roman" w:hAnsi="Times New Roman" w:eastAsia="仿宋_GB2312"/>
                <w:color w:val="000000"/>
                <w:kern w:val="0"/>
                <w:sz w:val="20"/>
                <w:szCs w:val="20"/>
                <w:lang w:bidi="ar"/>
              </w:rPr>
              <w:t>[2020]0056发证：2020.9.22</w:t>
            </w:r>
          </w:p>
        </w:tc>
        <w:tc>
          <w:tcPr>
            <w:tcW w:w="840" w:type="dxa"/>
            <w:noWrap w:val="0"/>
            <w:tcMar>
              <w:top w:w="15" w:type="dxa"/>
              <w:left w:w="15" w:type="dxa"/>
              <w:right w:w="15" w:type="dxa"/>
            </w:tcMar>
            <w:vAlign w:val="center"/>
          </w:tcPr>
          <w:p w14:paraId="7CB11B89">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三级</w:t>
            </w:r>
          </w:p>
        </w:tc>
        <w:tc>
          <w:tcPr>
            <w:tcW w:w="2160" w:type="dxa"/>
            <w:noWrap w:val="0"/>
            <w:tcMar>
              <w:top w:w="15" w:type="dxa"/>
              <w:left w:w="15" w:type="dxa"/>
              <w:right w:w="15" w:type="dxa"/>
            </w:tcMar>
            <w:vAlign w:val="center"/>
          </w:tcPr>
          <w:p w14:paraId="3F1E0ED9">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3个、90(m6)</w:t>
            </w:r>
          </w:p>
        </w:tc>
        <w:tc>
          <w:tcPr>
            <w:tcW w:w="1856" w:type="dxa"/>
            <w:noWrap w:val="0"/>
            <w:tcMar>
              <w:top w:w="15" w:type="dxa"/>
              <w:left w:w="15" w:type="dxa"/>
              <w:right w:w="15" w:type="dxa"/>
            </w:tcMar>
            <w:vAlign w:val="center"/>
          </w:tcPr>
          <w:p w14:paraId="54C6A45A">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1个、25(m6)</w:t>
            </w:r>
          </w:p>
        </w:tc>
        <w:tc>
          <w:tcPr>
            <w:tcW w:w="1130" w:type="dxa"/>
            <w:noWrap w:val="0"/>
            <w:tcMar>
              <w:top w:w="15" w:type="dxa"/>
              <w:left w:w="15" w:type="dxa"/>
              <w:right w:w="15" w:type="dxa"/>
            </w:tcMar>
            <w:vAlign w:val="center"/>
          </w:tcPr>
          <w:p w14:paraId="4A130E52">
            <w:pPr>
              <w:widowControl/>
              <w:spacing w:line="560" w:lineRule="exact"/>
              <w:jc w:val="center"/>
              <w:textAlignment w:val="center"/>
              <w:rPr>
                <w:rFonts w:ascii="Times New Roman" w:hAnsi="Times New Roman" w:eastAsia="方正仿宋_GBK"/>
                <w:color w:val="000000"/>
                <w:sz w:val="22"/>
                <w:szCs w:val="22"/>
              </w:rPr>
            </w:pPr>
            <w:r>
              <w:rPr>
                <w:rFonts w:ascii="Times New Roman" w:hAnsi="Times New Roman" w:eastAsia="方正仿宋_GBK"/>
                <w:color w:val="000000"/>
                <w:kern w:val="0"/>
                <w:sz w:val="22"/>
                <w:szCs w:val="22"/>
                <w:lang w:bidi="ar"/>
              </w:rPr>
              <w:t>余竣</w:t>
            </w:r>
          </w:p>
        </w:tc>
        <w:tc>
          <w:tcPr>
            <w:tcW w:w="1740" w:type="dxa"/>
            <w:noWrap w:val="0"/>
            <w:tcMar>
              <w:top w:w="15" w:type="dxa"/>
              <w:left w:w="15" w:type="dxa"/>
              <w:right w:w="15" w:type="dxa"/>
            </w:tcMar>
            <w:vAlign w:val="center"/>
          </w:tcPr>
          <w:p w14:paraId="7C9C9215">
            <w:pPr>
              <w:widowControl/>
              <w:spacing w:line="560" w:lineRule="exact"/>
              <w:jc w:val="center"/>
              <w:textAlignment w:val="center"/>
              <w:rPr>
                <w:rFonts w:ascii="Times New Roman" w:hAnsi="Times New Roman" w:eastAsia="方正仿宋_GBK"/>
                <w:color w:val="000000"/>
                <w:sz w:val="20"/>
                <w:szCs w:val="20"/>
              </w:rPr>
            </w:pPr>
            <w:r>
              <w:rPr>
                <w:rFonts w:ascii="Times New Roman" w:hAnsi="Times New Roman" w:eastAsia="方正仿宋_GBK"/>
                <w:color w:val="000000"/>
                <w:kern w:val="0"/>
                <w:sz w:val="20"/>
                <w:szCs w:val="20"/>
                <w:lang w:bidi="ar"/>
              </w:rPr>
              <w:t>姜自林18388226419</w:t>
            </w:r>
          </w:p>
        </w:tc>
      </w:tr>
      <w:tr w14:paraId="7BCF87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379" w:type="dxa"/>
            <w:noWrap/>
            <w:tcMar>
              <w:top w:w="15" w:type="dxa"/>
              <w:left w:w="15" w:type="dxa"/>
              <w:right w:w="15" w:type="dxa"/>
            </w:tcMar>
            <w:vAlign w:val="center"/>
          </w:tcPr>
          <w:p w14:paraId="6761C8A7">
            <w:pPr>
              <w:widowControl/>
              <w:spacing w:line="560" w:lineRule="exact"/>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lang w:bidi="ar"/>
              </w:rPr>
              <w:t>5</w:t>
            </w:r>
          </w:p>
        </w:tc>
        <w:tc>
          <w:tcPr>
            <w:tcW w:w="2430" w:type="dxa"/>
            <w:noWrap w:val="0"/>
            <w:tcMar>
              <w:top w:w="15" w:type="dxa"/>
              <w:left w:w="15" w:type="dxa"/>
              <w:right w:w="15" w:type="dxa"/>
            </w:tcMar>
            <w:vAlign w:val="center"/>
          </w:tcPr>
          <w:p w14:paraId="63BCF880">
            <w:pPr>
              <w:widowControl/>
              <w:spacing w:line="560" w:lineRule="exact"/>
              <w:jc w:val="center"/>
              <w:textAlignment w:val="center"/>
              <w:rPr>
                <w:rFonts w:ascii="Times New Roman" w:hAnsi="Times New Roman" w:eastAsia="仿宋_GB2312"/>
                <w:color w:val="000000"/>
                <w:sz w:val="22"/>
                <w:szCs w:val="22"/>
              </w:rPr>
            </w:pPr>
            <w:r>
              <w:rPr>
                <w:rFonts w:ascii="Times New Roman" w:hAnsi="Times New Roman" w:eastAsia="仿宋_GB2312"/>
                <w:color w:val="000000"/>
                <w:kern w:val="0"/>
                <w:sz w:val="22"/>
                <w:szCs w:val="22"/>
                <w:lang w:bidi="ar"/>
              </w:rPr>
              <w:t>云南强林石化集团有限公司</w:t>
            </w:r>
            <w:r>
              <w:rPr>
                <w:rFonts w:ascii="Times New Roman" w:hAnsi="Times New Roman" w:eastAsia="仿宋_GB2312"/>
                <w:b/>
                <w:color w:val="000000"/>
                <w:kern w:val="0"/>
                <w:sz w:val="22"/>
                <w:szCs w:val="22"/>
                <w:lang w:bidi="ar"/>
              </w:rPr>
              <w:t>中营加油站</w:t>
            </w:r>
          </w:p>
        </w:tc>
        <w:tc>
          <w:tcPr>
            <w:tcW w:w="1633" w:type="dxa"/>
            <w:noWrap w:val="0"/>
            <w:tcMar>
              <w:top w:w="15" w:type="dxa"/>
              <w:left w:w="15" w:type="dxa"/>
              <w:right w:w="15" w:type="dxa"/>
            </w:tcMar>
            <w:vAlign w:val="center"/>
          </w:tcPr>
          <w:p w14:paraId="1463C279">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中营村委会官宝路中段</w:t>
            </w:r>
          </w:p>
        </w:tc>
        <w:tc>
          <w:tcPr>
            <w:tcW w:w="2717" w:type="dxa"/>
            <w:noWrap w:val="0"/>
            <w:tcMar>
              <w:top w:w="15" w:type="dxa"/>
              <w:left w:w="15" w:type="dxa"/>
              <w:right w:w="15" w:type="dxa"/>
            </w:tcMar>
            <w:vAlign w:val="center"/>
          </w:tcPr>
          <w:p w14:paraId="4C7F88D7">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云昆官安经字</w:t>
            </w:r>
            <w:r>
              <w:rPr>
                <w:rFonts w:ascii="Times New Roman" w:hAnsi="Times New Roman" w:eastAsia="仿宋_GB2312"/>
                <w:color w:val="000000"/>
                <w:kern w:val="0"/>
                <w:sz w:val="20"/>
                <w:szCs w:val="20"/>
                <w:lang w:bidi="ar"/>
              </w:rPr>
              <w:br w:type="textWrapping"/>
            </w:r>
            <w:r>
              <w:rPr>
                <w:rFonts w:ascii="Times New Roman" w:hAnsi="Times New Roman" w:eastAsia="仿宋_GB2312"/>
                <w:color w:val="000000"/>
                <w:kern w:val="0"/>
                <w:sz w:val="20"/>
                <w:szCs w:val="20"/>
                <w:lang w:bidi="ar"/>
              </w:rPr>
              <w:t>[2020]0057发证：2020.9.22</w:t>
            </w:r>
          </w:p>
        </w:tc>
        <w:tc>
          <w:tcPr>
            <w:tcW w:w="840" w:type="dxa"/>
            <w:noWrap w:val="0"/>
            <w:tcMar>
              <w:top w:w="15" w:type="dxa"/>
              <w:left w:w="15" w:type="dxa"/>
              <w:right w:w="15" w:type="dxa"/>
            </w:tcMar>
            <w:vAlign w:val="center"/>
          </w:tcPr>
          <w:p w14:paraId="3E0093CB">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三级</w:t>
            </w:r>
          </w:p>
        </w:tc>
        <w:tc>
          <w:tcPr>
            <w:tcW w:w="2160" w:type="dxa"/>
            <w:noWrap w:val="0"/>
            <w:tcMar>
              <w:top w:w="15" w:type="dxa"/>
              <w:left w:w="15" w:type="dxa"/>
              <w:right w:w="15" w:type="dxa"/>
            </w:tcMar>
            <w:vAlign w:val="center"/>
          </w:tcPr>
          <w:p w14:paraId="2FA8A277">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3个、90(m7)</w:t>
            </w:r>
          </w:p>
        </w:tc>
        <w:tc>
          <w:tcPr>
            <w:tcW w:w="1856" w:type="dxa"/>
            <w:noWrap w:val="0"/>
            <w:tcMar>
              <w:top w:w="15" w:type="dxa"/>
              <w:left w:w="15" w:type="dxa"/>
              <w:right w:w="15" w:type="dxa"/>
            </w:tcMar>
            <w:vAlign w:val="center"/>
          </w:tcPr>
          <w:p w14:paraId="32E997DD">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1个、25(m7)</w:t>
            </w:r>
          </w:p>
        </w:tc>
        <w:tc>
          <w:tcPr>
            <w:tcW w:w="1130" w:type="dxa"/>
            <w:noWrap w:val="0"/>
            <w:tcMar>
              <w:top w:w="15" w:type="dxa"/>
              <w:left w:w="15" w:type="dxa"/>
              <w:right w:w="15" w:type="dxa"/>
            </w:tcMar>
            <w:vAlign w:val="center"/>
          </w:tcPr>
          <w:p w14:paraId="30941028">
            <w:pPr>
              <w:widowControl/>
              <w:spacing w:line="560" w:lineRule="exact"/>
              <w:jc w:val="center"/>
              <w:textAlignment w:val="center"/>
              <w:rPr>
                <w:rFonts w:ascii="Times New Roman" w:hAnsi="Times New Roman" w:eastAsia="方正仿宋_GBK"/>
                <w:color w:val="000000"/>
                <w:sz w:val="22"/>
                <w:szCs w:val="22"/>
              </w:rPr>
            </w:pPr>
            <w:r>
              <w:rPr>
                <w:rFonts w:ascii="Times New Roman" w:hAnsi="Times New Roman" w:eastAsia="方正仿宋_GBK"/>
                <w:color w:val="000000"/>
                <w:kern w:val="0"/>
                <w:sz w:val="22"/>
                <w:szCs w:val="22"/>
                <w:lang w:bidi="ar"/>
              </w:rPr>
              <w:t>余竣</w:t>
            </w:r>
          </w:p>
        </w:tc>
        <w:tc>
          <w:tcPr>
            <w:tcW w:w="1740" w:type="dxa"/>
            <w:noWrap w:val="0"/>
            <w:tcMar>
              <w:top w:w="15" w:type="dxa"/>
              <w:left w:w="15" w:type="dxa"/>
              <w:right w:w="15" w:type="dxa"/>
            </w:tcMar>
            <w:vAlign w:val="center"/>
          </w:tcPr>
          <w:p w14:paraId="09F18B9D">
            <w:pPr>
              <w:widowControl/>
              <w:spacing w:line="560" w:lineRule="exact"/>
              <w:jc w:val="center"/>
              <w:textAlignment w:val="center"/>
              <w:rPr>
                <w:rFonts w:ascii="Times New Roman" w:hAnsi="Times New Roman" w:eastAsia="方正仿宋_GBK"/>
                <w:color w:val="000000"/>
                <w:sz w:val="20"/>
                <w:szCs w:val="20"/>
              </w:rPr>
            </w:pPr>
            <w:r>
              <w:rPr>
                <w:rFonts w:ascii="Times New Roman" w:hAnsi="Times New Roman" w:eastAsia="方正仿宋_GBK"/>
                <w:color w:val="000000"/>
                <w:kern w:val="0"/>
                <w:sz w:val="20"/>
                <w:szCs w:val="20"/>
                <w:lang w:bidi="ar"/>
              </w:rPr>
              <w:t>周开文13354623460</w:t>
            </w:r>
          </w:p>
        </w:tc>
      </w:tr>
      <w:tr w14:paraId="429A0D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trPr>
        <w:tc>
          <w:tcPr>
            <w:tcW w:w="379" w:type="dxa"/>
            <w:noWrap/>
            <w:tcMar>
              <w:top w:w="15" w:type="dxa"/>
              <w:left w:w="15" w:type="dxa"/>
              <w:right w:w="15" w:type="dxa"/>
            </w:tcMar>
            <w:vAlign w:val="center"/>
          </w:tcPr>
          <w:p w14:paraId="1B9858C8">
            <w:pPr>
              <w:widowControl/>
              <w:spacing w:line="560" w:lineRule="exact"/>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lang w:bidi="ar"/>
              </w:rPr>
              <w:t>6</w:t>
            </w:r>
          </w:p>
        </w:tc>
        <w:tc>
          <w:tcPr>
            <w:tcW w:w="2430" w:type="dxa"/>
            <w:noWrap w:val="0"/>
            <w:tcMar>
              <w:top w:w="15" w:type="dxa"/>
              <w:left w:w="15" w:type="dxa"/>
              <w:right w:w="15" w:type="dxa"/>
            </w:tcMar>
            <w:vAlign w:val="center"/>
          </w:tcPr>
          <w:p w14:paraId="53BA96EA">
            <w:pPr>
              <w:widowControl/>
              <w:spacing w:line="560" w:lineRule="exact"/>
              <w:jc w:val="center"/>
              <w:textAlignment w:val="center"/>
              <w:rPr>
                <w:rFonts w:ascii="Times New Roman" w:hAnsi="Times New Roman" w:eastAsia="仿宋_GB2312"/>
                <w:color w:val="000000"/>
                <w:sz w:val="22"/>
                <w:szCs w:val="22"/>
              </w:rPr>
            </w:pPr>
            <w:r>
              <w:rPr>
                <w:rFonts w:ascii="Times New Roman" w:hAnsi="Times New Roman" w:eastAsia="仿宋_GB2312"/>
                <w:color w:val="000000"/>
                <w:kern w:val="0"/>
                <w:sz w:val="22"/>
                <w:szCs w:val="22"/>
                <w:lang w:bidi="ar"/>
              </w:rPr>
              <w:t>中国石化销售股份有限公司云南</w:t>
            </w:r>
            <w:r>
              <w:rPr>
                <w:rFonts w:ascii="Times New Roman" w:hAnsi="Times New Roman" w:eastAsia="仿宋_GB2312"/>
                <w:b/>
                <w:color w:val="000000"/>
                <w:kern w:val="0"/>
                <w:sz w:val="22"/>
                <w:szCs w:val="22"/>
                <w:lang w:bidi="ar"/>
              </w:rPr>
              <w:t>昆明东风加油站</w:t>
            </w:r>
          </w:p>
        </w:tc>
        <w:tc>
          <w:tcPr>
            <w:tcW w:w="1633" w:type="dxa"/>
            <w:noWrap w:val="0"/>
            <w:tcMar>
              <w:top w:w="15" w:type="dxa"/>
              <w:left w:w="15" w:type="dxa"/>
              <w:right w:w="15" w:type="dxa"/>
            </w:tcMar>
            <w:vAlign w:val="center"/>
          </w:tcPr>
          <w:p w14:paraId="0929F040">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昆明市官渡区东风东路262号</w:t>
            </w:r>
          </w:p>
        </w:tc>
        <w:tc>
          <w:tcPr>
            <w:tcW w:w="2717" w:type="dxa"/>
            <w:noWrap w:val="0"/>
            <w:tcMar>
              <w:top w:w="15" w:type="dxa"/>
              <w:left w:w="15" w:type="dxa"/>
              <w:right w:w="15" w:type="dxa"/>
            </w:tcMar>
            <w:vAlign w:val="center"/>
          </w:tcPr>
          <w:p w14:paraId="2377B67C">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云昆官安经字【2019】0020　　发证：2019-3-11</w:t>
            </w:r>
          </w:p>
        </w:tc>
        <w:tc>
          <w:tcPr>
            <w:tcW w:w="840" w:type="dxa"/>
            <w:noWrap/>
            <w:tcMar>
              <w:top w:w="15" w:type="dxa"/>
              <w:left w:w="15" w:type="dxa"/>
              <w:right w:w="15" w:type="dxa"/>
            </w:tcMar>
            <w:vAlign w:val="center"/>
          </w:tcPr>
          <w:p w14:paraId="50418650">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三级</w:t>
            </w:r>
          </w:p>
        </w:tc>
        <w:tc>
          <w:tcPr>
            <w:tcW w:w="2160" w:type="dxa"/>
            <w:noWrap/>
            <w:tcMar>
              <w:top w:w="15" w:type="dxa"/>
              <w:left w:w="15" w:type="dxa"/>
              <w:right w:w="15" w:type="dxa"/>
            </w:tcMar>
            <w:vAlign w:val="center"/>
          </w:tcPr>
          <w:p w14:paraId="6FC7E61B">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3个，90</w:t>
            </w:r>
          </w:p>
        </w:tc>
        <w:tc>
          <w:tcPr>
            <w:tcW w:w="1856" w:type="dxa"/>
            <w:noWrap/>
            <w:tcMar>
              <w:top w:w="15" w:type="dxa"/>
              <w:left w:w="15" w:type="dxa"/>
              <w:right w:w="15" w:type="dxa"/>
            </w:tcMar>
            <w:vAlign w:val="center"/>
          </w:tcPr>
          <w:p w14:paraId="2937AD42">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无</w:t>
            </w:r>
          </w:p>
        </w:tc>
        <w:tc>
          <w:tcPr>
            <w:tcW w:w="1130" w:type="dxa"/>
            <w:noWrap w:val="0"/>
            <w:tcMar>
              <w:top w:w="15" w:type="dxa"/>
              <w:left w:w="15" w:type="dxa"/>
              <w:right w:w="15" w:type="dxa"/>
            </w:tcMar>
            <w:vAlign w:val="center"/>
          </w:tcPr>
          <w:p w14:paraId="1652C3D9">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吴森</w:t>
            </w:r>
          </w:p>
        </w:tc>
        <w:tc>
          <w:tcPr>
            <w:tcW w:w="1740" w:type="dxa"/>
            <w:vMerge w:val="restart"/>
            <w:noWrap w:val="0"/>
            <w:tcMar>
              <w:top w:w="15" w:type="dxa"/>
              <w:left w:w="15" w:type="dxa"/>
              <w:right w:w="15" w:type="dxa"/>
            </w:tcMar>
            <w:vAlign w:val="center"/>
          </w:tcPr>
          <w:p w14:paraId="606267FC">
            <w:pPr>
              <w:widowControl/>
              <w:spacing w:line="560" w:lineRule="exact"/>
              <w:jc w:val="center"/>
              <w:textAlignment w:val="center"/>
              <w:rPr>
                <w:rFonts w:ascii="Times New Roman" w:hAnsi="Times New Roman" w:eastAsia="仿宋_GB2312"/>
                <w:color w:val="FF0000"/>
                <w:sz w:val="20"/>
                <w:szCs w:val="20"/>
              </w:rPr>
            </w:pPr>
            <w:r>
              <w:rPr>
                <w:rFonts w:ascii="Times New Roman" w:hAnsi="Times New Roman" w:eastAsia="仿宋_GB2312"/>
                <w:color w:val="000000"/>
                <w:kern w:val="0"/>
                <w:sz w:val="20"/>
                <w:szCs w:val="20"/>
                <w:lang w:bidi="ar"/>
              </w:rPr>
              <w:t>袁国伟：13888822129   高经理：13888026430 QQ:1141230341　</w:t>
            </w:r>
          </w:p>
        </w:tc>
      </w:tr>
      <w:tr w14:paraId="5CF39D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379" w:type="dxa"/>
            <w:noWrap/>
            <w:tcMar>
              <w:top w:w="15" w:type="dxa"/>
              <w:left w:w="15" w:type="dxa"/>
              <w:right w:w="15" w:type="dxa"/>
            </w:tcMar>
            <w:vAlign w:val="center"/>
          </w:tcPr>
          <w:p w14:paraId="6D1A89FF">
            <w:pPr>
              <w:widowControl/>
              <w:spacing w:line="560" w:lineRule="exact"/>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lang w:bidi="ar"/>
              </w:rPr>
              <w:t>7</w:t>
            </w:r>
          </w:p>
        </w:tc>
        <w:tc>
          <w:tcPr>
            <w:tcW w:w="2430" w:type="dxa"/>
            <w:noWrap w:val="0"/>
            <w:tcMar>
              <w:top w:w="15" w:type="dxa"/>
              <w:left w:w="15" w:type="dxa"/>
              <w:right w:w="15" w:type="dxa"/>
            </w:tcMar>
            <w:vAlign w:val="center"/>
          </w:tcPr>
          <w:p w14:paraId="06F91FEF">
            <w:pPr>
              <w:widowControl/>
              <w:spacing w:line="560" w:lineRule="exact"/>
              <w:jc w:val="center"/>
              <w:textAlignment w:val="center"/>
              <w:rPr>
                <w:rFonts w:ascii="Times New Roman" w:hAnsi="Times New Roman" w:eastAsia="仿宋_GB2312"/>
                <w:color w:val="000000"/>
                <w:sz w:val="22"/>
                <w:szCs w:val="22"/>
              </w:rPr>
            </w:pPr>
            <w:r>
              <w:rPr>
                <w:rFonts w:ascii="Times New Roman" w:hAnsi="Times New Roman" w:eastAsia="仿宋_GB2312"/>
                <w:color w:val="000000"/>
                <w:kern w:val="0"/>
                <w:sz w:val="22"/>
                <w:szCs w:val="22"/>
                <w:lang w:bidi="ar"/>
              </w:rPr>
              <w:t>中国石化销售股份有限公司云南</w:t>
            </w:r>
            <w:r>
              <w:rPr>
                <w:rFonts w:ascii="Times New Roman" w:hAnsi="Times New Roman" w:eastAsia="仿宋_GB2312"/>
                <w:b/>
                <w:color w:val="000000"/>
                <w:kern w:val="0"/>
                <w:sz w:val="22"/>
                <w:szCs w:val="22"/>
                <w:lang w:bidi="ar"/>
              </w:rPr>
              <w:t>昆明官渡双龙桥加油站</w:t>
            </w:r>
          </w:p>
        </w:tc>
        <w:tc>
          <w:tcPr>
            <w:tcW w:w="1633" w:type="dxa"/>
            <w:noWrap w:val="0"/>
            <w:tcMar>
              <w:top w:w="15" w:type="dxa"/>
              <w:left w:w="15" w:type="dxa"/>
              <w:right w:w="15" w:type="dxa"/>
            </w:tcMar>
            <w:vAlign w:val="center"/>
          </w:tcPr>
          <w:p w14:paraId="2A75F604">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昆明市官渡区环城南路8号</w:t>
            </w:r>
          </w:p>
        </w:tc>
        <w:tc>
          <w:tcPr>
            <w:tcW w:w="2717" w:type="dxa"/>
            <w:noWrap w:val="0"/>
            <w:tcMar>
              <w:top w:w="15" w:type="dxa"/>
              <w:left w:w="15" w:type="dxa"/>
              <w:right w:w="15" w:type="dxa"/>
            </w:tcMar>
            <w:vAlign w:val="center"/>
          </w:tcPr>
          <w:p w14:paraId="1417A468">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云昆官安经字</w:t>
            </w:r>
            <w:r>
              <w:rPr>
                <w:rFonts w:ascii="Times New Roman" w:hAnsi="Times New Roman" w:eastAsia="仿宋_GB2312"/>
                <w:color w:val="000000"/>
                <w:kern w:val="0"/>
                <w:sz w:val="20"/>
                <w:szCs w:val="20"/>
                <w:lang w:bidi="ar"/>
              </w:rPr>
              <w:br w:type="textWrapping"/>
            </w:r>
            <w:r>
              <w:rPr>
                <w:rFonts w:ascii="Times New Roman" w:hAnsi="Times New Roman" w:eastAsia="仿宋_GB2312"/>
                <w:color w:val="000000"/>
                <w:kern w:val="0"/>
                <w:sz w:val="20"/>
                <w:szCs w:val="20"/>
                <w:lang w:bidi="ar"/>
              </w:rPr>
              <w:t xml:space="preserve">[2018]0040发证：2018.8.13-2021.8.12  </w:t>
            </w:r>
          </w:p>
        </w:tc>
        <w:tc>
          <w:tcPr>
            <w:tcW w:w="840" w:type="dxa"/>
            <w:noWrap/>
            <w:tcMar>
              <w:top w:w="15" w:type="dxa"/>
              <w:left w:w="15" w:type="dxa"/>
              <w:right w:w="15" w:type="dxa"/>
            </w:tcMar>
            <w:vAlign w:val="center"/>
          </w:tcPr>
          <w:p w14:paraId="2211DE0A">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三级</w:t>
            </w:r>
          </w:p>
        </w:tc>
        <w:tc>
          <w:tcPr>
            <w:tcW w:w="2160" w:type="dxa"/>
            <w:noWrap/>
            <w:tcMar>
              <w:top w:w="15" w:type="dxa"/>
              <w:left w:w="15" w:type="dxa"/>
              <w:right w:w="15" w:type="dxa"/>
            </w:tcMar>
            <w:vAlign w:val="center"/>
          </w:tcPr>
          <w:p w14:paraId="2C135852">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3个，60</w:t>
            </w:r>
          </w:p>
        </w:tc>
        <w:tc>
          <w:tcPr>
            <w:tcW w:w="1856" w:type="dxa"/>
            <w:noWrap/>
            <w:tcMar>
              <w:top w:w="15" w:type="dxa"/>
              <w:left w:w="15" w:type="dxa"/>
              <w:right w:w="15" w:type="dxa"/>
            </w:tcMar>
            <w:vAlign w:val="center"/>
          </w:tcPr>
          <w:p w14:paraId="2C355C11">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无</w:t>
            </w:r>
          </w:p>
        </w:tc>
        <w:tc>
          <w:tcPr>
            <w:tcW w:w="1130" w:type="dxa"/>
            <w:noWrap w:val="0"/>
            <w:tcMar>
              <w:top w:w="15" w:type="dxa"/>
              <w:left w:w="15" w:type="dxa"/>
              <w:right w:w="15" w:type="dxa"/>
            </w:tcMar>
            <w:vAlign w:val="center"/>
          </w:tcPr>
          <w:p w14:paraId="4E25E4F9">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吴森</w:t>
            </w:r>
          </w:p>
        </w:tc>
        <w:tc>
          <w:tcPr>
            <w:tcW w:w="1740" w:type="dxa"/>
            <w:vMerge w:val="continue"/>
            <w:noWrap w:val="0"/>
            <w:tcMar>
              <w:top w:w="15" w:type="dxa"/>
              <w:left w:w="15" w:type="dxa"/>
              <w:right w:w="15" w:type="dxa"/>
            </w:tcMar>
            <w:vAlign w:val="center"/>
          </w:tcPr>
          <w:p w14:paraId="4AEC9BC0">
            <w:pPr>
              <w:spacing w:line="560" w:lineRule="exact"/>
              <w:jc w:val="center"/>
              <w:rPr>
                <w:rFonts w:ascii="Times New Roman" w:hAnsi="Times New Roman" w:eastAsia="仿宋_GB2312"/>
                <w:color w:val="FF0000"/>
                <w:sz w:val="20"/>
                <w:szCs w:val="20"/>
              </w:rPr>
            </w:pPr>
          </w:p>
        </w:tc>
      </w:tr>
      <w:tr w14:paraId="3793FC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trPr>
        <w:tc>
          <w:tcPr>
            <w:tcW w:w="379" w:type="dxa"/>
            <w:noWrap/>
            <w:tcMar>
              <w:top w:w="15" w:type="dxa"/>
              <w:left w:w="15" w:type="dxa"/>
              <w:right w:w="15" w:type="dxa"/>
            </w:tcMar>
            <w:vAlign w:val="center"/>
          </w:tcPr>
          <w:p w14:paraId="34AC7958">
            <w:pPr>
              <w:widowControl/>
              <w:spacing w:line="560" w:lineRule="exact"/>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lang w:bidi="ar"/>
              </w:rPr>
              <w:t>8</w:t>
            </w:r>
          </w:p>
        </w:tc>
        <w:tc>
          <w:tcPr>
            <w:tcW w:w="2430" w:type="dxa"/>
            <w:noWrap w:val="0"/>
            <w:tcMar>
              <w:top w:w="15" w:type="dxa"/>
              <w:left w:w="15" w:type="dxa"/>
              <w:right w:w="15" w:type="dxa"/>
            </w:tcMar>
            <w:vAlign w:val="center"/>
          </w:tcPr>
          <w:p w14:paraId="142E0BCC">
            <w:pPr>
              <w:widowControl/>
              <w:spacing w:line="560" w:lineRule="exact"/>
              <w:jc w:val="center"/>
              <w:textAlignment w:val="center"/>
              <w:rPr>
                <w:rFonts w:ascii="Times New Roman" w:hAnsi="Times New Roman" w:eastAsia="仿宋_GB2312"/>
                <w:color w:val="000000"/>
                <w:sz w:val="22"/>
                <w:szCs w:val="22"/>
              </w:rPr>
            </w:pPr>
            <w:r>
              <w:rPr>
                <w:rFonts w:ascii="Times New Roman" w:hAnsi="Times New Roman" w:eastAsia="仿宋_GB2312"/>
                <w:color w:val="000000"/>
                <w:kern w:val="0"/>
                <w:sz w:val="22"/>
                <w:szCs w:val="22"/>
                <w:lang w:bidi="ar"/>
              </w:rPr>
              <w:t>中国石化销售股份有限公司云南</w:t>
            </w:r>
            <w:r>
              <w:rPr>
                <w:rFonts w:ascii="Times New Roman" w:hAnsi="Times New Roman" w:eastAsia="仿宋_GB2312"/>
                <w:b/>
                <w:color w:val="000000"/>
                <w:kern w:val="0"/>
                <w:sz w:val="22"/>
                <w:szCs w:val="22"/>
                <w:lang w:bidi="ar"/>
              </w:rPr>
              <w:t>昆明高楼房加油站</w:t>
            </w:r>
          </w:p>
        </w:tc>
        <w:tc>
          <w:tcPr>
            <w:tcW w:w="1633" w:type="dxa"/>
            <w:noWrap w:val="0"/>
            <w:tcMar>
              <w:top w:w="15" w:type="dxa"/>
              <w:left w:w="15" w:type="dxa"/>
              <w:right w:w="15" w:type="dxa"/>
            </w:tcMar>
            <w:vAlign w:val="center"/>
          </w:tcPr>
          <w:p w14:paraId="1AA23944">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昆明市东绕城路南端服务区公路南侧</w:t>
            </w:r>
          </w:p>
        </w:tc>
        <w:tc>
          <w:tcPr>
            <w:tcW w:w="2717" w:type="dxa"/>
            <w:noWrap w:val="0"/>
            <w:tcMar>
              <w:top w:w="15" w:type="dxa"/>
              <w:left w:w="15" w:type="dxa"/>
              <w:right w:w="15" w:type="dxa"/>
            </w:tcMar>
            <w:vAlign w:val="center"/>
          </w:tcPr>
          <w:p w14:paraId="53B35E76">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云昆官安经字</w:t>
            </w:r>
            <w:r>
              <w:rPr>
                <w:rFonts w:ascii="Times New Roman" w:hAnsi="Times New Roman" w:eastAsia="仿宋_GB2312"/>
                <w:color w:val="000000"/>
                <w:kern w:val="0"/>
                <w:sz w:val="20"/>
                <w:szCs w:val="20"/>
                <w:lang w:bidi="ar"/>
              </w:rPr>
              <w:br w:type="textWrapping"/>
            </w:r>
            <w:r>
              <w:rPr>
                <w:rFonts w:ascii="Times New Roman" w:hAnsi="Times New Roman" w:eastAsia="仿宋_GB2312"/>
                <w:color w:val="000000"/>
                <w:kern w:val="0"/>
                <w:sz w:val="20"/>
                <w:szCs w:val="20"/>
                <w:lang w:bidi="ar"/>
              </w:rPr>
              <w:t xml:space="preserve">[2018]0035发证：2018.8.13-2021.8.12   </w:t>
            </w:r>
          </w:p>
        </w:tc>
        <w:tc>
          <w:tcPr>
            <w:tcW w:w="840" w:type="dxa"/>
            <w:noWrap/>
            <w:tcMar>
              <w:top w:w="15" w:type="dxa"/>
              <w:left w:w="15" w:type="dxa"/>
              <w:right w:w="15" w:type="dxa"/>
            </w:tcMar>
            <w:vAlign w:val="center"/>
          </w:tcPr>
          <w:p w14:paraId="24791B92">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二级</w:t>
            </w:r>
          </w:p>
        </w:tc>
        <w:tc>
          <w:tcPr>
            <w:tcW w:w="2160" w:type="dxa"/>
            <w:noWrap/>
            <w:tcMar>
              <w:top w:w="15" w:type="dxa"/>
              <w:left w:w="15" w:type="dxa"/>
              <w:right w:w="15" w:type="dxa"/>
            </w:tcMar>
            <w:vAlign w:val="center"/>
          </w:tcPr>
          <w:p w14:paraId="3EE9B50A">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2个，60</w:t>
            </w:r>
          </w:p>
        </w:tc>
        <w:tc>
          <w:tcPr>
            <w:tcW w:w="1856" w:type="dxa"/>
            <w:noWrap/>
            <w:tcMar>
              <w:top w:w="15" w:type="dxa"/>
              <w:left w:w="15" w:type="dxa"/>
              <w:right w:w="15" w:type="dxa"/>
            </w:tcMar>
            <w:vAlign w:val="center"/>
          </w:tcPr>
          <w:p w14:paraId="191ADE9A">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2个，80</w:t>
            </w:r>
          </w:p>
        </w:tc>
        <w:tc>
          <w:tcPr>
            <w:tcW w:w="1130" w:type="dxa"/>
            <w:noWrap w:val="0"/>
            <w:tcMar>
              <w:top w:w="15" w:type="dxa"/>
              <w:left w:w="15" w:type="dxa"/>
              <w:right w:w="15" w:type="dxa"/>
            </w:tcMar>
            <w:vAlign w:val="center"/>
          </w:tcPr>
          <w:p w14:paraId="3108A786">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吴森</w:t>
            </w:r>
          </w:p>
        </w:tc>
        <w:tc>
          <w:tcPr>
            <w:tcW w:w="1740" w:type="dxa"/>
            <w:vMerge w:val="continue"/>
            <w:noWrap w:val="0"/>
            <w:tcMar>
              <w:top w:w="15" w:type="dxa"/>
              <w:left w:w="15" w:type="dxa"/>
              <w:right w:w="15" w:type="dxa"/>
            </w:tcMar>
            <w:vAlign w:val="center"/>
          </w:tcPr>
          <w:p w14:paraId="653136A7">
            <w:pPr>
              <w:spacing w:line="560" w:lineRule="exact"/>
              <w:jc w:val="center"/>
              <w:rPr>
                <w:rFonts w:ascii="Times New Roman" w:hAnsi="Times New Roman" w:eastAsia="仿宋_GB2312"/>
                <w:color w:val="FF0000"/>
                <w:sz w:val="20"/>
                <w:szCs w:val="20"/>
              </w:rPr>
            </w:pPr>
          </w:p>
        </w:tc>
      </w:tr>
      <w:tr w14:paraId="255EC9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trPr>
        <w:tc>
          <w:tcPr>
            <w:tcW w:w="379" w:type="dxa"/>
            <w:noWrap/>
            <w:tcMar>
              <w:top w:w="15" w:type="dxa"/>
              <w:left w:w="15" w:type="dxa"/>
              <w:right w:w="15" w:type="dxa"/>
            </w:tcMar>
            <w:vAlign w:val="center"/>
          </w:tcPr>
          <w:p w14:paraId="7A2B9093">
            <w:pPr>
              <w:widowControl/>
              <w:spacing w:line="560" w:lineRule="exact"/>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lang w:bidi="ar"/>
              </w:rPr>
              <w:t>9</w:t>
            </w:r>
          </w:p>
        </w:tc>
        <w:tc>
          <w:tcPr>
            <w:tcW w:w="2430" w:type="dxa"/>
            <w:noWrap w:val="0"/>
            <w:tcMar>
              <w:top w:w="15" w:type="dxa"/>
              <w:left w:w="15" w:type="dxa"/>
              <w:right w:w="15" w:type="dxa"/>
            </w:tcMar>
            <w:vAlign w:val="center"/>
          </w:tcPr>
          <w:p w14:paraId="37C15E25">
            <w:pPr>
              <w:widowControl/>
              <w:spacing w:line="560" w:lineRule="exact"/>
              <w:jc w:val="center"/>
              <w:textAlignment w:val="center"/>
              <w:rPr>
                <w:rFonts w:ascii="Times New Roman" w:hAnsi="Times New Roman" w:eastAsia="仿宋_GB2312"/>
                <w:color w:val="000000"/>
                <w:sz w:val="22"/>
                <w:szCs w:val="22"/>
              </w:rPr>
            </w:pPr>
            <w:r>
              <w:rPr>
                <w:rFonts w:ascii="Times New Roman" w:hAnsi="Times New Roman" w:eastAsia="仿宋_GB2312"/>
                <w:color w:val="000000"/>
                <w:kern w:val="0"/>
                <w:sz w:val="22"/>
                <w:szCs w:val="22"/>
                <w:lang w:bidi="ar"/>
              </w:rPr>
              <w:t>中国石化销售股份有限公司云南</w:t>
            </w:r>
            <w:r>
              <w:rPr>
                <w:rFonts w:ascii="Times New Roman" w:hAnsi="Times New Roman" w:eastAsia="仿宋_GB2312"/>
                <w:b/>
                <w:color w:val="000000"/>
                <w:kern w:val="0"/>
                <w:sz w:val="22"/>
                <w:szCs w:val="22"/>
                <w:lang w:bidi="ar"/>
              </w:rPr>
              <w:t>昆明南坝加油站</w:t>
            </w:r>
          </w:p>
        </w:tc>
        <w:tc>
          <w:tcPr>
            <w:tcW w:w="1633" w:type="dxa"/>
            <w:noWrap w:val="0"/>
            <w:tcMar>
              <w:top w:w="15" w:type="dxa"/>
              <w:left w:w="15" w:type="dxa"/>
              <w:right w:w="15" w:type="dxa"/>
            </w:tcMar>
            <w:vAlign w:val="center"/>
          </w:tcPr>
          <w:p w14:paraId="0F690914">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云南省昆明市官渡区官南大道176号</w:t>
            </w:r>
          </w:p>
        </w:tc>
        <w:tc>
          <w:tcPr>
            <w:tcW w:w="2717" w:type="dxa"/>
            <w:noWrap w:val="0"/>
            <w:tcMar>
              <w:top w:w="15" w:type="dxa"/>
              <w:left w:w="15" w:type="dxa"/>
              <w:right w:w="15" w:type="dxa"/>
            </w:tcMar>
            <w:vAlign w:val="center"/>
          </w:tcPr>
          <w:p w14:paraId="0C7B8A71">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云昆官安经字</w:t>
            </w:r>
            <w:r>
              <w:rPr>
                <w:rFonts w:ascii="Times New Roman" w:hAnsi="Times New Roman" w:eastAsia="仿宋_GB2312"/>
                <w:color w:val="000000"/>
                <w:kern w:val="0"/>
                <w:sz w:val="20"/>
                <w:szCs w:val="20"/>
                <w:lang w:bidi="ar"/>
              </w:rPr>
              <w:br w:type="textWrapping"/>
            </w:r>
            <w:r>
              <w:rPr>
                <w:rFonts w:ascii="Times New Roman" w:hAnsi="Times New Roman" w:eastAsia="仿宋_GB2312"/>
                <w:color w:val="000000"/>
                <w:kern w:val="0"/>
                <w:sz w:val="20"/>
                <w:szCs w:val="20"/>
                <w:lang w:bidi="ar"/>
              </w:rPr>
              <w:t xml:space="preserve">[2018]0038发证：2018.8.13-2021.8.12   </w:t>
            </w:r>
          </w:p>
        </w:tc>
        <w:tc>
          <w:tcPr>
            <w:tcW w:w="840" w:type="dxa"/>
            <w:noWrap/>
            <w:tcMar>
              <w:top w:w="15" w:type="dxa"/>
              <w:left w:w="15" w:type="dxa"/>
              <w:right w:w="15" w:type="dxa"/>
            </w:tcMar>
            <w:vAlign w:val="center"/>
          </w:tcPr>
          <w:p w14:paraId="7FB086A2">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三级</w:t>
            </w:r>
          </w:p>
        </w:tc>
        <w:tc>
          <w:tcPr>
            <w:tcW w:w="2160" w:type="dxa"/>
            <w:noWrap/>
            <w:tcMar>
              <w:top w:w="15" w:type="dxa"/>
              <w:left w:w="15" w:type="dxa"/>
              <w:right w:w="15" w:type="dxa"/>
            </w:tcMar>
            <w:vAlign w:val="center"/>
          </w:tcPr>
          <w:p w14:paraId="5B9D0418">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2个，40</w:t>
            </w:r>
          </w:p>
        </w:tc>
        <w:tc>
          <w:tcPr>
            <w:tcW w:w="1856" w:type="dxa"/>
            <w:noWrap/>
            <w:tcMar>
              <w:top w:w="15" w:type="dxa"/>
              <w:left w:w="15" w:type="dxa"/>
              <w:right w:w="15" w:type="dxa"/>
            </w:tcMar>
            <w:vAlign w:val="center"/>
          </w:tcPr>
          <w:p w14:paraId="35D01AEA">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2个，60</w:t>
            </w:r>
          </w:p>
        </w:tc>
        <w:tc>
          <w:tcPr>
            <w:tcW w:w="1130" w:type="dxa"/>
            <w:noWrap w:val="0"/>
            <w:tcMar>
              <w:top w:w="15" w:type="dxa"/>
              <w:left w:w="15" w:type="dxa"/>
              <w:right w:w="15" w:type="dxa"/>
            </w:tcMar>
            <w:vAlign w:val="center"/>
          </w:tcPr>
          <w:p w14:paraId="3B57CC62">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吴森</w:t>
            </w:r>
          </w:p>
        </w:tc>
        <w:tc>
          <w:tcPr>
            <w:tcW w:w="1740" w:type="dxa"/>
            <w:vMerge w:val="continue"/>
            <w:noWrap w:val="0"/>
            <w:tcMar>
              <w:top w:w="15" w:type="dxa"/>
              <w:left w:w="15" w:type="dxa"/>
              <w:right w:w="15" w:type="dxa"/>
            </w:tcMar>
            <w:vAlign w:val="center"/>
          </w:tcPr>
          <w:p w14:paraId="4EC15527">
            <w:pPr>
              <w:spacing w:line="560" w:lineRule="exact"/>
              <w:jc w:val="center"/>
              <w:rPr>
                <w:rFonts w:ascii="Times New Roman" w:hAnsi="Times New Roman" w:eastAsia="仿宋_GB2312"/>
                <w:color w:val="FF0000"/>
                <w:sz w:val="20"/>
                <w:szCs w:val="20"/>
              </w:rPr>
            </w:pPr>
          </w:p>
        </w:tc>
      </w:tr>
      <w:tr w14:paraId="00CD78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379" w:type="dxa"/>
            <w:noWrap/>
            <w:tcMar>
              <w:top w:w="15" w:type="dxa"/>
              <w:left w:w="15" w:type="dxa"/>
              <w:right w:w="15" w:type="dxa"/>
            </w:tcMar>
            <w:vAlign w:val="center"/>
          </w:tcPr>
          <w:p w14:paraId="5C3226D7">
            <w:pPr>
              <w:widowControl/>
              <w:spacing w:line="560" w:lineRule="exact"/>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lang w:bidi="ar"/>
              </w:rPr>
              <w:t>10</w:t>
            </w:r>
          </w:p>
        </w:tc>
        <w:tc>
          <w:tcPr>
            <w:tcW w:w="2430" w:type="dxa"/>
            <w:noWrap w:val="0"/>
            <w:tcMar>
              <w:top w:w="15" w:type="dxa"/>
              <w:left w:w="15" w:type="dxa"/>
              <w:right w:w="15" w:type="dxa"/>
            </w:tcMar>
            <w:vAlign w:val="center"/>
          </w:tcPr>
          <w:p w14:paraId="44D5DAE7">
            <w:pPr>
              <w:widowControl/>
              <w:spacing w:line="560" w:lineRule="exact"/>
              <w:jc w:val="center"/>
              <w:textAlignment w:val="center"/>
              <w:rPr>
                <w:rFonts w:ascii="Times New Roman" w:hAnsi="Times New Roman" w:eastAsia="仿宋_GB2312"/>
                <w:color w:val="000000"/>
                <w:sz w:val="22"/>
                <w:szCs w:val="22"/>
              </w:rPr>
            </w:pPr>
            <w:r>
              <w:rPr>
                <w:rFonts w:ascii="Times New Roman" w:hAnsi="Times New Roman" w:eastAsia="仿宋_GB2312"/>
                <w:color w:val="000000"/>
                <w:kern w:val="0"/>
                <w:sz w:val="22"/>
                <w:szCs w:val="22"/>
                <w:lang w:bidi="ar"/>
              </w:rPr>
              <w:t>中国石化销售股份有限公司云南</w:t>
            </w:r>
            <w:r>
              <w:rPr>
                <w:rFonts w:ascii="Times New Roman" w:hAnsi="Times New Roman" w:eastAsia="仿宋_GB2312"/>
                <w:b/>
                <w:color w:val="000000"/>
                <w:kern w:val="0"/>
                <w:sz w:val="22"/>
                <w:szCs w:val="22"/>
                <w:lang w:bidi="ar"/>
              </w:rPr>
              <w:t>昆明石虎关加油站A</w:t>
            </w:r>
          </w:p>
        </w:tc>
        <w:tc>
          <w:tcPr>
            <w:tcW w:w="1633" w:type="dxa"/>
            <w:noWrap w:val="0"/>
            <w:tcMar>
              <w:top w:w="15" w:type="dxa"/>
              <w:left w:w="15" w:type="dxa"/>
              <w:right w:w="15" w:type="dxa"/>
            </w:tcMar>
            <w:vAlign w:val="center"/>
          </w:tcPr>
          <w:p w14:paraId="6959903E">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昆明市官渡区新昆石高速公路石虎关段</w:t>
            </w:r>
          </w:p>
        </w:tc>
        <w:tc>
          <w:tcPr>
            <w:tcW w:w="2717" w:type="dxa"/>
            <w:noWrap w:val="0"/>
            <w:tcMar>
              <w:top w:w="15" w:type="dxa"/>
              <w:left w:w="15" w:type="dxa"/>
              <w:right w:w="15" w:type="dxa"/>
            </w:tcMar>
            <w:vAlign w:val="center"/>
          </w:tcPr>
          <w:p w14:paraId="7B0411C3">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云昆官安经字【2019】0018　　　发证：2019-3-11</w:t>
            </w:r>
          </w:p>
        </w:tc>
        <w:tc>
          <w:tcPr>
            <w:tcW w:w="840" w:type="dxa"/>
            <w:noWrap/>
            <w:tcMar>
              <w:top w:w="15" w:type="dxa"/>
              <w:left w:w="15" w:type="dxa"/>
              <w:right w:w="15" w:type="dxa"/>
            </w:tcMar>
            <w:vAlign w:val="center"/>
          </w:tcPr>
          <w:p w14:paraId="798157F3">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一级</w:t>
            </w:r>
          </w:p>
        </w:tc>
        <w:tc>
          <w:tcPr>
            <w:tcW w:w="2160" w:type="dxa"/>
            <w:noWrap/>
            <w:tcMar>
              <w:top w:w="15" w:type="dxa"/>
              <w:left w:w="15" w:type="dxa"/>
              <w:right w:w="15" w:type="dxa"/>
            </w:tcMar>
            <w:vAlign w:val="center"/>
          </w:tcPr>
          <w:p w14:paraId="78D5138A">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3个，110</w:t>
            </w:r>
          </w:p>
        </w:tc>
        <w:tc>
          <w:tcPr>
            <w:tcW w:w="1856" w:type="dxa"/>
            <w:noWrap/>
            <w:tcMar>
              <w:top w:w="15" w:type="dxa"/>
              <w:left w:w="15" w:type="dxa"/>
              <w:right w:w="15" w:type="dxa"/>
            </w:tcMar>
            <w:vAlign w:val="center"/>
          </w:tcPr>
          <w:p w14:paraId="76A2C456">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2个，100</w:t>
            </w:r>
          </w:p>
        </w:tc>
        <w:tc>
          <w:tcPr>
            <w:tcW w:w="1130" w:type="dxa"/>
            <w:noWrap w:val="0"/>
            <w:tcMar>
              <w:top w:w="15" w:type="dxa"/>
              <w:left w:w="15" w:type="dxa"/>
              <w:right w:w="15" w:type="dxa"/>
            </w:tcMar>
            <w:vAlign w:val="center"/>
          </w:tcPr>
          <w:p w14:paraId="140AB292">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吴森</w:t>
            </w:r>
          </w:p>
        </w:tc>
        <w:tc>
          <w:tcPr>
            <w:tcW w:w="1740" w:type="dxa"/>
            <w:vMerge w:val="continue"/>
            <w:noWrap w:val="0"/>
            <w:tcMar>
              <w:top w:w="15" w:type="dxa"/>
              <w:left w:w="15" w:type="dxa"/>
              <w:right w:w="15" w:type="dxa"/>
            </w:tcMar>
            <w:vAlign w:val="center"/>
          </w:tcPr>
          <w:p w14:paraId="21B7A845">
            <w:pPr>
              <w:spacing w:line="560" w:lineRule="exact"/>
              <w:jc w:val="center"/>
              <w:rPr>
                <w:rFonts w:ascii="Times New Roman" w:hAnsi="Times New Roman" w:eastAsia="仿宋_GB2312"/>
                <w:color w:val="FF0000"/>
                <w:sz w:val="20"/>
                <w:szCs w:val="20"/>
              </w:rPr>
            </w:pPr>
          </w:p>
        </w:tc>
      </w:tr>
      <w:tr w14:paraId="1AD0DC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379" w:type="dxa"/>
            <w:noWrap/>
            <w:tcMar>
              <w:top w:w="15" w:type="dxa"/>
              <w:left w:w="15" w:type="dxa"/>
              <w:right w:w="15" w:type="dxa"/>
            </w:tcMar>
            <w:vAlign w:val="center"/>
          </w:tcPr>
          <w:p w14:paraId="0AF6F2BB">
            <w:pPr>
              <w:widowControl/>
              <w:spacing w:line="560" w:lineRule="exact"/>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lang w:bidi="ar"/>
              </w:rPr>
              <w:t>11</w:t>
            </w:r>
          </w:p>
        </w:tc>
        <w:tc>
          <w:tcPr>
            <w:tcW w:w="2430" w:type="dxa"/>
            <w:noWrap w:val="0"/>
            <w:tcMar>
              <w:top w:w="15" w:type="dxa"/>
              <w:left w:w="15" w:type="dxa"/>
              <w:right w:w="15" w:type="dxa"/>
            </w:tcMar>
            <w:vAlign w:val="center"/>
          </w:tcPr>
          <w:p w14:paraId="169DB17B">
            <w:pPr>
              <w:widowControl/>
              <w:spacing w:line="560" w:lineRule="exact"/>
              <w:jc w:val="center"/>
              <w:textAlignment w:val="center"/>
              <w:rPr>
                <w:rFonts w:ascii="Times New Roman" w:hAnsi="Times New Roman" w:eastAsia="仿宋_GB2312"/>
                <w:color w:val="000000"/>
                <w:sz w:val="22"/>
                <w:szCs w:val="22"/>
              </w:rPr>
            </w:pPr>
            <w:r>
              <w:rPr>
                <w:rFonts w:ascii="Times New Roman" w:hAnsi="Times New Roman" w:eastAsia="仿宋_GB2312"/>
                <w:color w:val="000000"/>
                <w:kern w:val="0"/>
                <w:sz w:val="22"/>
                <w:szCs w:val="22"/>
                <w:lang w:bidi="ar"/>
              </w:rPr>
              <w:t>中国石化销售股份有限公司云南</w:t>
            </w:r>
            <w:r>
              <w:rPr>
                <w:rFonts w:ascii="Times New Roman" w:hAnsi="Times New Roman" w:eastAsia="仿宋_GB2312"/>
                <w:b/>
                <w:color w:val="000000"/>
                <w:kern w:val="0"/>
                <w:sz w:val="22"/>
                <w:szCs w:val="22"/>
                <w:lang w:bidi="ar"/>
              </w:rPr>
              <w:t>昆明石虎关加油站B</w:t>
            </w:r>
          </w:p>
        </w:tc>
        <w:tc>
          <w:tcPr>
            <w:tcW w:w="1633" w:type="dxa"/>
            <w:noWrap w:val="0"/>
            <w:tcMar>
              <w:top w:w="15" w:type="dxa"/>
              <w:left w:w="15" w:type="dxa"/>
              <w:right w:w="15" w:type="dxa"/>
            </w:tcMar>
            <w:vAlign w:val="center"/>
          </w:tcPr>
          <w:p w14:paraId="04686E81">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昆明市官渡区新昆石高速公路石虎关段</w:t>
            </w:r>
          </w:p>
        </w:tc>
        <w:tc>
          <w:tcPr>
            <w:tcW w:w="2717" w:type="dxa"/>
            <w:noWrap w:val="0"/>
            <w:tcMar>
              <w:top w:w="15" w:type="dxa"/>
              <w:left w:w="15" w:type="dxa"/>
              <w:right w:w="15" w:type="dxa"/>
            </w:tcMar>
            <w:vAlign w:val="center"/>
          </w:tcPr>
          <w:p w14:paraId="143369EF">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云昆官安经字[2019]0069　　　发证：2019-9-23</w:t>
            </w:r>
          </w:p>
        </w:tc>
        <w:tc>
          <w:tcPr>
            <w:tcW w:w="840" w:type="dxa"/>
            <w:noWrap/>
            <w:tcMar>
              <w:top w:w="15" w:type="dxa"/>
              <w:left w:w="15" w:type="dxa"/>
              <w:right w:w="15" w:type="dxa"/>
            </w:tcMar>
            <w:vAlign w:val="center"/>
          </w:tcPr>
          <w:p w14:paraId="4073E1C7">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二级</w:t>
            </w:r>
          </w:p>
        </w:tc>
        <w:tc>
          <w:tcPr>
            <w:tcW w:w="2160" w:type="dxa"/>
            <w:noWrap/>
            <w:tcMar>
              <w:top w:w="15" w:type="dxa"/>
              <w:left w:w="15" w:type="dxa"/>
              <w:right w:w="15" w:type="dxa"/>
            </w:tcMar>
            <w:vAlign w:val="center"/>
          </w:tcPr>
          <w:p w14:paraId="5B91261A">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3个，90</w:t>
            </w:r>
          </w:p>
        </w:tc>
        <w:tc>
          <w:tcPr>
            <w:tcW w:w="1856" w:type="dxa"/>
            <w:noWrap/>
            <w:tcMar>
              <w:top w:w="15" w:type="dxa"/>
              <w:left w:w="15" w:type="dxa"/>
              <w:right w:w="15" w:type="dxa"/>
            </w:tcMar>
            <w:vAlign w:val="center"/>
          </w:tcPr>
          <w:p w14:paraId="524BAE1E">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1个，30</w:t>
            </w:r>
          </w:p>
        </w:tc>
        <w:tc>
          <w:tcPr>
            <w:tcW w:w="1130" w:type="dxa"/>
            <w:noWrap w:val="0"/>
            <w:tcMar>
              <w:top w:w="15" w:type="dxa"/>
              <w:left w:w="15" w:type="dxa"/>
              <w:right w:w="15" w:type="dxa"/>
            </w:tcMar>
            <w:vAlign w:val="center"/>
          </w:tcPr>
          <w:p w14:paraId="54201D33">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吴森</w:t>
            </w:r>
          </w:p>
        </w:tc>
        <w:tc>
          <w:tcPr>
            <w:tcW w:w="1740" w:type="dxa"/>
            <w:vMerge w:val="continue"/>
            <w:noWrap w:val="0"/>
            <w:tcMar>
              <w:top w:w="15" w:type="dxa"/>
              <w:left w:w="15" w:type="dxa"/>
              <w:right w:w="15" w:type="dxa"/>
            </w:tcMar>
            <w:vAlign w:val="center"/>
          </w:tcPr>
          <w:p w14:paraId="57AAB4DA">
            <w:pPr>
              <w:spacing w:line="560" w:lineRule="exact"/>
              <w:jc w:val="center"/>
              <w:rPr>
                <w:rFonts w:ascii="Times New Roman" w:hAnsi="Times New Roman" w:eastAsia="仿宋_GB2312"/>
                <w:color w:val="FF0000"/>
                <w:sz w:val="20"/>
                <w:szCs w:val="20"/>
              </w:rPr>
            </w:pPr>
          </w:p>
        </w:tc>
      </w:tr>
      <w:tr w14:paraId="2987FA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2" w:hRule="atLeast"/>
        </w:trPr>
        <w:tc>
          <w:tcPr>
            <w:tcW w:w="379" w:type="dxa"/>
            <w:noWrap/>
            <w:tcMar>
              <w:top w:w="15" w:type="dxa"/>
              <w:left w:w="15" w:type="dxa"/>
              <w:right w:w="15" w:type="dxa"/>
            </w:tcMar>
            <w:vAlign w:val="center"/>
          </w:tcPr>
          <w:p w14:paraId="4F1FE0CC">
            <w:pPr>
              <w:widowControl/>
              <w:spacing w:line="560" w:lineRule="exact"/>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lang w:bidi="ar"/>
              </w:rPr>
              <w:t>12</w:t>
            </w:r>
          </w:p>
        </w:tc>
        <w:tc>
          <w:tcPr>
            <w:tcW w:w="2430" w:type="dxa"/>
            <w:noWrap w:val="0"/>
            <w:tcMar>
              <w:top w:w="15" w:type="dxa"/>
              <w:left w:w="15" w:type="dxa"/>
              <w:right w:w="15" w:type="dxa"/>
            </w:tcMar>
            <w:vAlign w:val="center"/>
          </w:tcPr>
          <w:p w14:paraId="4291A6BC">
            <w:pPr>
              <w:widowControl/>
              <w:spacing w:line="560" w:lineRule="exact"/>
              <w:jc w:val="center"/>
              <w:textAlignment w:val="center"/>
              <w:rPr>
                <w:rFonts w:ascii="Times New Roman" w:hAnsi="Times New Roman" w:eastAsia="仿宋_GB2312"/>
                <w:color w:val="000000"/>
                <w:sz w:val="22"/>
                <w:szCs w:val="22"/>
              </w:rPr>
            </w:pPr>
            <w:r>
              <w:rPr>
                <w:rFonts w:ascii="Times New Roman" w:hAnsi="Times New Roman" w:eastAsia="仿宋_GB2312"/>
                <w:color w:val="000000"/>
                <w:kern w:val="0"/>
                <w:sz w:val="22"/>
                <w:szCs w:val="22"/>
                <w:lang w:bidi="ar"/>
              </w:rPr>
              <w:t>中国石化销售股份有限公司云南</w:t>
            </w:r>
            <w:r>
              <w:rPr>
                <w:rFonts w:ascii="Times New Roman" w:hAnsi="Times New Roman" w:eastAsia="仿宋_GB2312"/>
                <w:b/>
                <w:color w:val="000000"/>
                <w:kern w:val="0"/>
                <w:sz w:val="22"/>
                <w:szCs w:val="22"/>
                <w:lang w:bidi="ar"/>
              </w:rPr>
              <w:t>昆明神骏加油站</w:t>
            </w:r>
          </w:p>
        </w:tc>
        <w:tc>
          <w:tcPr>
            <w:tcW w:w="1633" w:type="dxa"/>
            <w:noWrap w:val="0"/>
            <w:tcMar>
              <w:top w:w="15" w:type="dxa"/>
              <w:left w:w="15" w:type="dxa"/>
              <w:right w:w="15" w:type="dxa"/>
            </w:tcMar>
            <w:vAlign w:val="center"/>
          </w:tcPr>
          <w:p w14:paraId="6CFA5EFE">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昆明市东二环路621号</w:t>
            </w:r>
          </w:p>
        </w:tc>
        <w:tc>
          <w:tcPr>
            <w:tcW w:w="2717" w:type="dxa"/>
            <w:noWrap w:val="0"/>
            <w:tcMar>
              <w:top w:w="15" w:type="dxa"/>
              <w:left w:w="15" w:type="dxa"/>
              <w:right w:w="15" w:type="dxa"/>
            </w:tcMar>
            <w:vAlign w:val="center"/>
          </w:tcPr>
          <w:p w14:paraId="408AE226">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云昆官安经字</w:t>
            </w:r>
            <w:r>
              <w:rPr>
                <w:rFonts w:ascii="Times New Roman" w:hAnsi="Times New Roman" w:eastAsia="仿宋_GB2312"/>
                <w:color w:val="000000"/>
                <w:kern w:val="0"/>
                <w:sz w:val="20"/>
                <w:szCs w:val="20"/>
                <w:lang w:bidi="ar"/>
              </w:rPr>
              <w:br w:type="textWrapping"/>
            </w:r>
            <w:r>
              <w:rPr>
                <w:rFonts w:ascii="Times New Roman" w:hAnsi="Times New Roman" w:eastAsia="仿宋_GB2312"/>
                <w:color w:val="000000"/>
                <w:kern w:val="0"/>
                <w:sz w:val="20"/>
                <w:szCs w:val="20"/>
                <w:lang w:bidi="ar"/>
              </w:rPr>
              <w:t xml:space="preserve">[2018]0039        2018.8.13-2021.8.12  </w:t>
            </w:r>
          </w:p>
        </w:tc>
        <w:tc>
          <w:tcPr>
            <w:tcW w:w="840" w:type="dxa"/>
            <w:noWrap/>
            <w:tcMar>
              <w:top w:w="15" w:type="dxa"/>
              <w:left w:w="15" w:type="dxa"/>
              <w:right w:w="15" w:type="dxa"/>
            </w:tcMar>
            <w:vAlign w:val="center"/>
          </w:tcPr>
          <w:p w14:paraId="6FDE4D96">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三级</w:t>
            </w:r>
          </w:p>
        </w:tc>
        <w:tc>
          <w:tcPr>
            <w:tcW w:w="2160" w:type="dxa"/>
            <w:noWrap w:val="0"/>
            <w:tcMar>
              <w:top w:w="15" w:type="dxa"/>
              <w:left w:w="15" w:type="dxa"/>
              <w:right w:w="15" w:type="dxa"/>
            </w:tcMar>
            <w:vAlign w:val="center"/>
          </w:tcPr>
          <w:p w14:paraId="5E7EC49C">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3个，75立方米</w:t>
            </w:r>
          </w:p>
        </w:tc>
        <w:tc>
          <w:tcPr>
            <w:tcW w:w="1856" w:type="dxa"/>
            <w:noWrap/>
            <w:tcMar>
              <w:top w:w="15" w:type="dxa"/>
              <w:left w:w="15" w:type="dxa"/>
              <w:right w:w="15" w:type="dxa"/>
            </w:tcMar>
            <w:vAlign w:val="center"/>
          </w:tcPr>
          <w:p w14:paraId="74ABA4E5">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1个，25</w:t>
            </w:r>
          </w:p>
        </w:tc>
        <w:tc>
          <w:tcPr>
            <w:tcW w:w="1130" w:type="dxa"/>
            <w:noWrap w:val="0"/>
            <w:tcMar>
              <w:top w:w="15" w:type="dxa"/>
              <w:left w:w="15" w:type="dxa"/>
              <w:right w:w="15" w:type="dxa"/>
            </w:tcMar>
            <w:vAlign w:val="center"/>
          </w:tcPr>
          <w:p w14:paraId="49DE2891">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吴森</w:t>
            </w:r>
          </w:p>
        </w:tc>
        <w:tc>
          <w:tcPr>
            <w:tcW w:w="1740" w:type="dxa"/>
            <w:vMerge w:val="continue"/>
            <w:noWrap w:val="0"/>
            <w:tcMar>
              <w:top w:w="15" w:type="dxa"/>
              <w:left w:w="15" w:type="dxa"/>
              <w:right w:w="15" w:type="dxa"/>
            </w:tcMar>
            <w:vAlign w:val="center"/>
          </w:tcPr>
          <w:p w14:paraId="57C34B6A">
            <w:pPr>
              <w:spacing w:line="560" w:lineRule="exact"/>
              <w:jc w:val="center"/>
              <w:rPr>
                <w:rFonts w:ascii="Times New Roman" w:hAnsi="Times New Roman" w:eastAsia="仿宋_GB2312"/>
                <w:color w:val="FF0000"/>
                <w:sz w:val="20"/>
                <w:szCs w:val="20"/>
              </w:rPr>
            </w:pPr>
          </w:p>
        </w:tc>
      </w:tr>
      <w:tr w14:paraId="199882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trPr>
        <w:tc>
          <w:tcPr>
            <w:tcW w:w="379" w:type="dxa"/>
            <w:noWrap/>
            <w:tcMar>
              <w:top w:w="15" w:type="dxa"/>
              <w:left w:w="15" w:type="dxa"/>
              <w:right w:w="15" w:type="dxa"/>
            </w:tcMar>
            <w:vAlign w:val="center"/>
          </w:tcPr>
          <w:p w14:paraId="76CAC74D">
            <w:pPr>
              <w:widowControl/>
              <w:spacing w:line="560" w:lineRule="exact"/>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lang w:bidi="ar"/>
              </w:rPr>
              <w:t>13</w:t>
            </w:r>
          </w:p>
        </w:tc>
        <w:tc>
          <w:tcPr>
            <w:tcW w:w="2430" w:type="dxa"/>
            <w:noWrap w:val="0"/>
            <w:tcMar>
              <w:top w:w="15" w:type="dxa"/>
              <w:left w:w="15" w:type="dxa"/>
              <w:right w:w="15" w:type="dxa"/>
            </w:tcMar>
            <w:vAlign w:val="center"/>
          </w:tcPr>
          <w:p w14:paraId="45FC8B69">
            <w:pPr>
              <w:widowControl/>
              <w:spacing w:line="560" w:lineRule="exact"/>
              <w:jc w:val="center"/>
              <w:textAlignment w:val="center"/>
              <w:rPr>
                <w:rFonts w:ascii="Times New Roman" w:hAnsi="Times New Roman" w:eastAsia="仿宋_GB2312"/>
                <w:color w:val="000000"/>
                <w:sz w:val="22"/>
                <w:szCs w:val="22"/>
              </w:rPr>
            </w:pPr>
            <w:r>
              <w:rPr>
                <w:rFonts w:ascii="Times New Roman" w:hAnsi="Times New Roman" w:eastAsia="仿宋_GB2312"/>
                <w:color w:val="000000"/>
                <w:kern w:val="0"/>
                <w:sz w:val="22"/>
                <w:szCs w:val="22"/>
                <w:lang w:bidi="ar"/>
              </w:rPr>
              <w:t>中国石化销售股份有限公司云南</w:t>
            </w:r>
            <w:r>
              <w:rPr>
                <w:rFonts w:ascii="Times New Roman" w:hAnsi="Times New Roman" w:eastAsia="仿宋_GB2312"/>
                <w:b/>
                <w:color w:val="000000"/>
                <w:kern w:val="0"/>
                <w:sz w:val="22"/>
                <w:szCs w:val="22"/>
                <w:lang w:bidi="ar"/>
              </w:rPr>
              <w:t>昆明朱家村一站</w:t>
            </w:r>
          </w:p>
        </w:tc>
        <w:tc>
          <w:tcPr>
            <w:tcW w:w="1633" w:type="dxa"/>
            <w:noWrap w:val="0"/>
            <w:tcMar>
              <w:top w:w="15" w:type="dxa"/>
              <w:left w:w="15" w:type="dxa"/>
              <w:right w:w="15" w:type="dxa"/>
            </w:tcMar>
            <w:vAlign w:val="center"/>
          </w:tcPr>
          <w:p w14:paraId="219B2C7A">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昆明市官渡区贵昆路87号</w:t>
            </w:r>
          </w:p>
        </w:tc>
        <w:tc>
          <w:tcPr>
            <w:tcW w:w="2717" w:type="dxa"/>
            <w:noWrap w:val="0"/>
            <w:tcMar>
              <w:top w:w="15" w:type="dxa"/>
              <w:left w:w="15" w:type="dxa"/>
              <w:right w:w="15" w:type="dxa"/>
            </w:tcMar>
            <w:vAlign w:val="center"/>
          </w:tcPr>
          <w:p w14:paraId="01EE939F">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云昆官安经字</w:t>
            </w:r>
            <w:r>
              <w:rPr>
                <w:rFonts w:ascii="Times New Roman" w:hAnsi="Times New Roman" w:eastAsia="仿宋_GB2312"/>
                <w:color w:val="000000"/>
                <w:kern w:val="0"/>
                <w:sz w:val="20"/>
                <w:szCs w:val="20"/>
                <w:lang w:bidi="ar"/>
              </w:rPr>
              <w:br w:type="textWrapping"/>
            </w:r>
            <w:r>
              <w:rPr>
                <w:rFonts w:ascii="Times New Roman" w:hAnsi="Times New Roman" w:eastAsia="仿宋_GB2312"/>
                <w:color w:val="000000"/>
                <w:kern w:val="0"/>
                <w:sz w:val="20"/>
                <w:szCs w:val="20"/>
                <w:lang w:bidi="ar"/>
              </w:rPr>
              <w:t>[2020]0002发证：2020.3.5-2023.3.4</w:t>
            </w:r>
          </w:p>
        </w:tc>
        <w:tc>
          <w:tcPr>
            <w:tcW w:w="840" w:type="dxa"/>
            <w:noWrap/>
            <w:tcMar>
              <w:top w:w="15" w:type="dxa"/>
              <w:left w:w="15" w:type="dxa"/>
              <w:right w:w="15" w:type="dxa"/>
            </w:tcMar>
            <w:vAlign w:val="center"/>
          </w:tcPr>
          <w:p w14:paraId="4538F5C3">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三级</w:t>
            </w:r>
          </w:p>
        </w:tc>
        <w:tc>
          <w:tcPr>
            <w:tcW w:w="2160" w:type="dxa"/>
            <w:noWrap/>
            <w:tcMar>
              <w:top w:w="15" w:type="dxa"/>
              <w:left w:w="15" w:type="dxa"/>
              <w:right w:w="15" w:type="dxa"/>
            </w:tcMar>
            <w:vAlign w:val="center"/>
          </w:tcPr>
          <w:p w14:paraId="263162CC">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2个，60</w:t>
            </w:r>
          </w:p>
        </w:tc>
        <w:tc>
          <w:tcPr>
            <w:tcW w:w="1856" w:type="dxa"/>
            <w:noWrap/>
            <w:tcMar>
              <w:top w:w="15" w:type="dxa"/>
              <w:left w:w="15" w:type="dxa"/>
              <w:right w:w="15" w:type="dxa"/>
            </w:tcMar>
            <w:vAlign w:val="center"/>
          </w:tcPr>
          <w:p w14:paraId="59ED6A44">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2个.60</w:t>
            </w:r>
          </w:p>
        </w:tc>
        <w:tc>
          <w:tcPr>
            <w:tcW w:w="1130" w:type="dxa"/>
            <w:noWrap w:val="0"/>
            <w:tcMar>
              <w:top w:w="15" w:type="dxa"/>
              <w:left w:w="15" w:type="dxa"/>
              <w:right w:w="15" w:type="dxa"/>
            </w:tcMar>
            <w:vAlign w:val="center"/>
          </w:tcPr>
          <w:p w14:paraId="700DEE70">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吴森</w:t>
            </w:r>
          </w:p>
        </w:tc>
        <w:tc>
          <w:tcPr>
            <w:tcW w:w="1740" w:type="dxa"/>
            <w:vMerge w:val="continue"/>
            <w:noWrap w:val="0"/>
            <w:tcMar>
              <w:top w:w="15" w:type="dxa"/>
              <w:left w:w="15" w:type="dxa"/>
              <w:right w:w="15" w:type="dxa"/>
            </w:tcMar>
            <w:vAlign w:val="center"/>
          </w:tcPr>
          <w:p w14:paraId="648FD51F">
            <w:pPr>
              <w:spacing w:line="560" w:lineRule="exact"/>
              <w:jc w:val="center"/>
              <w:rPr>
                <w:rFonts w:ascii="Times New Roman" w:hAnsi="Times New Roman" w:eastAsia="仿宋_GB2312"/>
                <w:color w:val="FF0000"/>
                <w:sz w:val="20"/>
                <w:szCs w:val="20"/>
              </w:rPr>
            </w:pPr>
          </w:p>
        </w:tc>
      </w:tr>
      <w:tr w14:paraId="0F187B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0" w:hRule="atLeast"/>
        </w:trPr>
        <w:tc>
          <w:tcPr>
            <w:tcW w:w="379" w:type="dxa"/>
            <w:noWrap/>
            <w:tcMar>
              <w:top w:w="15" w:type="dxa"/>
              <w:left w:w="15" w:type="dxa"/>
              <w:right w:w="15" w:type="dxa"/>
            </w:tcMar>
            <w:vAlign w:val="center"/>
          </w:tcPr>
          <w:p w14:paraId="0DE5B78B">
            <w:pPr>
              <w:widowControl/>
              <w:spacing w:line="560" w:lineRule="exact"/>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lang w:bidi="ar"/>
              </w:rPr>
              <w:t>14</w:t>
            </w:r>
          </w:p>
        </w:tc>
        <w:tc>
          <w:tcPr>
            <w:tcW w:w="2430" w:type="dxa"/>
            <w:noWrap w:val="0"/>
            <w:tcMar>
              <w:top w:w="15" w:type="dxa"/>
              <w:left w:w="15" w:type="dxa"/>
              <w:right w:w="15" w:type="dxa"/>
            </w:tcMar>
            <w:vAlign w:val="center"/>
          </w:tcPr>
          <w:p w14:paraId="557336A0">
            <w:pPr>
              <w:widowControl/>
              <w:spacing w:line="560" w:lineRule="exact"/>
              <w:jc w:val="center"/>
              <w:textAlignment w:val="center"/>
              <w:rPr>
                <w:rFonts w:ascii="Times New Roman" w:hAnsi="Times New Roman" w:eastAsia="仿宋_GB2312"/>
                <w:color w:val="000000"/>
                <w:sz w:val="22"/>
                <w:szCs w:val="22"/>
              </w:rPr>
            </w:pPr>
            <w:r>
              <w:rPr>
                <w:rFonts w:ascii="Times New Roman" w:hAnsi="Times New Roman" w:eastAsia="仿宋_GB2312"/>
                <w:color w:val="000000"/>
                <w:kern w:val="0"/>
                <w:sz w:val="22"/>
                <w:szCs w:val="22"/>
                <w:lang w:bidi="ar"/>
              </w:rPr>
              <w:t>中国石化销售股份有限公司云南</w:t>
            </w:r>
            <w:r>
              <w:rPr>
                <w:rFonts w:ascii="Times New Roman" w:hAnsi="Times New Roman" w:eastAsia="仿宋_GB2312"/>
                <w:b/>
                <w:color w:val="000000"/>
                <w:kern w:val="0"/>
                <w:sz w:val="22"/>
                <w:szCs w:val="22"/>
                <w:lang w:bidi="ar"/>
              </w:rPr>
              <w:t>昆明石油分公司官宝加油站</w:t>
            </w:r>
          </w:p>
        </w:tc>
        <w:tc>
          <w:tcPr>
            <w:tcW w:w="1633" w:type="dxa"/>
            <w:noWrap w:val="0"/>
            <w:tcMar>
              <w:top w:w="15" w:type="dxa"/>
              <w:left w:w="15" w:type="dxa"/>
              <w:right w:w="15" w:type="dxa"/>
            </w:tcMar>
            <w:vAlign w:val="center"/>
          </w:tcPr>
          <w:p w14:paraId="628A01BE">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云南省昆明市官渡区宝海路148号</w:t>
            </w:r>
          </w:p>
        </w:tc>
        <w:tc>
          <w:tcPr>
            <w:tcW w:w="2717" w:type="dxa"/>
            <w:noWrap w:val="0"/>
            <w:tcMar>
              <w:top w:w="15" w:type="dxa"/>
              <w:left w:w="15" w:type="dxa"/>
              <w:right w:w="15" w:type="dxa"/>
            </w:tcMar>
            <w:vAlign w:val="center"/>
          </w:tcPr>
          <w:p w14:paraId="5A640493">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云昆官安经字</w:t>
            </w:r>
            <w:r>
              <w:rPr>
                <w:rFonts w:ascii="Times New Roman" w:hAnsi="Times New Roman" w:eastAsia="仿宋_GB2312"/>
                <w:color w:val="000000"/>
                <w:kern w:val="0"/>
                <w:sz w:val="20"/>
                <w:szCs w:val="20"/>
                <w:lang w:bidi="ar"/>
              </w:rPr>
              <w:br w:type="textWrapping"/>
            </w:r>
            <w:r>
              <w:rPr>
                <w:rFonts w:ascii="Times New Roman" w:hAnsi="Times New Roman" w:eastAsia="仿宋_GB2312"/>
                <w:color w:val="000000"/>
                <w:kern w:val="0"/>
                <w:sz w:val="20"/>
                <w:szCs w:val="20"/>
                <w:lang w:bidi="ar"/>
              </w:rPr>
              <w:t xml:space="preserve">[2018]0036发证：2018.8.13-2021.8.12   </w:t>
            </w:r>
          </w:p>
        </w:tc>
        <w:tc>
          <w:tcPr>
            <w:tcW w:w="840" w:type="dxa"/>
            <w:noWrap/>
            <w:tcMar>
              <w:top w:w="15" w:type="dxa"/>
              <w:left w:w="15" w:type="dxa"/>
              <w:right w:w="15" w:type="dxa"/>
            </w:tcMar>
            <w:vAlign w:val="center"/>
          </w:tcPr>
          <w:p w14:paraId="76102B2A">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二级</w:t>
            </w:r>
          </w:p>
        </w:tc>
        <w:tc>
          <w:tcPr>
            <w:tcW w:w="2160" w:type="dxa"/>
            <w:noWrap/>
            <w:tcMar>
              <w:top w:w="15" w:type="dxa"/>
              <w:left w:w="15" w:type="dxa"/>
              <w:right w:w="15" w:type="dxa"/>
            </w:tcMar>
            <w:vAlign w:val="center"/>
          </w:tcPr>
          <w:p w14:paraId="14B58676">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3个，90</w:t>
            </w:r>
          </w:p>
        </w:tc>
        <w:tc>
          <w:tcPr>
            <w:tcW w:w="1856" w:type="dxa"/>
            <w:noWrap/>
            <w:tcMar>
              <w:top w:w="15" w:type="dxa"/>
              <w:left w:w="15" w:type="dxa"/>
              <w:right w:w="15" w:type="dxa"/>
            </w:tcMar>
            <w:vAlign w:val="center"/>
          </w:tcPr>
          <w:p w14:paraId="7416299F">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1个，30</w:t>
            </w:r>
          </w:p>
        </w:tc>
        <w:tc>
          <w:tcPr>
            <w:tcW w:w="1130" w:type="dxa"/>
            <w:noWrap w:val="0"/>
            <w:tcMar>
              <w:top w:w="15" w:type="dxa"/>
              <w:left w:w="15" w:type="dxa"/>
              <w:right w:w="15" w:type="dxa"/>
            </w:tcMar>
            <w:vAlign w:val="center"/>
          </w:tcPr>
          <w:p w14:paraId="3423A412">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吴森</w:t>
            </w:r>
          </w:p>
        </w:tc>
        <w:tc>
          <w:tcPr>
            <w:tcW w:w="1740" w:type="dxa"/>
            <w:vMerge w:val="continue"/>
            <w:noWrap w:val="0"/>
            <w:tcMar>
              <w:top w:w="15" w:type="dxa"/>
              <w:left w:w="15" w:type="dxa"/>
              <w:right w:w="15" w:type="dxa"/>
            </w:tcMar>
            <w:vAlign w:val="center"/>
          </w:tcPr>
          <w:p w14:paraId="25908E49">
            <w:pPr>
              <w:spacing w:line="560" w:lineRule="exact"/>
              <w:jc w:val="center"/>
              <w:rPr>
                <w:rFonts w:ascii="Times New Roman" w:hAnsi="Times New Roman" w:eastAsia="仿宋_GB2312"/>
                <w:color w:val="FF0000"/>
                <w:sz w:val="20"/>
                <w:szCs w:val="20"/>
              </w:rPr>
            </w:pPr>
          </w:p>
        </w:tc>
      </w:tr>
      <w:tr w14:paraId="1A37A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2" w:hRule="atLeast"/>
        </w:trPr>
        <w:tc>
          <w:tcPr>
            <w:tcW w:w="379" w:type="dxa"/>
            <w:noWrap/>
            <w:tcMar>
              <w:top w:w="15" w:type="dxa"/>
              <w:left w:w="15" w:type="dxa"/>
              <w:right w:w="15" w:type="dxa"/>
            </w:tcMar>
            <w:vAlign w:val="center"/>
          </w:tcPr>
          <w:p w14:paraId="7E421571">
            <w:pPr>
              <w:widowControl/>
              <w:spacing w:line="560" w:lineRule="exact"/>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lang w:bidi="ar"/>
              </w:rPr>
              <w:t>15</w:t>
            </w:r>
          </w:p>
        </w:tc>
        <w:tc>
          <w:tcPr>
            <w:tcW w:w="2430" w:type="dxa"/>
            <w:noWrap w:val="0"/>
            <w:tcMar>
              <w:top w:w="15" w:type="dxa"/>
              <w:left w:w="15" w:type="dxa"/>
              <w:right w:w="15" w:type="dxa"/>
            </w:tcMar>
            <w:vAlign w:val="center"/>
          </w:tcPr>
          <w:p w14:paraId="262523BC">
            <w:pPr>
              <w:widowControl/>
              <w:spacing w:line="560" w:lineRule="exact"/>
              <w:jc w:val="center"/>
              <w:textAlignment w:val="center"/>
              <w:rPr>
                <w:rFonts w:ascii="Times New Roman" w:hAnsi="Times New Roman" w:eastAsia="仿宋_GB2312"/>
                <w:color w:val="000000"/>
                <w:sz w:val="22"/>
                <w:szCs w:val="22"/>
              </w:rPr>
            </w:pPr>
            <w:r>
              <w:rPr>
                <w:rFonts w:ascii="Times New Roman" w:hAnsi="Times New Roman" w:eastAsia="仿宋_GB2312"/>
                <w:color w:val="000000"/>
                <w:kern w:val="0"/>
                <w:sz w:val="22"/>
                <w:szCs w:val="22"/>
                <w:lang w:bidi="ar"/>
              </w:rPr>
              <w:t>中国石化销售股份有限公司云南</w:t>
            </w:r>
            <w:r>
              <w:rPr>
                <w:rFonts w:ascii="Times New Roman" w:hAnsi="Times New Roman" w:eastAsia="仿宋_GB2312"/>
                <w:b/>
                <w:color w:val="000000"/>
                <w:kern w:val="0"/>
                <w:sz w:val="22"/>
                <w:szCs w:val="22"/>
                <w:lang w:bidi="ar"/>
              </w:rPr>
              <w:t>昆明菊花村加油站</w:t>
            </w:r>
          </w:p>
        </w:tc>
        <w:tc>
          <w:tcPr>
            <w:tcW w:w="1633" w:type="dxa"/>
            <w:noWrap w:val="0"/>
            <w:tcMar>
              <w:top w:w="15" w:type="dxa"/>
              <w:left w:w="15" w:type="dxa"/>
              <w:right w:w="15" w:type="dxa"/>
            </w:tcMar>
            <w:vAlign w:val="center"/>
          </w:tcPr>
          <w:p w14:paraId="2F1D366D">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云南省昆明市官渡区东站菊花村</w:t>
            </w:r>
          </w:p>
        </w:tc>
        <w:tc>
          <w:tcPr>
            <w:tcW w:w="2717" w:type="dxa"/>
            <w:noWrap w:val="0"/>
            <w:tcMar>
              <w:top w:w="15" w:type="dxa"/>
              <w:left w:w="15" w:type="dxa"/>
              <w:right w:w="15" w:type="dxa"/>
            </w:tcMar>
            <w:vAlign w:val="center"/>
          </w:tcPr>
          <w:p w14:paraId="5EFD4BDB">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云昆官安经字【2019】0019　　发证：2019-3-11</w:t>
            </w:r>
          </w:p>
        </w:tc>
        <w:tc>
          <w:tcPr>
            <w:tcW w:w="840" w:type="dxa"/>
            <w:noWrap/>
            <w:tcMar>
              <w:top w:w="15" w:type="dxa"/>
              <w:left w:w="15" w:type="dxa"/>
              <w:right w:w="15" w:type="dxa"/>
            </w:tcMar>
            <w:vAlign w:val="center"/>
          </w:tcPr>
          <w:p w14:paraId="4B33FA3C">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二级</w:t>
            </w:r>
          </w:p>
        </w:tc>
        <w:tc>
          <w:tcPr>
            <w:tcW w:w="2160" w:type="dxa"/>
            <w:noWrap/>
            <w:tcMar>
              <w:top w:w="15" w:type="dxa"/>
              <w:left w:w="15" w:type="dxa"/>
              <w:right w:w="15" w:type="dxa"/>
            </w:tcMar>
            <w:vAlign w:val="center"/>
          </w:tcPr>
          <w:p w14:paraId="49F3FB12">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3个，90</w:t>
            </w:r>
          </w:p>
        </w:tc>
        <w:tc>
          <w:tcPr>
            <w:tcW w:w="1856" w:type="dxa"/>
            <w:noWrap/>
            <w:tcMar>
              <w:top w:w="15" w:type="dxa"/>
              <w:left w:w="15" w:type="dxa"/>
              <w:right w:w="15" w:type="dxa"/>
            </w:tcMar>
            <w:vAlign w:val="center"/>
          </w:tcPr>
          <w:p w14:paraId="0B91C73D">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1个，30</w:t>
            </w:r>
          </w:p>
        </w:tc>
        <w:tc>
          <w:tcPr>
            <w:tcW w:w="1130" w:type="dxa"/>
            <w:noWrap w:val="0"/>
            <w:tcMar>
              <w:top w:w="15" w:type="dxa"/>
              <w:left w:w="15" w:type="dxa"/>
              <w:right w:w="15" w:type="dxa"/>
            </w:tcMar>
            <w:vAlign w:val="center"/>
          </w:tcPr>
          <w:p w14:paraId="31038731">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吴森</w:t>
            </w:r>
          </w:p>
        </w:tc>
        <w:tc>
          <w:tcPr>
            <w:tcW w:w="1740" w:type="dxa"/>
            <w:vMerge w:val="continue"/>
            <w:noWrap w:val="0"/>
            <w:tcMar>
              <w:top w:w="15" w:type="dxa"/>
              <w:left w:w="15" w:type="dxa"/>
              <w:right w:w="15" w:type="dxa"/>
            </w:tcMar>
            <w:vAlign w:val="center"/>
          </w:tcPr>
          <w:p w14:paraId="10A9052D">
            <w:pPr>
              <w:spacing w:line="560" w:lineRule="exact"/>
              <w:jc w:val="center"/>
              <w:rPr>
                <w:rFonts w:ascii="Times New Roman" w:hAnsi="Times New Roman" w:eastAsia="仿宋_GB2312"/>
                <w:color w:val="FF0000"/>
                <w:sz w:val="20"/>
                <w:szCs w:val="20"/>
              </w:rPr>
            </w:pPr>
          </w:p>
        </w:tc>
      </w:tr>
      <w:tr w14:paraId="3C6059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trPr>
        <w:tc>
          <w:tcPr>
            <w:tcW w:w="379" w:type="dxa"/>
            <w:noWrap/>
            <w:tcMar>
              <w:top w:w="15" w:type="dxa"/>
              <w:left w:w="15" w:type="dxa"/>
              <w:right w:w="15" w:type="dxa"/>
            </w:tcMar>
            <w:vAlign w:val="center"/>
          </w:tcPr>
          <w:p w14:paraId="2892688A">
            <w:pPr>
              <w:widowControl/>
              <w:spacing w:line="560" w:lineRule="exact"/>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lang w:bidi="ar"/>
              </w:rPr>
              <w:t>16</w:t>
            </w:r>
          </w:p>
        </w:tc>
        <w:tc>
          <w:tcPr>
            <w:tcW w:w="2430" w:type="dxa"/>
            <w:noWrap w:val="0"/>
            <w:tcMar>
              <w:top w:w="15" w:type="dxa"/>
              <w:left w:w="15" w:type="dxa"/>
              <w:right w:w="15" w:type="dxa"/>
            </w:tcMar>
            <w:vAlign w:val="center"/>
          </w:tcPr>
          <w:p w14:paraId="63436CFE">
            <w:pPr>
              <w:widowControl/>
              <w:spacing w:line="560" w:lineRule="exact"/>
              <w:jc w:val="center"/>
              <w:textAlignment w:val="center"/>
              <w:rPr>
                <w:rFonts w:ascii="Times New Roman" w:hAnsi="Times New Roman" w:eastAsia="仿宋_GB2312"/>
                <w:color w:val="000000"/>
                <w:sz w:val="22"/>
                <w:szCs w:val="22"/>
              </w:rPr>
            </w:pPr>
            <w:r>
              <w:rPr>
                <w:rFonts w:ascii="Times New Roman" w:hAnsi="Times New Roman" w:eastAsia="仿宋_GB2312"/>
                <w:color w:val="000000"/>
                <w:kern w:val="0"/>
                <w:sz w:val="22"/>
                <w:szCs w:val="22"/>
                <w:lang w:bidi="ar"/>
              </w:rPr>
              <w:t>中国石化销售股份有限公司云南</w:t>
            </w:r>
            <w:r>
              <w:rPr>
                <w:rFonts w:ascii="Times New Roman" w:hAnsi="Times New Roman" w:eastAsia="仿宋_GB2312"/>
                <w:b/>
                <w:color w:val="000000"/>
                <w:kern w:val="0"/>
                <w:sz w:val="22"/>
                <w:szCs w:val="22"/>
                <w:lang w:bidi="ar"/>
              </w:rPr>
              <w:t>昆明市委机关加油站</w:t>
            </w:r>
          </w:p>
        </w:tc>
        <w:tc>
          <w:tcPr>
            <w:tcW w:w="1633" w:type="dxa"/>
            <w:noWrap w:val="0"/>
            <w:tcMar>
              <w:top w:w="15" w:type="dxa"/>
              <w:left w:w="15" w:type="dxa"/>
              <w:right w:w="15" w:type="dxa"/>
            </w:tcMar>
            <w:vAlign w:val="center"/>
          </w:tcPr>
          <w:p w14:paraId="7381D81F">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昆明市官南路螺蛳堆村</w:t>
            </w:r>
          </w:p>
        </w:tc>
        <w:tc>
          <w:tcPr>
            <w:tcW w:w="2717" w:type="dxa"/>
            <w:noWrap w:val="0"/>
            <w:tcMar>
              <w:top w:w="15" w:type="dxa"/>
              <w:left w:w="15" w:type="dxa"/>
              <w:right w:w="15" w:type="dxa"/>
            </w:tcMar>
            <w:vAlign w:val="center"/>
          </w:tcPr>
          <w:p w14:paraId="754AD464">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云昆官安经字【2019】0017　　发证：2019-3-11</w:t>
            </w:r>
          </w:p>
        </w:tc>
        <w:tc>
          <w:tcPr>
            <w:tcW w:w="840" w:type="dxa"/>
            <w:noWrap/>
            <w:tcMar>
              <w:top w:w="15" w:type="dxa"/>
              <w:left w:w="15" w:type="dxa"/>
              <w:right w:w="15" w:type="dxa"/>
            </w:tcMar>
            <w:vAlign w:val="center"/>
          </w:tcPr>
          <w:p w14:paraId="7D7B8CB0">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二级</w:t>
            </w:r>
          </w:p>
        </w:tc>
        <w:tc>
          <w:tcPr>
            <w:tcW w:w="2160" w:type="dxa"/>
            <w:noWrap/>
            <w:tcMar>
              <w:top w:w="15" w:type="dxa"/>
              <w:left w:w="15" w:type="dxa"/>
              <w:right w:w="15" w:type="dxa"/>
            </w:tcMar>
            <w:vAlign w:val="center"/>
          </w:tcPr>
          <w:p w14:paraId="5D6E8DBE">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3个，110</w:t>
            </w:r>
          </w:p>
        </w:tc>
        <w:tc>
          <w:tcPr>
            <w:tcW w:w="1856" w:type="dxa"/>
            <w:noWrap/>
            <w:tcMar>
              <w:top w:w="15" w:type="dxa"/>
              <w:left w:w="15" w:type="dxa"/>
              <w:right w:w="15" w:type="dxa"/>
            </w:tcMar>
            <w:vAlign w:val="center"/>
          </w:tcPr>
          <w:p w14:paraId="0A9B092A">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1个，30</w:t>
            </w:r>
          </w:p>
        </w:tc>
        <w:tc>
          <w:tcPr>
            <w:tcW w:w="1130" w:type="dxa"/>
            <w:noWrap w:val="0"/>
            <w:tcMar>
              <w:top w:w="15" w:type="dxa"/>
              <w:left w:w="15" w:type="dxa"/>
              <w:right w:w="15" w:type="dxa"/>
            </w:tcMar>
            <w:vAlign w:val="center"/>
          </w:tcPr>
          <w:p w14:paraId="0F9097CF">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吴森</w:t>
            </w:r>
          </w:p>
        </w:tc>
        <w:tc>
          <w:tcPr>
            <w:tcW w:w="1740" w:type="dxa"/>
            <w:vMerge w:val="continue"/>
            <w:noWrap w:val="0"/>
            <w:tcMar>
              <w:top w:w="15" w:type="dxa"/>
              <w:left w:w="15" w:type="dxa"/>
              <w:right w:w="15" w:type="dxa"/>
            </w:tcMar>
            <w:vAlign w:val="center"/>
          </w:tcPr>
          <w:p w14:paraId="104CE552">
            <w:pPr>
              <w:spacing w:line="560" w:lineRule="exact"/>
              <w:jc w:val="center"/>
              <w:rPr>
                <w:rFonts w:ascii="Times New Roman" w:hAnsi="Times New Roman" w:eastAsia="仿宋_GB2312"/>
                <w:color w:val="FF0000"/>
                <w:sz w:val="20"/>
                <w:szCs w:val="20"/>
              </w:rPr>
            </w:pPr>
          </w:p>
        </w:tc>
      </w:tr>
      <w:tr w14:paraId="2C60F2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2" w:hRule="atLeast"/>
        </w:trPr>
        <w:tc>
          <w:tcPr>
            <w:tcW w:w="379" w:type="dxa"/>
            <w:noWrap/>
            <w:tcMar>
              <w:top w:w="15" w:type="dxa"/>
              <w:left w:w="15" w:type="dxa"/>
              <w:right w:w="15" w:type="dxa"/>
            </w:tcMar>
            <w:vAlign w:val="center"/>
          </w:tcPr>
          <w:p w14:paraId="47FD7E0F">
            <w:pPr>
              <w:widowControl/>
              <w:spacing w:line="560" w:lineRule="exact"/>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lang w:bidi="ar"/>
              </w:rPr>
              <w:t>17</w:t>
            </w:r>
          </w:p>
        </w:tc>
        <w:tc>
          <w:tcPr>
            <w:tcW w:w="2430" w:type="dxa"/>
            <w:noWrap w:val="0"/>
            <w:tcMar>
              <w:top w:w="15" w:type="dxa"/>
              <w:left w:w="15" w:type="dxa"/>
              <w:right w:w="15" w:type="dxa"/>
            </w:tcMar>
            <w:vAlign w:val="center"/>
          </w:tcPr>
          <w:p w14:paraId="57E9264F">
            <w:pPr>
              <w:widowControl/>
              <w:spacing w:line="560" w:lineRule="exact"/>
              <w:jc w:val="center"/>
              <w:textAlignment w:val="center"/>
              <w:rPr>
                <w:rFonts w:ascii="Times New Roman" w:hAnsi="Times New Roman" w:eastAsia="仿宋_GB2312"/>
                <w:color w:val="000000"/>
                <w:sz w:val="22"/>
                <w:szCs w:val="22"/>
              </w:rPr>
            </w:pPr>
            <w:r>
              <w:rPr>
                <w:rFonts w:ascii="Times New Roman" w:hAnsi="Times New Roman" w:eastAsia="仿宋_GB2312"/>
                <w:color w:val="000000"/>
                <w:kern w:val="0"/>
                <w:sz w:val="22"/>
                <w:szCs w:val="22"/>
                <w:lang w:bidi="ar"/>
              </w:rPr>
              <w:t>中国石化销售股份有限公司云南</w:t>
            </w:r>
            <w:r>
              <w:rPr>
                <w:rFonts w:ascii="Times New Roman" w:hAnsi="Times New Roman" w:eastAsia="仿宋_GB2312"/>
                <w:b/>
                <w:color w:val="000000"/>
                <w:kern w:val="0"/>
                <w:sz w:val="22"/>
                <w:szCs w:val="22"/>
                <w:lang w:bidi="ar"/>
              </w:rPr>
              <w:t>昆明凉亭加油站</w:t>
            </w:r>
          </w:p>
        </w:tc>
        <w:tc>
          <w:tcPr>
            <w:tcW w:w="1633" w:type="dxa"/>
            <w:noWrap w:val="0"/>
            <w:tcMar>
              <w:top w:w="15" w:type="dxa"/>
              <w:left w:w="15" w:type="dxa"/>
              <w:right w:w="15" w:type="dxa"/>
            </w:tcMar>
            <w:vAlign w:val="center"/>
          </w:tcPr>
          <w:p w14:paraId="5733EA63">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云南省昆明市东郊黑土凹</w:t>
            </w:r>
          </w:p>
        </w:tc>
        <w:tc>
          <w:tcPr>
            <w:tcW w:w="2717" w:type="dxa"/>
            <w:noWrap w:val="0"/>
            <w:tcMar>
              <w:top w:w="15" w:type="dxa"/>
              <w:left w:w="15" w:type="dxa"/>
              <w:right w:w="15" w:type="dxa"/>
            </w:tcMar>
            <w:vAlign w:val="center"/>
          </w:tcPr>
          <w:p w14:paraId="1DA96C4B">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云昆官安经字</w:t>
            </w:r>
            <w:r>
              <w:rPr>
                <w:rFonts w:ascii="Times New Roman" w:hAnsi="Times New Roman" w:eastAsia="仿宋_GB2312"/>
                <w:color w:val="000000"/>
                <w:kern w:val="0"/>
                <w:sz w:val="20"/>
                <w:szCs w:val="20"/>
                <w:lang w:bidi="ar"/>
              </w:rPr>
              <w:br w:type="textWrapping"/>
            </w:r>
            <w:r>
              <w:rPr>
                <w:rFonts w:ascii="Times New Roman" w:hAnsi="Times New Roman" w:eastAsia="仿宋_GB2312"/>
                <w:color w:val="000000"/>
                <w:kern w:val="0"/>
                <w:sz w:val="20"/>
                <w:szCs w:val="20"/>
                <w:lang w:bidi="ar"/>
              </w:rPr>
              <w:t xml:space="preserve">[2018]0024　　发证：2018.6.21-2021.6.20  </w:t>
            </w:r>
          </w:p>
        </w:tc>
        <w:tc>
          <w:tcPr>
            <w:tcW w:w="840" w:type="dxa"/>
            <w:noWrap/>
            <w:tcMar>
              <w:top w:w="15" w:type="dxa"/>
              <w:left w:w="15" w:type="dxa"/>
              <w:right w:w="15" w:type="dxa"/>
            </w:tcMar>
            <w:vAlign w:val="center"/>
          </w:tcPr>
          <w:p w14:paraId="1A5F2AAE">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三级</w:t>
            </w:r>
          </w:p>
        </w:tc>
        <w:tc>
          <w:tcPr>
            <w:tcW w:w="2160" w:type="dxa"/>
            <w:noWrap/>
            <w:tcMar>
              <w:top w:w="15" w:type="dxa"/>
              <w:left w:w="15" w:type="dxa"/>
              <w:right w:w="15" w:type="dxa"/>
            </w:tcMar>
            <w:vAlign w:val="center"/>
          </w:tcPr>
          <w:p w14:paraId="1AD0BC5F">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2个，60</w:t>
            </w:r>
          </w:p>
        </w:tc>
        <w:tc>
          <w:tcPr>
            <w:tcW w:w="1856" w:type="dxa"/>
            <w:noWrap/>
            <w:tcMar>
              <w:top w:w="15" w:type="dxa"/>
              <w:left w:w="15" w:type="dxa"/>
              <w:right w:w="15" w:type="dxa"/>
            </w:tcMar>
            <w:vAlign w:val="center"/>
          </w:tcPr>
          <w:p w14:paraId="5BB4CA6B">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1个，50</w:t>
            </w:r>
          </w:p>
        </w:tc>
        <w:tc>
          <w:tcPr>
            <w:tcW w:w="1130" w:type="dxa"/>
            <w:noWrap w:val="0"/>
            <w:tcMar>
              <w:top w:w="15" w:type="dxa"/>
              <w:left w:w="15" w:type="dxa"/>
              <w:right w:w="15" w:type="dxa"/>
            </w:tcMar>
            <w:vAlign w:val="center"/>
          </w:tcPr>
          <w:p w14:paraId="5C6DAD2B">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吴森</w:t>
            </w:r>
          </w:p>
        </w:tc>
        <w:tc>
          <w:tcPr>
            <w:tcW w:w="1740" w:type="dxa"/>
            <w:vMerge w:val="continue"/>
            <w:noWrap w:val="0"/>
            <w:tcMar>
              <w:top w:w="15" w:type="dxa"/>
              <w:left w:w="15" w:type="dxa"/>
              <w:right w:w="15" w:type="dxa"/>
            </w:tcMar>
            <w:vAlign w:val="center"/>
          </w:tcPr>
          <w:p w14:paraId="4E95D6F1">
            <w:pPr>
              <w:spacing w:line="560" w:lineRule="exact"/>
              <w:jc w:val="center"/>
              <w:rPr>
                <w:rFonts w:ascii="Times New Roman" w:hAnsi="Times New Roman" w:eastAsia="仿宋_GB2312"/>
                <w:color w:val="FF0000"/>
                <w:sz w:val="20"/>
                <w:szCs w:val="20"/>
              </w:rPr>
            </w:pPr>
          </w:p>
        </w:tc>
      </w:tr>
      <w:tr w14:paraId="6AA472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2" w:hRule="atLeast"/>
        </w:trPr>
        <w:tc>
          <w:tcPr>
            <w:tcW w:w="379" w:type="dxa"/>
            <w:noWrap/>
            <w:tcMar>
              <w:top w:w="15" w:type="dxa"/>
              <w:left w:w="15" w:type="dxa"/>
              <w:right w:w="15" w:type="dxa"/>
            </w:tcMar>
            <w:vAlign w:val="center"/>
          </w:tcPr>
          <w:p w14:paraId="588B8C76">
            <w:pPr>
              <w:widowControl/>
              <w:spacing w:line="560" w:lineRule="exact"/>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lang w:bidi="ar"/>
              </w:rPr>
              <w:t>18</w:t>
            </w:r>
          </w:p>
        </w:tc>
        <w:tc>
          <w:tcPr>
            <w:tcW w:w="2430" w:type="dxa"/>
            <w:noWrap w:val="0"/>
            <w:tcMar>
              <w:top w:w="15" w:type="dxa"/>
              <w:left w:w="15" w:type="dxa"/>
              <w:right w:w="15" w:type="dxa"/>
            </w:tcMar>
            <w:vAlign w:val="center"/>
          </w:tcPr>
          <w:p w14:paraId="7EDBC483">
            <w:pPr>
              <w:widowControl/>
              <w:spacing w:line="560" w:lineRule="exact"/>
              <w:jc w:val="center"/>
              <w:textAlignment w:val="center"/>
              <w:rPr>
                <w:rFonts w:ascii="Times New Roman" w:hAnsi="Times New Roman" w:eastAsia="仿宋_GB2312"/>
                <w:color w:val="000000"/>
                <w:sz w:val="22"/>
                <w:szCs w:val="22"/>
              </w:rPr>
            </w:pPr>
            <w:r>
              <w:rPr>
                <w:rFonts w:ascii="Times New Roman" w:hAnsi="Times New Roman" w:eastAsia="仿宋_GB2312"/>
                <w:color w:val="000000"/>
                <w:kern w:val="0"/>
                <w:sz w:val="22"/>
                <w:szCs w:val="22"/>
                <w:lang w:bidi="ar"/>
              </w:rPr>
              <w:t>中国石化销售股份有限公司云南</w:t>
            </w:r>
            <w:r>
              <w:rPr>
                <w:rFonts w:ascii="Times New Roman" w:hAnsi="Times New Roman" w:eastAsia="仿宋_GB2312"/>
                <w:b/>
                <w:color w:val="000000"/>
                <w:kern w:val="0"/>
                <w:sz w:val="22"/>
                <w:szCs w:val="22"/>
                <w:lang w:bidi="ar"/>
              </w:rPr>
              <w:t>昆明国宾加油站</w:t>
            </w:r>
          </w:p>
        </w:tc>
        <w:tc>
          <w:tcPr>
            <w:tcW w:w="1633" w:type="dxa"/>
            <w:noWrap w:val="0"/>
            <w:tcMar>
              <w:top w:w="15" w:type="dxa"/>
              <w:left w:w="15" w:type="dxa"/>
              <w:right w:w="15" w:type="dxa"/>
            </w:tcMar>
            <w:vAlign w:val="center"/>
          </w:tcPr>
          <w:p w14:paraId="136D3A80">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昆明市官南路与福达路交叉口</w:t>
            </w:r>
          </w:p>
        </w:tc>
        <w:tc>
          <w:tcPr>
            <w:tcW w:w="2717" w:type="dxa"/>
            <w:noWrap w:val="0"/>
            <w:tcMar>
              <w:top w:w="15" w:type="dxa"/>
              <w:left w:w="15" w:type="dxa"/>
              <w:right w:w="15" w:type="dxa"/>
            </w:tcMar>
            <w:vAlign w:val="center"/>
          </w:tcPr>
          <w:p w14:paraId="45119A2B">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云昆官安经字</w:t>
            </w:r>
            <w:r>
              <w:rPr>
                <w:rFonts w:ascii="Times New Roman" w:hAnsi="Times New Roman" w:eastAsia="仿宋_GB2312"/>
                <w:color w:val="000000"/>
                <w:kern w:val="0"/>
                <w:sz w:val="20"/>
                <w:szCs w:val="20"/>
                <w:lang w:bidi="ar"/>
              </w:rPr>
              <w:br w:type="textWrapping"/>
            </w:r>
            <w:r>
              <w:rPr>
                <w:rFonts w:ascii="Times New Roman" w:hAnsi="Times New Roman" w:eastAsia="仿宋_GB2312"/>
                <w:color w:val="000000"/>
                <w:kern w:val="0"/>
                <w:sz w:val="20"/>
                <w:szCs w:val="20"/>
                <w:lang w:bidi="ar"/>
              </w:rPr>
              <w:t xml:space="preserve">[2018]0037　　发证：2018.8.13-2021.8.12   </w:t>
            </w:r>
          </w:p>
        </w:tc>
        <w:tc>
          <w:tcPr>
            <w:tcW w:w="840" w:type="dxa"/>
            <w:noWrap/>
            <w:tcMar>
              <w:top w:w="15" w:type="dxa"/>
              <w:left w:w="15" w:type="dxa"/>
              <w:right w:w="15" w:type="dxa"/>
            </w:tcMar>
            <w:vAlign w:val="center"/>
          </w:tcPr>
          <w:p w14:paraId="2B8F11E3">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二级</w:t>
            </w:r>
          </w:p>
        </w:tc>
        <w:tc>
          <w:tcPr>
            <w:tcW w:w="2160" w:type="dxa"/>
            <w:noWrap/>
            <w:tcMar>
              <w:top w:w="15" w:type="dxa"/>
              <w:left w:w="15" w:type="dxa"/>
              <w:right w:w="15" w:type="dxa"/>
            </w:tcMar>
            <w:vAlign w:val="center"/>
          </w:tcPr>
          <w:p w14:paraId="1C2F1E84">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5个，90</w:t>
            </w:r>
          </w:p>
        </w:tc>
        <w:tc>
          <w:tcPr>
            <w:tcW w:w="1856" w:type="dxa"/>
            <w:noWrap/>
            <w:tcMar>
              <w:top w:w="15" w:type="dxa"/>
              <w:left w:w="15" w:type="dxa"/>
              <w:right w:w="15" w:type="dxa"/>
            </w:tcMar>
            <w:vAlign w:val="center"/>
          </w:tcPr>
          <w:p w14:paraId="3A86ABF5">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2个，36</w:t>
            </w:r>
          </w:p>
        </w:tc>
        <w:tc>
          <w:tcPr>
            <w:tcW w:w="1130" w:type="dxa"/>
            <w:noWrap w:val="0"/>
            <w:tcMar>
              <w:top w:w="15" w:type="dxa"/>
              <w:left w:w="15" w:type="dxa"/>
              <w:right w:w="15" w:type="dxa"/>
            </w:tcMar>
            <w:vAlign w:val="center"/>
          </w:tcPr>
          <w:p w14:paraId="23D2859D">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吴森</w:t>
            </w:r>
          </w:p>
        </w:tc>
        <w:tc>
          <w:tcPr>
            <w:tcW w:w="1740" w:type="dxa"/>
            <w:vMerge w:val="continue"/>
            <w:noWrap w:val="0"/>
            <w:tcMar>
              <w:top w:w="15" w:type="dxa"/>
              <w:left w:w="15" w:type="dxa"/>
              <w:right w:w="15" w:type="dxa"/>
            </w:tcMar>
            <w:vAlign w:val="center"/>
          </w:tcPr>
          <w:p w14:paraId="19BA3736">
            <w:pPr>
              <w:spacing w:line="560" w:lineRule="exact"/>
              <w:jc w:val="center"/>
              <w:rPr>
                <w:rFonts w:ascii="Times New Roman" w:hAnsi="Times New Roman" w:eastAsia="仿宋_GB2312"/>
                <w:color w:val="FF0000"/>
                <w:sz w:val="20"/>
                <w:szCs w:val="20"/>
              </w:rPr>
            </w:pPr>
          </w:p>
        </w:tc>
      </w:tr>
      <w:tr w14:paraId="6C0B29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0" w:hRule="atLeast"/>
        </w:trPr>
        <w:tc>
          <w:tcPr>
            <w:tcW w:w="379" w:type="dxa"/>
            <w:noWrap/>
            <w:tcMar>
              <w:top w:w="15" w:type="dxa"/>
              <w:left w:w="15" w:type="dxa"/>
              <w:right w:w="15" w:type="dxa"/>
            </w:tcMar>
            <w:vAlign w:val="center"/>
          </w:tcPr>
          <w:p w14:paraId="00E70C45">
            <w:pPr>
              <w:widowControl/>
              <w:spacing w:line="560" w:lineRule="exact"/>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lang w:bidi="ar"/>
              </w:rPr>
              <w:t>19</w:t>
            </w:r>
          </w:p>
        </w:tc>
        <w:tc>
          <w:tcPr>
            <w:tcW w:w="2430" w:type="dxa"/>
            <w:noWrap w:val="0"/>
            <w:tcMar>
              <w:top w:w="15" w:type="dxa"/>
              <w:left w:w="15" w:type="dxa"/>
              <w:right w:w="15" w:type="dxa"/>
            </w:tcMar>
            <w:vAlign w:val="center"/>
          </w:tcPr>
          <w:p w14:paraId="3D2A1F07">
            <w:pPr>
              <w:widowControl/>
              <w:spacing w:line="560" w:lineRule="exact"/>
              <w:jc w:val="center"/>
              <w:textAlignment w:val="center"/>
              <w:rPr>
                <w:rFonts w:ascii="Times New Roman" w:hAnsi="Times New Roman" w:eastAsia="仿宋_GB2312"/>
                <w:color w:val="000000"/>
                <w:sz w:val="22"/>
                <w:szCs w:val="22"/>
              </w:rPr>
            </w:pPr>
            <w:r>
              <w:rPr>
                <w:rFonts w:ascii="Times New Roman" w:hAnsi="Times New Roman" w:eastAsia="仿宋_GB2312"/>
                <w:color w:val="000000"/>
                <w:kern w:val="0"/>
                <w:sz w:val="22"/>
                <w:szCs w:val="22"/>
                <w:lang w:bidi="ar"/>
              </w:rPr>
              <w:t>中国石化销售股份有限公司云南</w:t>
            </w:r>
            <w:r>
              <w:rPr>
                <w:rFonts w:ascii="Times New Roman" w:hAnsi="Times New Roman" w:eastAsia="仿宋_GB2312"/>
                <w:b/>
                <w:color w:val="000000"/>
                <w:kern w:val="0"/>
                <w:sz w:val="22"/>
                <w:szCs w:val="22"/>
                <w:lang w:bidi="ar"/>
              </w:rPr>
              <w:t>昆明云溪加油站</w:t>
            </w:r>
          </w:p>
        </w:tc>
        <w:tc>
          <w:tcPr>
            <w:tcW w:w="1633" w:type="dxa"/>
            <w:noWrap w:val="0"/>
            <w:tcMar>
              <w:top w:w="15" w:type="dxa"/>
              <w:left w:w="15" w:type="dxa"/>
              <w:right w:w="15" w:type="dxa"/>
            </w:tcMar>
            <w:vAlign w:val="center"/>
          </w:tcPr>
          <w:p w14:paraId="77C47502">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云南省昆明市官渡区小板桥镇云溪村</w:t>
            </w:r>
          </w:p>
        </w:tc>
        <w:tc>
          <w:tcPr>
            <w:tcW w:w="2717" w:type="dxa"/>
            <w:noWrap w:val="0"/>
            <w:tcMar>
              <w:top w:w="15" w:type="dxa"/>
              <w:left w:w="15" w:type="dxa"/>
              <w:right w:w="15" w:type="dxa"/>
            </w:tcMar>
            <w:vAlign w:val="center"/>
          </w:tcPr>
          <w:p w14:paraId="52FD661E">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云昆官安经字【2019】0016　　　发证：2019-3-11</w:t>
            </w:r>
          </w:p>
        </w:tc>
        <w:tc>
          <w:tcPr>
            <w:tcW w:w="840" w:type="dxa"/>
            <w:noWrap/>
            <w:tcMar>
              <w:top w:w="15" w:type="dxa"/>
              <w:left w:w="15" w:type="dxa"/>
              <w:right w:w="15" w:type="dxa"/>
            </w:tcMar>
            <w:vAlign w:val="center"/>
          </w:tcPr>
          <w:p w14:paraId="63B8D509">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二级</w:t>
            </w:r>
          </w:p>
        </w:tc>
        <w:tc>
          <w:tcPr>
            <w:tcW w:w="2160" w:type="dxa"/>
            <w:noWrap/>
            <w:tcMar>
              <w:top w:w="15" w:type="dxa"/>
              <w:left w:w="15" w:type="dxa"/>
              <w:right w:w="15" w:type="dxa"/>
            </w:tcMar>
            <w:vAlign w:val="center"/>
          </w:tcPr>
          <w:p w14:paraId="76021057">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3个，90</w:t>
            </w:r>
          </w:p>
        </w:tc>
        <w:tc>
          <w:tcPr>
            <w:tcW w:w="1856" w:type="dxa"/>
            <w:noWrap/>
            <w:tcMar>
              <w:top w:w="15" w:type="dxa"/>
              <w:left w:w="15" w:type="dxa"/>
              <w:right w:w="15" w:type="dxa"/>
            </w:tcMar>
            <w:vAlign w:val="center"/>
          </w:tcPr>
          <w:p w14:paraId="0D14A971">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1个，30</w:t>
            </w:r>
          </w:p>
        </w:tc>
        <w:tc>
          <w:tcPr>
            <w:tcW w:w="1130" w:type="dxa"/>
            <w:noWrap w:val="0"/>
            <w:tcMar>
              <w:top w:w="15" w:type="dxa"/>
              <w:left w:w="15" w:type="dxa"/>
              <w:right w:w="15" w:type="dxa"/>
            </w:tcMar>
            <w:vAlign w:val="center"/>
          </w:tcPr>
          <w:p w14:paraId="459EA3F1">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吴森</w:t>
            </w:r>
          </w:p>
        </w:tc>
        <w:tc>
          <w:tcPr>
            <w:tcW w:w="1740" w:type="dxa"/>
            <w:vMerge w:val="continue"/>
            <w:noWrap w:val="0"/>
            <w:tcMar>
              <w:top w:w="15" w:type="dxa"/>
              <w:left w:w="15" w:type="dxa"/>
              <w:right w:w="15" w:type="dxa"/>
            </w:tcMar>
            <w:vAlign w:val="center"/>
          </w:tcPr>
          <w:p w14:paraId="190E44FE">
            <w:pPr>
              <w:spacing w:line="560" w:lineRule="exact"/>
              <w:jc w:val="center"/>
              <w:rPr>
                <w:rFonts w:ascii="Times New Roman" w:hAnsi="Times New Roman" w:eastAsia="仿宋_GB2312"/>
                <w:color w:val="FF0000"/>
                <w:sz w:val="20"/>
                <w:szCs w:val="20"/>
              </w:rPr>
            </w:pPr>
          </w:p>
        </w:tc>
      </w:tr>
      <w:tr w14:paraId="5A482B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379" w:type="dxa"/>
            <w:noWrap/>
            <w:tcMar>
              <w:top w:w="15" w:type="dxa"/>
              <w:left w:w="15" w:type="dxa"/>
              <w:right w:w="15" w:type="dxa"/>
            </w:tcMar>
            <w:vAlign w:val="center"/>
          </w:tcPr>
          <w:p w14:paraId="50AC34B0">
            <w:pPr>
              <w:widowControl/>
              <w:spacing w:line="560" w:lineRule="exact"/>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lang w:bidi="ar"/>
              </w:rPr>
              <w:t>20</w:t>
            </w:r>
          </w:p>
        </w:tc>
        <w:tc>
          <w:tcPr>
            <w:tcW w:w="2430" w:type="dxa"/>
            <w:noWrap w:val="0"/>
            <w:tcMar>
              <w:top w:w="15" w:type="dxa"/>
              <w:left w:w="15" w:type="dxa"/>
              <w:right w:w="15" w:type="dxa"/>
            </w:tcMar>
            <w:vAlign w:val="center"/>
          </w:tcPr>
          <w:p w14:paraId="22F5C57B">
            <w:pPr>
              <w:widowControl/>
              <w:spacing w:line="560" w:lineRule="exact"/>
              <w:jc w:val="center"/>
              <w:textAlignment w:val="center"/>
              <w:rPr>
                <w:rFonts w:ascii="Times New Roman" w:hAnsi="Times New Roman" w:eastAsia="仿宋_GB2312"/>
                <w:color w:val="000000"/>
                <w:sz w:val="22"/>
                <w:szCs w:val="22"/>
              </w:rPr>
            </w:pPr>
            <w:r>
              <w:rPr>
                <w:rFonts w:ascii="Times New Roman" w:hAnsi="Times New Roman" w:eastAsia="仿宋_GB2312"/>
                <w:color w:val="000000"/>
                <w:kern w:val="0"/>
                <w:sz w:val="22"/>
                <w:szCs w:val="22"/>
                <w:lang w:bidi="ar"/>
              </w:rPr>
              <w:t>中国石化销售股份有限公司云南</w:t>
            </w:r>
            <w:r>
              <w:rPr>
                <w:rFonts w:ascii="Times New Roman" w:hAnsi="Times New Roman" w:eastAsia="仿宋_GB2312"/>
                <w:b/>
                <w:color w:val="000000"/>
                <w:kern w:val="0"/>
                <w:sz w:val="22"/>
                <w:szCs w:val="22"/>
                <w:lang w:bidi="ar"/>
              </w:rPr>
              <w:t>昆明双凤加油站</w:t>
            </w:r>
          </w:p>
        </w:tc>
        <w:tc>
          <w:tcPr>
            <w:tcW w:w="1633" w:type="dxa"/>
            <w:noWrap w:val="0"/>
            <w:tcMar>
              <w:top w:w="15" w:type="dxa"/>
              <w:left w:w="15" w:type="dxa"/>
              <w:right w:w="15" w:type="dxa"/>
            </w:tcMar>
            <w:vAlign w:val="center"/>
          </w:tcPr>
          <w:p w14:paraId="46592A3D">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云南省昆明市关南路与双凤东路交叉口</w:t>
            </w:r>
          </w:p>
        </w:tc>
        <w:tc>
          <w:tcPr>
            <w:tcW w:w="2717" w:type="dxa"/>
            <w:noWrap w:val="0"/>
            <w:tcMar>
              <w:top w:w="15" w:type="dxa"/>
              <w:left w:w="15" w:type="dxa"/>
              <w:right w:w="15" w:type="dxa"/>
            </w:tcMar>
            <w:vAlign w:val="center"/>
          </w:tcPr>
          <w:p w14:paraId="07280A4D">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云昆官安经字【2019】0015　　　发证：2019-3-11</w:t>
            </w:r>
          </w:p>
        </w:tc>
        <w:tc>
          <w:tcPr>
            <w:tcW w:w="840" w:type="dxa"/>
            <w:noWrap/>
            <w:tcMar>
              <w:top w:w="15" w:type="dxa"/>
              <w:left w:w="15" w:type="dxa"/>
              <w:right w:w="15" w:type="dxa"/>
            </w:tcMar>
            <w:vAlign w:val="center"/>
          </w:tcPr>
          <w:p w14:paraId="37FE5F7C">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三级</w:t>
            </w:r>
          </w:p>
        </w:tc>
        <w:tc>
          <w:tcPr>
            <w:tcW w:w="2160" w:type="dxa"/>
            <w:noWrap/>
            <w:tcMar>
              <w:top w:w="15" w:type="dxa"/>
              <w:left w:w="15" w:type="dxa"/>
              <w:right w:w="15" w:type="dxa"/>
            </w:tcMar>
            <w:vAlign w:val="center"/>
          </w:tcPr>
          <w:p w14:paraId="53C69F72">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2个，40</w:t>
            </w:r>
          </w:p>
        </w:tc>
        <w:tc>
          <w:tcPr>
            <w:tcW w:w="1856" w:type="dxa"/>
            <w:noWrap/>
            <w:tcMar>
              <w:top w:w="15" w:type="dxa"/>
              <w:left w:w="15" w:type="dxa"/>
              <w:right w:w="15" w:type="dxa"/>
            </w:tcMar>
            <w:vAlign w:val="center"/>
          </w:tcPr>
          <w:p w14:paraId="0A29AD9E">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1个，50</w:t>
            </w:r>
          </w:p>
        </w:tc>
        <w:tc>
          <w:tcPr>
            <w:tcW w:w="1130" w:type="dxa"/>
            <w:noWrap w:val="0"/>
            <w:tcMar>
              <w:top w:w="15" w:type="dxa"/>
              <w:left w:w="15" w:type="dxa"/>
              <w:right w:w="15" w:type="dxa"/>
            </w:tcMar>
            <w:vAlign w:val="center"/>
          </w:tcPr>
          <w:p w14:paraId="5311CDD4">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吴森</w:t>
            </w:r>
          </w:p>
        </w:tc>
        <w:tc>
          <w:tcPr>
            <w:tcW w:w="1740" w:type="dxa"/>
            <w:vMerge w:val="continue"/>
            <w:noWrap w:val="0"/>
            <w:tcMar>
              <w:top w:w="15" w:type="dxa"/>
              <w:left w:w="15" w:type="dxa"/>
              <w:right w:w="15" w:type="dxa"/>
            </w:tcMar>
            <w:vAlign w:val="center"/>
          </w:tcPr>
          <w:p w14:paraId="5AC97638">
            <w:pPr>
              <w:spacing w:line="560" w:lineRule="exact"/>
              <w:jc w:val="center"/>
              <w:rPr>
                <w:rFonts w:ascii="Times New Roman" w:hAnsi="Times New Roman" w:eastAsia="仿宋_GB2312"/>
                <w:color w:val="FF0000"/>
                <w:sz w:val="20"/>
                <w:szCs w:val="20"/>
              </w:rPr>
            </w:pPr>
          </w:p>
        </w:tc>
      </w:tr>
      <w:tr w14:paraId="002296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2" w:hRule="atLeast"/>
        </w:trPr>
        <w:tc>
          <w:tcPr>
            <w:tcW w:w="379" w:type="dxa"/>
            <w:noWrap/>
            <w:tcMar>
              <w:top w:w="15" w:type="dxa"/>
              <w:left w:w="15" w:type="dxa"/>
              <w:right w:w="15" w:type="dxa"/>
            </w:tcMar>
            <w:vAlign w:val="center"/>
          </w:tcPr>
          <w:p w14:paraId="56CDAA73">
            <w:pPr>
              <w:widowControl/>
              <w:spacing w:line="560" w:lineRule="exact"/>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lang w:bidi="ar"/>
              </w:rPr>
              <w:t>21</w:t>
            </w:r>
          </w:p>
        </w:tc>
        <w:tc>
          <w:tcPr>
            <w:tcW w:w="2430" w:type="dxa"/>
            <w:noWrap w:val="0"/>
            <w:tcMar>
              <w:top w:w="15" w:type="dxa"/>
              <w:left w:w="15" w:type="dxa"/>
              <w:right w:w="15" w:type="dxa"/>
            </w:tcMar>
            <w:vAlign w:val="center"/>
          </w:tcPr>
          <w:p w14:paraId="00F6F3DA">
            <w:pPr>
              <w:widowControl/>
              <w:spacing w:line="560" w:lineRule="exact"/>
              <w:jc w:val="center"/>
              <w:textAlignment w:val="center"/>
              <w:rPr>
                <w:rFonts w:ascii="Times New Roman" w:hAnsi="Times New Roman" w:eastAsia="仿宋_GB2312"/>
                <w:color w:val="000000"/>
                <w:sz w:val="22"/>
                <w:szCs w:val="22"/>
              </w:rPr>
            </w:pPr>
            <w:r>
              <w:rPr>
                <w:rFonts w:ascii="Times New Roman" w:hAnsi="Times New Roman" w:eastAsia="仿宋_GB2312"/>
                <w:color w:val="000000"/>
                <w:kern w:val="0"/>
                <w:sz w:val="22"/>
                <w:szCs w:val="22"/>
                <w:lang w:bidi="ar"/>
              </w:rPr>
              <w:t>中国石化销售股份有限公司云南</w:t>
            </w:r>
            <w:r>
              <w:rPr>
                <w:rFonts w:ascii="Times New Roman" w:hAnsi="Times New Roman" w:eastAsia="仿宋_GB2312"/>
                <w:b/>
                <w:color w:val="000000"/>
                <w:kern w:val="0"/>
                <w:sz w:val="22"/>
                <w:szCs w:val="22"/>
                <w:lang w:bidi="ar"/>
              </w:rPr>
              <w:t>昆明藤云加油站</w:t>
            </w:r>
          </w:p>
        </w:tc>
        <w:tc>
          <w:tcPr>
            <w:tcW w:w="1633" w:type="dxa"/>
            <w:noWrap w:val="0"/>
            <w:tcMar>
              <w:top w:w="15" w:type="dxa"/>
              <w:left w:w="15" w:type="dxa"/>
              <w:right w:w="15" w:type="dxa"/>
            </w:tcMar>
            <w:vAlign w:val="center"/>
          </w:tcPr>
          <w:p w14:paraId="7927FE5B">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云南省昆明市官渡区日新路1165号</w:t>
            </w:r>
          </w:p>
        </w:tc>
        <w:tc>
          <w:tcPr>
            <w:tcW w:w="2717" w:type="dxa"/>
            <w:noWrap w:val="0"/>
            <w:tcMar>
              <w:top w:w="15" w:type="dxa"/>
              <w:left w:w="15" w:type="dxa"/>
              <w:right w:w="15" w:type="dxa"/>
            </w:tcMar>
            <w:vAlign w:val="center"/>
          </w:tcPr>
          <w:p w14:paraId="08E2C1DB">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 xml:space="preserve">云昆官安经字[2018]0041发证：2018.8.13-2021.8.12  </w:t>
            </w:r>
          </w:p>
        </w:tc>
        <w:tc>
          <w:tcPr>
            <w:tcW w:w="840" w:type="dxa"/>
            <w:noWrap/>
            <w:tcMar>
              <w:top w:w="15" w:type="dxa"/>
              <w:left w:w="15" w:type="dxa"/>
              <w:right w:w="15" w:type="dxa"/>
            </w:tcMar>
            <w:vAlign w:val="center"/>
          </w:tcPr>
          <w:p w14:paraId="28272918">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三级</w:t>
            </w:r>
          </w:p>
        </w:tc>
        <w:tc>
          <w:tcPr>
            <w:tcW w:w="2160" w:type="dxa"/>
            <w:noWrap/>
            <w:tcMar>
              <w:top w:w="15" w:type="dxa"/>
              <w:left w:w="15" w:type="dxa"/>
              <w:right w:w="15" w:type="dxa"/>
            </w:tcMar>
            <w:vAlign w:val="center"/>
          </w:tcPr>
          <w:p w14:paraId="721CBC4A">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4个，90</w:t>
            </w:r>
          </w:p>
        </w:tc>
        <w:tc>
          <w:tcPr>
            <w:tcW w:w="1856" w:type="dxa"/>
            <w:noWrap/>
            <w:tcMar>
              <w:top w:w="15" w:type="dxa"/>
              <w:left w:w="15" w:type="dxa"/>
              <w:right w:w="15" w:type="dxa"/>
            </w:tcMar>
            <w:vAlign w:val="center"/>
          </w:tcPr>
          <w:p w14:paraId="70289778">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1个，15</w:t>
            </w:r>
          </w:p>
        </w:tc>
        <w:tc>
          <w:tcPr>
            <w:tcW w:w="1130" w:type="dxa"/>
            <w:noWrap w:val="0"/>
            <w:tcMar>
              <w:top w:w="15" w:type="dxa"/>
              <w:left w:w="15" w:type="dxa"/>
              <w:right w:w="15" w:type="dxa"/>
            </w:tcMar>
            <w:vAlign w:val="center"/>
          </w:tcPr>
          <w:p w14:paraId="7F620A31">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吴森</w:t>
            </w:r>
          </w:p>
        </w:tc>
        <w:tc>
          <w:tcPr>
            <w:tcW w:w="1740" w:type="dxa"/>
            <w:vMerge w:val="continue"/>
            <w:noWrap w:val="0"/>
            <w:tcMar>
              <w:top w:w="15" w:type="dxa"/>
              <w:left w:w="15" w:type="dxa"/>
              <w:right w:w="15" w:type="dxa"/>
            </w:tcMar>
            <w:vAlign w:val="center"/>
          </w:tcPr>
          <w:p w14:paraId="2BDAD82B">
            <w:pPr>
              <w:spacing w:line="560" w:lineRule="exact"/>
              <w:jc w:val="center"/>
              <w:rPr>
                <w:rFonts w:ascii="Times New Roman" w:hAnsi="Times New Roman" w:eastAsia="仿宋_GB2312"/>
                <w:color w:val="FF0000"/>
                <w:sz w:val="20"/>
                <w:szCs w:val="20"/>
              </w:rPr>
            </w:pPr>
          </w:p>
        </w:tc>
      </w:tr>
      <w:tr w14:paraId="39BBC4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379" w:type="dxa"/>
            <w:noWrap/>
            <w:tcMar>
              <w:top w:w="15" w:type="dxa"/>
              <w:left w:w="15" w:type="dxa"/>
              <w:right w:w="15" w:type="dxa"/>
            </w:tcMar>
            <w:vAlign w:val="center"/>
          </w:tcPr>
          <w:p w14:paraId="6F4EE41F">
            <w:pPr>
              <w:widowControl/>
              <w:spacing w:line="560" w:lineRule="exact"/>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lang w:bidi="ar"/>
              </w:rPr>
              <w:t>22</w:t>
            </w:r>
          </w:p>
        </w:tc>
        <w:tc>
          <w:tcPr>
            <w:tcW w:w="2430" w:type="dxa"/>
            <w:noWrap w:val="0"/>
            <w:tcMar>
              <w:top w:w="15" w:type="dxa"/>
              <w:left w:w="15" w:type="dxa"/>
              <w:right w:w="15" w:type="dxa"/>
            </w:tcMar>
            <w:vAlign w:val="center"/>
          </w:tcPr>
          <w:p w14:paraId="0F0F1E04">
            <w:pPr>
              <w:widowControl/>
              <w:spacing w:line="560" w:lineRule="exact"/>
              <w:jc w:val="center"/>
              <w:textAlignment w:val="center"/>
              <w:rPr>
                <w:rFonts w:ascii="Times New Roman" w:hAnsi="Times New Roman" w:eastAsia="仿宋_GB2312"/>
                <w:color w:val="000000"/>
                <w:sz w:val="22"/>
                <w:szCs w:val="22"/>
              </w:rPr>
            </w:pPr>
            <w:r>
              <w:rPr>
                <w:rFonts w:ascii="Times New Roman" w:hAnsi="Times New Roman" w:eastAsia="仿宋_GB2312"/>
                <w:color w:val="000000"/>
                <w:kern w:val="0"/>
                <w:sz w:val="22"/>
                <w:szCs w:val="22"/>
                <w:lang w:bidi="ar"/>
              </w:rPr>
              <w:t>中国石化销售股份有限公司云南</w:t>
            </w:r>
            <w:r>
              <w:rPr>
                <w:rFonts w:ascii="Times New Roman" w:hAnsi="Times New Roman" w:eastAsia="仿宋_GB2312"/>
                <w:b/>
                <w:color w:val="000000"/>
                <w:kern w:val="0"/>
                <w:sz w:val="22"/>
                <w:szCs w:val="22"/>
                <w:lang w:bidi="ar"/>
              </w:rPr>
              <w:t>昆明昆盛加油站</w:t>
            </w:r>
          </w:p>
        </w:tc>
        <w:tc>
          <w:tcPr>
            <w:tcW w:w="1633" w:type="dxa"/>
            <w:noWrap w:val="0"/>
            <w:tcMar>
              <w:top w:w="15" w:type="dxa"/>
              <w:left w:w="15" w:type="dxa"/>
              <w:right w:w="15" w:type="dxa"/>
            </w:tcMar>
            <w:vAlign w:val="center"/>
          </w:tcPr>
          <w:p w14:paraId="2676B6F1">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云南省昆明市官渡区东郊上凹18号</w:t>
            </w:r>
          </w:p>
        </w:tc>
        <w:tc>
          <w:tcPr>
            <w:tcW w:w="2717" w:type="dxa"/>
            <w:noWrap w:val="0"/>
            <w:tcMar>
              <w:top w:w="15" w:type="dxa"/>
              <w:left w:w="15" w:type="dxa"/>
              <w:right w:w="15" w:type="dxa"/>
            </w:tcMar>
            <w:vAlign w:val="center"/>
          </w:tcPr>
          <w:p w14:paraId="5E498623">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云昆官安经字【2019】0070　　　发证：2019-9-23</w:t>
            </w:r>
          </w:p>
        </w:tc>
        <w:tc>
          <w:tcPr>
            <w:tcW w:w="840" w:type="dxa"/>
            <w:noWrap/>
            <w:tcMar>
              <w:top w:w="15" w:type="dxa"/>
              <w:left w:w="15" w:type="dxa"/>
              <w:right w:w="15" w:type="dxa"/>
            </w:tcMar>
            <w:vAlign w:val="center"/>
          </w:tcPr>
          <w:p w14:paraId="68C9404B">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三级</w:t>
            </w:r>
          </w:p>
        </w:tc>
        <w:tc>
          <w:tcPr>
            <w:tcW w:w="2160" w:type="dxa"/>
            <w:noWrap/>
            <w:tcMar>
              <w:top w:w="15" w:type="dxa"/>
              <w:left w:w="15" w:type="dxa"/>
              <w:right w:w="15" w:type="dxa"/>
            </w:tcMar>
            <w:vAlign w:val="center"/>
          </w:tcPr>
          <w:p w14:paraId="793957AB">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1个，15</w:t>
            </w:r>
          </w:p>
        </w:tc>
        <w:tc>
          <w:tcPr>
            <w:tcW w:w="1856" w:type="dxa"/>
            <w:noWrap/>
            <w:tcMar>
              <w:top w:w="15" w:type="dxa"/>
              <w:left w:w="15" w:type="dxa"/>
              <w:right w:w="15" w:type="dxa"/>
            </w:tcMar>
            <w:vAlign w:val="center"/>
          </w:tcPr>
          <w:p w14:paraId="2BE15A1D">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1个，50</w:t>
            </w:r>
          </w:p>
        </w:tc>
        <w:tc>
          <w:tcPr>
            <w:tcW w:w="1130" w:type="dxa"/>
            <w:noWrap w:val="0"/>
            <w:tcMar>
              <w:top w:w="15" w:type="dxa"/>
              <w:left w:w="15" w:type="dxa"/>
              <w:right w:w="15" w:type="dxa"/>
            </w:tcMar>
            <w:vAlign w:val="center"/>
          </w:tcPr>
          <w:p w14:paraId="2DF6C277">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吴森</w:t>
            </w:r>
          </w:p>
        </w:tc>
        <w:tc>
          <w:tcPr>
            <w:tcW w:w="1740" w:type="dxa"/>
            <w:vMerge w:val="continue"/>
            <w:noWrap w:val="0"/>
            <w:tcMar>
              <w:top w:w="15" w:type="dxa"/>
              <w:left w:w="15" w:type="dxa"/>
              <w:right w:w="15" w:type="dxa"/>
            </w:tcMar>
            <w:vAlign w:val="center"/>
          </w:tcPr>
          <w:p w14:paraId="23BB14D1">
            <w:pPr>
              <w:spacing w:line="560" w:lineRule="exact"/>
              <w:jc w:val="center"/>
              <w:rPr>
                <w:rFonts w:ascii="Times New Roman" w:hAnsi="Times New Roman" w:eastAsia="仿宋_GB2312"/>
                <w:color w:val="FF0000"/>
                <w:sz w:val="20"/>
                <w:szCs w:val="20"/>
              </w:rPr>
            </w:pPr>
          </w:p>
        </w:tc>
      </w:tr>
      <w:tr w14:paraId="101DB8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9" w:hRule="atLeast"/>
        </w:trPr>
        <w:tc>
          <w:tcPr>
            <w:tcW w:w="379" w:type="dxa"/>
            <w:noWrap/>
            <w:tcMar>
              <w:top w:w="15" w:type="dxa"/>
              <w:left w:w="15" w:type="dxa"/>
              <w:right w:w="15" w:type="dxa"/>
            </w:tcMar>
            <w:vAlign w:val="center"/>
          </w:tcPr>
          <w:p w14:paraId="72E98239">
            <w:pPr>
              <w:widowControl/>
              <w:spacing w:line="560" w:lineRule="exact"/>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lang w:bidi="ar"/>
              </w:rPr>
              <w:t>23</w:t>
            </w:r>
          </w:p>
        </w:tc>
        <w:tc>
          <w:tcPr>
            <w:tcW w:w="2430" w:type="dxa"/>
            <w:noWrap w:val="0"/>
            <w:tcMar>
              <w:top w:w="15" w:type="dxa"/>
              <w:left w:w="15" w:type="dxa"/>
              <w:right w:w="15" w:type="dxa"/>
            </w:tcMar>
            <w:vAlign w:val="center"/>
          </w:tcPr>
          <w:p w14:paraId="0091198F">
            <w:pPr>
              <w:widowControl/>
              <w:spacing w:line="560" w:lineRule="exact"/>
              <w:jc w:val="center"/>
              <w:textAlignment w:val="center"/>
              <w:rPr>
                <w:rFonts w:ascii="Times New Roman" w:hAnsi="Times New Roman" w:eastAsia="仿宋_GB2312"/>
                <w:color w:val="000000"/>
                <w:sz w:val="22"/>
                <w:szCs w:val="22"/>
              </w:rPr>
            </w:pPr>
            <w:r>
              <w:rPr>
                <w:rFonts w:ascii="Times New Roman" w:hAnsi="Times New Roman" w:eastAsia="仿宋_GB2312"/>
                <w:color w:val="000000"/>
                <w:kern w:val="0"/>
                <w:sz w:val="22"/>
                <w:szCs w:val="22"/>
                <w:lang w:bidi="ar"/>
              </w:rPr>
              <w:t>中国石化销售股份有限公司云南</w:t>
            </w:r>
            <w:r>
              <w:rPr>
                <w:rFonts w:ascii="Times New Roman" w:hAnsi="Times New Roman" w:eastAsia="仿宋_GB2312"/>
                <w:b/>
                <w:color w:val="000000"/>
                <w:kern w:val="0"/>
                <w:sz w:val="22"/>
                <w:szCs w:val="22"/>
                <w:lang w:bidi="ar"/>
              </w:rPr>
              <w:t>昆明宏仁加油站</w:t>
            </w:r>
          </w:p>
        </w:tc>
        <w:tc>
          <w:tcPr>
            <w:tcW w:w="1633" w:type="dxa"/>
            <w:noWrap w:val="0"/>
            <w:tcMar>
              <w:top w:w="15" w:type="dxa"/>
              <w:left w:w="15" w:type="dxa"/>
              <w:right w:w="15" w:type="dxa"/>
            </w:tcMar>
            <w:vAlign w:val="center"/>
          </w:tcPr>
          <w:p w14:paraId="4490FAFE">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昆明市新昆洛路东侧广福路以南螺蛳湾旁（南部配套公交车场）</w:t>
            </w:r>
          </w:p>
        </w:tc>
        <w:tc>
          <w:tcPr>
            <w:tcW w:w="2717" w:type="dxa"/>
            <w:noWrap w:val="0"/>
            <w:tcMar>
              <w:top w:w="15" w:type="dxa"/>
              <w:left w:w="15" w:type="dxa"/>
              <w:right w:w="15" w:type="dxa"/>
            </w:tcMar>
            <w:vAlign w:val="center"/>
          </w:tcPr>
          <w:p w14:paraId="39E8D6CC">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云昆官安经字【2019】0054　　　发证：2019.7.16</w:t>
            </w:r>
          </w:p>
        </w:tc>
        <w:tc>
          <w:tcPr>
            <w:tcW w:w="840" w:type="dxa"/>
            <w:noWrap/>
            <w:tcMar>
              <w:top w:w="15" w:type="dxa"/>
              <w:left w:w="15" w:type="dxa"/>
              <w:right w:w="15" w:type="dxa"/>
            </w:tcMar>
            <w:vAlign w:val="center"/>
          </w:tcPr>
          <w:p w14:paraId="7331F4C2">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三级</w:t>
            </w:r>
          </w:p>
        </w:tc>
        <w:tc>
          <w:tcPr>
            <w:tcW w:w="2160" w:type="dxa"/>
            <w:noWrap/>
            <w:tcMar>
              <w:top w:w="15" w:type="dxa"/>
              <w:left w:w="15" w:type="dxa"/>
              <w:right w:w="15" w:type="dxa"/>
            </w:tcMar>
            <w:vAlign w:val="center"/>
          </w:tcPr>
          <w:p w14:paraId="72746C76">
            <w:pPr>
              <w:spacing w:line="560" w:lineRule="exact"/>
              <w:jc w:val="center"/>
              <w:rPr>
                <w:rFonts w:ascii="Times New Roman" w:hAnsi="Times New Roman" w:eastAsia="仿宋_GB2312"/>
                <w:color w:val="000000"/>
                <w:sz w:val="20"/>
                <w:szCs w:val="20"/>
              </w:rPr>
            </w:pPr>
          </w:p>
        </w:tc>
        <w:tc>
          <w:tcPr>
            <w:tcW w:w="1856" w:type="dxa"/>
            <w:noWrap w:val="0"/>
            <w:tcMar>
              <w:top w:w="15" w:type="dxa"/>
              <w:left w:w="15" w:type="dxa"/>
              <w:right w:w="15" w:type="dxa"/>
            </w:tcMar>
            <w:vAlign w:val="center"/>
          </w:tcPr>
          <w:p w14:paraId="48C15C95">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1个，50  2个,30</w:t>
            </w:r>
          </w:p>
        </w:tc>
        <w:tc>
          <w:tcPr>
            <w:tcW w:w="1130" w:type="dxa"/>
            <w:noWrap w:val="0"/>
            <w:tcMar>
              <w:top w:w="15" w:type="dxa"/>
              <w:left w:w="15" w:type="dxa"/>
              <w:right w:w="15" w:type="dxa"/>
            </w:tcMar>
            <w:vAlign w:val="center"/>
          </w:tcPr>
          <w:p w14:paraId="7C26CC64">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吴森</w:t>
            </w:r>
          </w:p>
        </w:tc>
        <w:tc>
          <w:tcPr>
            <w:tcW w:w="1740" w:type="dxa"/>
            <w:vMerge w:val="continue"/>
            <w:noWrap w:val="0"/>
            <w:tcMar>
              <w:top w:w="15" w:type="dxa"/>
              <w:left w:w="15" w:type="dxa"/>
              <w:right w:w="15" w:type="dxa"/>
            </w:tcMar>
            <w:vAlign w:val="center"/>
          </w:tcPr>
          <w:p w14:paraId="0F2955EC">
            <w:pPr>
              <w:spacing w:line="560" w:lineRule="exact"/>
              <w:jc w:val="center"/>
              <w:rPr>
                <w:rFonts w:ascii="Times New Roman" w:hAnsi="Times New Roman" w:eastAsia="仿宋_GB2312"/>
                <w:color w:val="FF0000"/>
                <w:sz w:val="20"/>
                <w:szCs w:val="20"/>
              </w:rPr>
            </w:pPr>
          </w:p>
        </w:tc>
      </w:tr>
      <w:tr w14:paraId="373C79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trPr>
        <w:tc>
          <w:tcPr>
            <w:tcW w:w="379" w:type="dxa"/>
            <w:noWrap/>
            <w:tcMar>
              <w:top w:w="15" w:type="dxa"/>
              <w:left w:w="15" w:type="dxa"/>
              <w:right w:w="15" w:type="dxa"/>
            </w:tcMar>
            <w:vAlign w:val="center"/>
          </w:tcPr>
          <w:p w14:paraId="7B67B829">
            <w:pPr>
              <w:widowControl/>
              <w:spacing w:line="560" w:lineRule="exact"/>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lang w:bidi="ar"/>
              </w:rPr>
              <w:t>24</w:t>
            </w:r>
          </w:p>
        </w:tc>
        <w:tc>
          <w:tcPr>
            <w:tcW w:w="2430" w:type="dxa"/>
            <w:noWrap w:val="0"/>
            <w:tcMar>
              <w:top w:w="15" w:type="dxa"/>
              <w:left w:w="15" w:type="dxa"/>
              <w:right w:w="15" w:type="dxa"/>
            </w:tcMar>
            <w:vAlign w:val="center"/>
          </w:tcPr>
          <w:p w14:paraId="42DD520E">
            <w:pPr>
              <w:widowControl/>
              <w:spacing w:line="560" w:lineRule="exact"/>
              <w:jc w:val="center"/>
              <w:textAlignment w:val="center"/>
              <w:rPr>
                <w:rFonts w:ascii="Times New Roman" w:hAnsi="Times New Roman" w:eastAsia="仿宋_GB2312"/>
                <w:color w:val="000000"/>
                <w:sz w:val="22"/>
                <w:szCs w:val="22"/>
              </w:rPr>
            </w:pPr>
            <w:r>
              <w:rPr>
                <w:rFonts w:ascii="Times New Roman" w:hAnsi="Times New Roman" w:eastAsia="仿宋_GB2312"/>
                <w:color w:val="000000"/>
                <w:kern w:val="0"/>
                <w:sz w:val="22"/>
                <w:szCs w:val="22"/>
                <w:lang w:bidi="ar"/>
              </w:rPr>
              <w:t>中国石化销售股份有限公司云南</w:t>
            </w:r>
            <w:r>
              <w:rPr>
                <w:rFonts w:ascii="Times New Roman" w:hAnsi="Times New Roman" w:eastAsia="仿宋_GB2312"/>
                <w:b/>
                <w:color w:val="000000"/>
                <w:kern w:val="0"/>
                <w:sz w:val="22"/>
                <w:szCs w:val="22"/>
                <w:lang w:bidi="ar"/>
              </w:rPr>
              <w:t>昆明十里加油站</w:t>
            </w:r>
          </w:p>
        </w:tc>
        <w:tc>
          <w:tcPr>
            <w:tcW w:w="1633" w:type="dxa"/>
            <w:noWrap w:val="0"/>
            <w:tcMar>
              <w:top w:w="15" w:type="dxa"/>
              <w:left w:w="15" w:type="dxa"/>
              <w:right w:w="15" w:type="dxa"/>
            </w:tcMar>
            <w:vAlign w:val="center"/>
          </w:tcPr>
          <w:p w14:paraId="04000C8E">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云南省昆明市官渡区金马街道东绕接支线与二环东路交叉口处</w:t>
            </w:r>
          </w:p>
        </w:tc>
        <w:tc>
          <w:tcPr>
            <w:tcW w:w="2717" w:type="dxa"/>
            <w:noWrap w:val="0"/>
            <w:tcMar>
              <w:top w:w="15" w:type="dxa"/>
              <w:left w:w="15" w:type="dxa"/>
              <w:right w:w="15" w:type="dxa"/>
            </w:tcMar>
            <w:vAlign w:val="center"/>
          </w:tcPr>
          <w:p w14:paraId="4271EE07">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云昆官安经字[2019]0059　　　发证：2019-7-29</w:t>
            </w:r>
          </w:p>
        </w:tc>
        <w:tc>
          <w:tcPr>
            <w:tcW w:w="840" w:type="dxa"/>
            <w:noWrap/>
            <w:tcMar>
              <w:top w:w="15" w:type="dxa"/>
              <w:left w:w="15" w:type="dxa"/>
              <w:right w:w="15" w:type="dxa"/>
            </w:tcMar>
            <w:vAlign w:val="center"/>
          </w:tcPr>
          <w:p w14:paraId="1C527084">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二级</w:t>
            </w:r>
          </w:p>
        </w:tc>
        <w:tc>
          <w:tcPr>
            <w:tcW w:w="2160" w:type="dxa"/>
            <w:noWrap/>
            <w:tcMar>
              <w:top w:w="15" w:type="dxa"/>
              <w:left w:w="15" w:type="dxa"/>
              <w:right w:w="15" w:type="dxa"/>
            </w:tcMar>
            <w:vAlign w:val="center"/>
          </w:tcPr>
          <w:p w14:paraId="45289486">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3个，90</w:t>
            </w:r>
          </w:p>
        </w:tc>
        <w:tc>
          <w:tcPr>
            <w:tcW w:w="1856" w:type="dxa"/>
            <w:noWrap/>
            <w:tcMar>
              <w:top w:w="15" w:type="dxa"/>
              <w:left w:w="15" w:type="dxa"/>
              <w:right w:w="15" w:type="dxa"/>
            </w:tcMar>
            <w:vAlign w:val="center"/>
          </w:tcPr>
          <w:p w14:paraId="26F9B132">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1个，50</w:t>
            </w:r>
          </w:p>
        </w:tc>
        <w:tc>
          <w:tcPr>
            <w:tcW w:w="1130" w:type="dxa"/>
            <w:noWrap w:val="0"/>
            <w:tcMar>
              <w:top w:w="15" w:type="dxa"/>
              <w:left w:w="15" w:type="dxa"/>
              <w:right w:w="15" w:type="dxa"/>
            </w:tcMar>
            <w:vAlign w:val="center"/>
          </w:tcPr>
          <w:p w14:paraId="55FC9077">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吴森</w:t>
            </w:r>
          </w:p>
        </w:tc>
        <w:tc>
          <w:tcPr>
            <w:tcW w:w="1740" w:type="dxa"/>
            <w:vMerge w:val="continue"/>
            <w:noWrap w:val="0"/>
            <w:tcMar>
              <w:top w:w="15" w:type="dxa"/>
              <w:left w:w="15" w:type="dxa"/>
              <w:right w:w="15" w:type="dxa"/>
            </w:tcMar>
            <w:vAlign w:val="center"/>
          </w:tcPr>
          <w:p w14:paraId="6ECD91C4">
            <w:pPr>
              <w:spacing w:line="560" w:lineRule="exact"/>
              <w:jc w:val="center"/>
              <w:rPr>
                <w:rFonts w:ascii="Times New Roman" w:hAnsi="Times New Roman" w:eastAsia="仿宋_GB2312"/>
                <w:color w:val="FF0000"/>
                <w:sz w:val="20"/>
                <w:szCs w:val="20"/>
              </w:rPr>
            </w:pPr>
          </w:p>
        </w:tc>
      </w:tr>
      <w:tr w14:paraId="114775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0" w:hRule="atLeast"/>
        </w:trPr>
        <w:tc>
          <w:tcPr>
            <w:tcW w:w="379" w:type="dxa"/>
            <w:noWrap/>
            <w:tcMar>
              <w:top w:w="15" w:type="dxa"/>
              <w:left w:w="15" w:type="dxa"/>
              <w:right w:w="15" w:type="dxa"/>
            </w:tcMar>
            <w:vAlign w:val="center"/>
          </w:tcPr>
          <w:p w14:paraId="1C0A6473">
            <w:pPr>
              <w:widowControl/>
              <w:spacing w:line="560" w:lineRule="exact"/>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lang w:bidi="ar"/>
              </w:rPr>
              <w:t>25</w:t>
            </w:r>
          </w:p>
        </w:tc>
        <w:tc>
          <w:tcPr>
            <w:tcW w:w="2430" w:type="dxa"/>
            <w:noWrap w:val="0"/>
            <w:tcMar>
              <w:top w:w="15" w:type="dxa"/>
              <w:left w:w="15" w:type="dxa"/>
              <w:right w:w="15" w:type="dxa"/>
            </w:tcMar>
            <w:vAlign w:val="center"/>
          </w:tcPr>
          <w:p w14:paraId="7CE94EE4">
            <w:pPr>
              <w:widowControl/>
              <w:spacing w:line="560" w:lineRule="exact"/>
              <w:jc w:val="center"/>
              <w:textAlignment w:val="center"/>
              <w:rPr>
                <w:rFonts w:ascii="Times New Roman" w:hAnsi="Times New Roman" w:eastAsia="仿宋_GB2312"/>
                <w:color w:val="000000"/>
                <w:sz w:val="22"/>
                <w:szCs w:val="22"/>
              </w:rPr>
            </w:pPr>
            <w:r>
              <w:rPr>
                <w:rFonts w:ascii="Times New Roman" w:hAnsi="Times New Roman" w:eastAsia="仿宋_GB2312"/>
                <w:color w:val="000000"/>
                <w:kern w:val="0"/>
                <w:sz w:val="22"/>
                <w:szCs w:val="22"/>
                <w:lang w:bidi="ar"/>
              </w:rPr>
              <w:t>中国航油集团云南石油有限公司</w:t>
            </w:r>
            <w:r>
              <w:rPr>
                <w:rFonts w:ascii="Times New Roman" w:hAnsi="Times New Roman" w:eastAsia="仿宋_GB2312"/>
                <w:b/>
                <w:color w:val="000000"/>
                <w:kern w:val="0"/>
                <w:sz w:val="22"/>
                <w:szCs w:val="22"/>
                <w:lang w:bidi="ar"/>
              </w:rPr>
              <w:t>昆明机场加油一站</w:t>
            </w:r>
          </w:p>
        </w:tc>
        <w:tc>
          <w:tcPr>
            <w:tcW w:w="1633" w:type="dxa"/>
            <w:noWrap w:val="0"/>
            <w:tcMar>
              <w:top w:w="15" w:type="dxa"/>
              <w:left w:w="15" w:type="dxa"/>
              <w:right w:w="15" w:type="dxa"/>
            </w:tcMar>
            <w:vAlign w:val="center"/>
          </w:tcPr>
          <w:p w14:paraId="05299149">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昆明市官渡区巫家坝民航机场巫家巷241号</w:t>
            </w:r>
          </w:p>
        </w:tc>
        <w:tc>
          <w:tcPr>
            <w:tcW w:w="2717" w:type="dxa"/>
            <w:noWrap w:val="0"/>
            <w:tcMar>
              <w:top w:w="15" w:type="dxa"/>
              <w:left w:w="15" w:type="dxa"/>
              <w:right w:w="15" w:type="dxa"/>
            </w:tcMar>
            <w:vAlign w:val="center"/>
          </w:tcPr>
          <w:p w14:paraId="3A05455B">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云昆官安经字［2018］00054　发证：2018-9-14</w:t>
            </w:r>
          </w:p>
        </w:tc>
        <w:tc>
          <w:tcPr>
            <w:tcW w:w="840" w:type="dxa"/>
            <w:noWrap w:val="0"/>
            <w:tcMar>
              <w:top w:w="15" w:type="dxa"/>
              <w:left w:w="15" w:type="dxa"/>
              <w:right w:w="15" w:type="dxa"/>
            </w:tcMar>
            <w:vAlign w:val="center"/>
          </w:tcPr>
          <w:p w14:paraId="7C21508A">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二级</w:t>
            </w:r>
          </w:p>
        </w:tc>
        <w:tc>
          <w:tcPr>
            <w:tcW w:w="2160" w:type="dxa"/>
            <w:noWrap w:val="0"/>
            <w:tcMar>
              <w:top w:w="15" w:type="dxa"/>
              <w:left w:w="15" w:type="dxa"/>
              <w:right w:w="15" w:type="dxa"/>
            </w:tcMar>
            <w:vAlign w:val="center"/>
          </w:tcPr>
          <w:p w14:paraId="0229EEFE">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4个  100m3</w:t>
            </w:r>
          </w:p>
        </w:tc>
        <w:tc>
          <w:tcPr>
            <w:tcW w:w="1856" w:type="dxa"/>
            <w:noWrap w:val="0"/>
            <w:tcMar>
              <w:top w:w="15" w:type="dxa"/>
              <w:left w:w="15" w:type="dxa"/>
              <w:right w:w="15" w:type="dxa"/>
            </w:tcMar>
            <w:vAlign w:val="center"/>
          </w:tcPr>
          <w:p w14:paraId="01C43E10">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2个  50m3</w:t>
            </w:r>
          </w:p>
        </w:tc>
        <w:tc>
          <w:tcPr>
            <w:tcW w:w="1130" w:type="dxa"/>
            <w:noWrap w:val="0"/>
            <w:tcMar>
              <w:top w:w="15" w:type="dxa"/>
              <w:left w:w="15" w:type="dxa"/>
              <w:right w:w="15" w:type="dxa"/>
            </w:tcMar>
            <w:vAlign w:val="center"/>
          </w:tcPr>
          <w:p w14:paraId="400DA966">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谈燕成</w:t>
            </w:r>
          </w:p>
        </w:tc>
        <w:tc>
          <w:tcPr>
            <w:tcW w:w="1740" w:type="dxa"/>
            <w:vMerge w:val="restart"/>
            <w:noWrap w:val="0"/>
            <w:tcMar>
              <w:top w:w="15" w:type="dxa"/>
              <w:left w:w="15" w:type="dxa"/>
              <w:right w:w="15" w:type="dxa"/>
            </w:tcMar>
            <w:vAlign w:val="center"/>
          </w:tcPr>
          <w:p w14:paraId="1DEC0377">
            <w:pPr>
              <w:widowControl/>
              <w:spacing w:line="560" w:lineRule="exact"/>
              <w:jc w:val="center"/>
              <w:textAlignment w:val="center"/>
              <w:rPr>
                <w:rFonts w:ascii="Times New Roman" w:hAnsi="Times New Roman" w:eastAsia="仿宋_GB2312"/>
                <w:color w:val="000000"/>
                <w:kern w:val="0"/>
                <w:sz w:val="20"/>
                <w:szCs w:val="20"/>
                <w:lang w:bidi="ar"/>
              </w:rPr>
            </w:pPr>
            <w:r>
              <w:rPr>
                <w:rFonts w:ascii="Times New Roman" w:hAnsi="Times New Roman" w:eastAsia="仿宋_GB2312"/>
                <w:color w:val="000000"/>
                <w:kern w:val="0"/>
                <w:sz w:val="20"/>
                <w:szCs w:val="20"/>
                <w:lang w:bidi="ar"/>
              </w:rPr>
              <w:t>谈燕成13608714588　  张力13888107209 QQ:494032491</w:t>
            </w:r>
          </w:p>
        </w:tc>
      </w:tr>
      <w:tr w14:paraId="09EDA8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379" w:type="dxa"/>
            <w:noWrap/>
            <w:tcMar>
              <w:top w:w="15" w:type="dxa"/>
              <w:left w:w="15" w:type="dxa"/>
              <w:right w:w="15" w:type="dxa"/>
            </w:tcMar>
            <w:vAlign w:val="center"/>
          </w:tcPr>
          <w:p w14:paraId="4695E44B">
            <w:pPr>
              <w:widowControl/>
              <w:spacing w:line="560" w:lineRule="exact"/>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lang w:bidi="ar"/>
              </w:rPr>
              <w:t>26</w:t>
            </w:r>
          </w:p>
        </w:tc>
        <w:tc>
          <w:tcPr>
            <w:tcW w:w="2430" w:type="dxa"/>
            <w:noWrap w:val="0"/>
            <w:tcMar>
              <w:top w:w="15" w:type="dxa"/>
              <w:left w:w="15" w:type="dxa"/>
              <w:right w:w="15" w:type="dxa"/>
            </w:tcMar>
            <w:vAlign w:val="center"/>
          </w:tcPr>
          <w:p w14:paraId="695FCC00">
            <w:pPr>
              <w:widowControl/>
              <w:spacing w:line="560" w:lineRule="exact"/>
              <w:jc w:val="center"/>
              <w:textAlignment w:val="center"/>
              <w:rPr>
                <w:rFonts w:ascii="Times New Roman" w:hAnsi="Times New Roman" w:eastAsia="仿宋_GB2312"/>
                <w:color w:val="000000"/>
                <w:sz w:val="22"/>
                <w:szCs w:val="22"/>
              </w:rPr>
            </w:pPr>
            <w:r>
              <w:rPr>
                <w:rFonts w:ascii="Times New Roman" w:hAnsi="Times New Roman" w:eastAsia="仿宋_GB2312"/>
                <w:color w:val="000000"/>
                <w:kern w:val="0"/>
                <w:sz w:val="22"/>
                <w:szCs w:val="22"/>
                <w:lang w:bidi="ar"/>
              </w:rPr>
              <w:t>中国航油集团云南石油有限公司</w:t>
            </w:r>
            <w:r>
              <w:rPr>
                <w:rFonts w:ascii="Times New Roman" w:hAnsi="Times New Roman" w:eastAsia="仿宋_GB2312"/>
                <w:b/>
                <w:color w:val="000000"/>
                <w:kern w:val="0"/>
                <w:sz w:val="22"/>
                <w:szCs w:val="22"/>
                <w:lang w:bidi="ar"/>
              </w:rPr>
              <w:t>昆明机场加油二站</w:t>
            </w:r>
          </w:p>
        </w:tc>
        <w:tc>
          <w:tcPr>
            <w:tcW w:w="1633" w:type="dxa"/>
            <w:noWrap w:val="0"/>
            <w:tcMar>
              <w:top w:w="15" w:type="dxa"/>
              <w:left w:w="15" w:type="dxa"/>
              <w:right w:w="15" w:type="dxa"/>
            </w:tcMar>
            <w:vAlign w:val="center"/>
          </w:tcPr>
          <w:p w14:paraId="67B90A11">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昆明市巫家坝民航机场</w:t>
            </w:r>
          </w:p>
        </w:tc>
        <w:tc>
          <w:tcPr>
            <w:tcW w:w="2717" w:type="dxa"/>
            <w:noWrap w:val="0"/>
            <w:tcMar>
              <w:top w:w="15" w:type="dxa"/>
              <w:left w:w="15" w:type="dxa"/>
              <w:right w:w="15" w:type="dxa"/>
            </w:tcMar>
            <w:vAlign w:val="center"/>
          </w:tcPr>
          <w:p w14:paraId="5BDB5896">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云昆官安经字【2018】00055    发证:2018-9-14</w:t>
            </w:r>
          </w:p>
        </w:tc>
        <w:tc>
          <w:tcPr>
            <w:tcW w:w="840" w:type="dxa"/>
            <w:noWrap w:val="0"/>
            <w:tcMar>
              <w:top w:w="15" w:type="dxa"/>
              <w:left w:w="15" w:type="dxa"/>
              <w:right w:w="15" w:type="dxa"/>
            </w:tcMar>
            <w:vAlign w:val="center"/>
          </w:tcPr>
          <w:p w14:paraId="4E9AC20D">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二级</w:t>
            </w:r>
          </w:p>
        </w:tc>
        <w:tc>
          <w:tcPr>
            <w:tcW w:w="2160" w:type="dxa"/>
            <w:noWrap w:val="0"/>
            <w:tcMar>
              <w:top w:w="15" w:type="dxa"/>
              <w:left w:w="15" w:type="dxa"/>
              <w:right w:w="15" w:type="dxa"/>
            </w:tcMar>
            <w:vAlign w:val="center"/>
          </w:tcPr>
          <w:p w14:paraId="5F8CC7E7">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3个90m³</w:t>
            </w:r>
          </w:p>
        </w:tc>
        <w:tc>
          <w:tcPr>
            <w:tcW w:w="1856" w:type="dxa"/>
            <w:noWrap w:val="0"/>
            <w:tcMar>
              <w:top w:w="15" w:type="dxa"/>
              <w:left w:w="15" w:type="dxa"/>
              <w:right w:w="15" w:type="dxa"/>
            </w:tcMar>
            <w:vAlign w:val="center"/>
          </w:tcPr>
          <w:p w14:paraId="120190C2">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1个30m³</w:t>
            </w:r>
          </w:p>
        </w:tc>
        <w:tc>
          <w:tcPr>
            <w:tcW w:w="1130" w:type="dxa"/>
            <w:noWrap w:val="0"/>
            <w:tcMar>
              <w:top w:w="15" w:type="dxa"/>
              <w:left w:w="15" w:type="dxa"/>
              <w:right w:w="15" w:type="dxa"/>
            </w:tcMar>
            <w:vAlign w:val="center"/>
          </w:tcPr>
          <w:p w14:paraId="46E8F5DE">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谈燕成</w:t>
            </w:r>
          </w:p>
        </w:tc>
        <w:tc>
          <w:tcPr>
            <w:tcW w:w="1740" w:type="dxa"/>
            <w:vMerge w:val="continue"/>
            <w:noWrap w:val="0"/>
            <w:tcMar>
              <w:top w:w="15" w:type="dxa"/>
              <w:left w:w="15" w:type="dxa"/>
              <w:right w:w="15" w:type="dxa"/>
            </w:tcMar>
            <w:vAlign w:val="center"/>
          </w:tcPr>
          <w:p w14:paraId="10D41009">
            <w:pPr>
              <w:spacing w:line="560" w:lineRule="exact"/>
              <w:jc w:val="center"/>
              <w:rPr>
                <w:rFonts w:ascii="Times New Roman" w:hAnsi="Times New Roman" w:eastAsia="仿宋_GB2312"/>
                <w:color w:val="000000"/>
                <w:kern w:val="0"/>
                <w:sz w:val="20"/>
                <w:szCs w:val="20"/>
                <w:lang w:bidi="ar"/>
              </w:rPr>
            </w:pPr>
          </w:p>
        </w:tc>
      </w:tr>
      <w:tr w14:paraId="63EAF6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9" w:hRule="atLeast"/>
        </w:trPr>
        <w:tc>
          <w:tcPr>
            <w:tcW w:w="379" w:type="dxa"/>
            <w:noWrap/>
            <w:tcMar>
              <w:top w:w="15" w:type="dxa"/>
              <w:left w:w="15" w:type="dxa"/>
              <w:right w:w="15" w:type="dxa"/>
            </w:tcMar>
            <w:vAlign w:val="center"/>
          </w:tcPr>
          <w:p w14:paraId="3FF67330">
            <w:pPr>
              <w:widowControl/>
              <w:spacing w:line="560" w:lineRule="exact"/>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lang w:bidi="ar"/>
              </w:rPr>
              <w:t>27</w:t>
            </w:r>
          </w:p>
        </w:tc>
        <w:tc>
          <w:tcPr>
            <w:tcW w:w="2430" w:type="dxa"/>
            <w:noWrap w:val="0"/>
            <w:tcMar>
              <w:top w:w="15" w:type="dxa"/>
              <w:left w:w="15" w:type="dxa"/>
              <w:right w:w="15" w:type="dxa"/>
            </w:tcMar>
            <w:vAlign w:val="center"/>
          </w:tcPr>
          <w:p w14:paraId="395D2E66">
            <w:pPr>
              <w:widowControl/>
              <w:spacing w:line="560" w:lineRule="exact"/>
              <w:jc w:val="center"/>
              <w:textAlignment w:val="center"/>
              <w:rPr>
                <w:rFonts w:ascii="Times New Roman" w:hAnsi="Times New Roman" w:eastAsia="仿宋_GB2312"/>
                <w:b/>
                <w:color w:val="000000"/>
                <w:sz w:val="22"/>
                <w:szCs w:val="22"/>
              </w:rPr>
            </w:pPr>
            <w:r>
              <w:rPr>
                <w:rFonts w:ascii="Times New Roman" w:hAnsi="Times New Roman" w:eastAsia="仿宋_GB2312"/>
                <w:b/>
                <w:color w:val="000000"/>
                <w:kern w:val="0"/>
                <w:sz w:val="22"/>
                <w:szCs w:val="22"/>
                <w:lang w:bidi="ar"/>
              </w:rPr>
              <w:t>中石油关东加油站</w:t>
            </w:r>
          </w:p>
        </w:tc>
        <w:tc>
          <w:tcPr>
            <w:tcW w:w="1633" w:type="dxa"/>
            <w:noWrap w:val="0"/>
            <w:tcMar>
              <w:top w:w="15" w:type="dxa"/>
              <w:left w:w="15" w:type="dxa"/>
              <w:right w:w="15" w:type="dxa"/>
            </w:tcMar>
            <w:vAlign w:val="center"/>
          </w:tcPr>
          <w:p w14:paraId="28D90C68">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云南省昆明市官渡区关上东路138号</w:t>
            </w:r>
          </w:p>
        </w:tc>
        <w:tc>
          <w:tcPr>
            <w:tcW w:w="2717" w:type="dxa"/>
            <w:noWrap w:val="0"/>
            <w:tcMar>
              <w:top w:w="15" w:type="dxa"/>
              <w:left w:w="15" w:type="dxa"/>
              <w:right w:w="15" w:type="dxa"/>
            </w:tcMar>
            <w:vAlign w:val="center"/>
          </w:tcPr>
          <w:p w14:paraId="31DEE324">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云昆官安经字[2019]0023           　　　发证：2019-3-21</w:t>
            </w:r>
          </w:p>
        </w:tc>
        <w:tc>
          <w:tcPr>
            <w:tcW w:w="840" w:type="dxa"/>
            <w:noWrap w:val="0"/>
            <w:tcMar>
              <w:top w:w="15" w:type="dxa"/>
              <w:left w:w="15" w:type="dxa"/>
              <w:right w:w="15" w:type="dxa"/>
            </w:tcMar>
            <w:vAlign w:val="center"/>
          </w:tcPr>
          <w:p w14:paraId="468A14DC">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二级</w:t>
            </w:r>
          </w:p>
        </w:tc>
        <w:tc>
          <w:tcPr>
            <w:tcW w:w="2160" w:type="dxa"/>
            <w:noWrap w:val="0"/>
            <w:tcMar>
              <w:top w:w="15" w:type="dxa"/>
              <w:left w:w="15" w:type="dxa"/>
              <w:right w:w="15" w:type="dxa"/>
            </w:tcMar>
            <w:vAlign w:val="center"/>
          </w:tcPr>
          <w:p w14:paraId="1363D3D5">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2</w:t>
            </w:r>
          </w:p>
        </w:tc>
        <w:tc>
          <w:tcPr>
            <w:tcW w:w="1856" w:type="dxa"/>
            <w:noWrap w:val="0"/>
            <w:tcMar>
              <w:top w:w="15" w:type="dxa"/>
              <w:left w:w="15" w:type="dxa"/>
              <w:right w:w="15" w:type="dxa"/>
            </w:tcMar>
            <w:vAlign w:val="center"/>
          </w:tcPr>
          <w:p w14:paraId="533A6896">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1</w:t>
            </w:r>
          </w:p>
        </w:tc>
        <w:tc>
          <w:tcPr>
            <w:tcW w:w="1130" w:type="dxa"/>
            <w:vMerge w:val="restart"/>
            <w:noWrap w:val="0"/>
            <w:tcMar>
              <w:top w:w="15" w:type="dxa"/>
              <w:left w:w="15" w:type="dxa"/>
              <w:right w:w="15" w:type="dxa"/>
            </w:tcMar>
            <w:vAlign w:val="center"/>
          </w:tcPr>
          <w:p w14:paraId="1EF0D32D">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徐启东</w:t>
            </w:r>
          </w:p>
        </w:tc>
        <w:tc>
          <w:tcPr>
            <w:tcW w:w="1740" w:type="dxa"/>
            <w:vMerge w:val="restart"/>
            <w:noWrap w:val="0"/>
            <w:tcMar>
              <w:top w:w="15" w:type="dxa"/>
              <w:left w:w="15" w:type="dxa"/>
              <w:right w:w="15" w:type="dxa"/>
            </w:tcMar>
            <w:vAlign w:val="center"/>
          </w:tcPr>
          <w:p w14:paraId="01338AE2">
            <w:pPr>
              <w:widowControl/>
              <w:spacing w:line="560" w:lineRule="exact"/>
              <w:jc w:val="center"/>
              <w:textAlignment w:val="center"/>
              <w:rPr>
                <w:rFonts w:ascii="Times New Roman" w:hAnsi="Times New Roman" w:eastAsia="仿宋_GB2312"/>
                <w:color w:val="000000"/>
                <w:kern w:val="0"/>
                <w:sz w:val="20"/>
                <w:szCs w:val="20"/>
                <w:lang w:bidi="ar"/>
              </w:rPr>
            </w:pPr>
            <w:r>
              <w:rPr>
                <w:rFonts w:ascii="Times New Roman" w:hAnsi="Times New Roman" w:eastAsia="仿宋_GB2312"/>
                <w:color w:val="000000"/>
                <w:kern w:val="0"/>
                <w:sz w:val="20"/>
                <w:szCs w:val="20"/>
                <w:lang w:bidi="ar"/>
              </w:rPr>
              <w:t>王丽萍15887194524  QQ:540843620</w:t>
            </w:r>
          </w:p>
        </w:tc>
      </w:tr>
      <w:tr w14:paraId="5A146A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2" w:hRule="atLeast"/>
        </w:trPr>
        <w:tc>
          <w:tcPr>
            <w:tcW w:w="379" w:type="dxa"/>
            <w:noWrap/>
            <w:tcMar>
              <w:top w:w="15" w:type="dxa"/>
              <w:left w:w="15" w:type="dxa"/>
              <w:right w:w="15" w:type="dxa"/>
            </w:tcMar>
            <w:vAlign w:val="center"/>
          </w:tcPr>
          <w:p w14:paraId="551FDB9D">
            <w:pPr>
              <w:widowControl/>
              <w:spacing w:line="560" w:lineRule="exact"/>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lang w:bidi="ar"/>
              </w:rPr>
              <w:t>28</w:t>
            </w:r>
          </w:p>
        </w:tc>
        <w:tc>
          <w:tcPr>
            <w:tcW w:w="2430" w:type="dxa"/>
            <w:noWrap w:val="0"/>
            <w:tcMar>
              <w:top w:w="15" w:type="dxa"/>
              <w:left w:w="15" w:type="dxa"/>
              <w:right w:w="15" w:type="dxa"/>
            </w:tcMar>
            <w:vAlign w:val="center"/>
          </w:tcPr>
          <w:p w14:paraId="781CBEDF">
            <w:pPr>
              <w:widowControl/>
              <w:spacing w:line="560" w:lineRule="exact"/>
              <w:jc w:val="center"/>
              <w:textAlignment w:val="center"/>
              <w:rPr>
                <w:rFonts w:ascii="Times New Roman" w:hAnsi="Times New Roman" w:eastAsia="仿宋_GB2312"/>
                <w:b/>
                <w:color w:val="000000"/>
                <w:sz w:val="22"/>
                <w:szCs w:val="22"/>
              </w:rPr>
            </w:pPr>
            <w:r>
              <w:rPr>
                <w:rFonts w:ascii="Times New Roman" w:hAnsi="Times New Roman" w:eastAsia="仿宋_GB2312"/>
                <w:b/>
                <w:color w:val="000000"/>
                <w:kern w:val="0"/>
                <w:sz w:val="22"/>
                <w:szCs w:val="22"/>
                <w:lang w:bidi="ar"/>
              </w:rPr>
              <w:t>中石油关雨加油站</w:t>
            </w:r>
          </w:p>
        </w:tc>
        <w:tc>
          <w:tcPr>
            <w:tcW w:w="1633" w:type="dxa"/>
            <w:noWrap w:val="0"/>
            <w:tcMar>
              <w:top w:w="15" w:type="dxa"/>
              <w:left w:w="15" w:type="dxa"/>
              <w:right w:w="15" w:type="dxa"/>
            </w:tcMar>
            <w:vAlign w:val="center"/>
          </w:tcPr>
          <w:p w14:paraId="1641C539">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云南省昆明市官渡区关雨路中段</w:t>
            </w:r>
          </w:p>
        </w:tc>
        <w:tc>
          <w:tcPr>
            <w:tcW w:w="2717" w:type="dxa"/>
            <w:noWrap w:val="0"/>
            <w:tcMar>
              <w:top w:w="15" w:type="dxa"/>
              <w:left w:w="15" w:type="dxa"/>
              <w:right w:w="15" w:type="dxa"/>
            </w:tcMar>
            <w:vAlign w:val="center"/>
          </w:tcPr>
          <w:p w14:paraId="5EAB07D2">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云昆官安经字[2018]0031　             　发证：2018-7-17</w:t>
            </w:r>
          </w:p>
        </w:tc>
        <w:tc>
          <w:tcPr>
            <w:tcW w:w="840" w:type="dxa"/>
            <w:noWrap w:val="0"/>
            <w:tcMar>
              <w:top w:w="15" w:type="dxa"/>
              <w:left w:w="15" w:type="dxa"/>
              <w:right w:w="15" w:type="dxa"/>
            </w:tcMar>
            <w:vAlign w:val="center"/>
          </w:tcPr>
          <w:p w14:paraId="111F3FD7">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二级</w:t>
            </w:r>
          </w:p>
        </w:tc>
        <w:tc>
          <w:tcPr>
            <w:tcW w:w="2160" w:type="dxa"/>
            <w:noWrap w:val="0"/>
            <w:tcMar>
              <w:top w:w="15" w:type="dxa"/>
              <w:left w:w="15" w:type="dxa"/>
              <w:right w:w="15" w:type="dxa"/>
            </w:tcMar>
            <w:vAlign w:val="center"/>
          </w:tcPr>
          <w:p w14:paraId="34F7EF66">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3个130m</w:t>
            </w:r>
            <w:r>
              <w:rPr>
                <w:rStyle w:val="11"/>
                <w:rFonts w:hint="default" w:ascii="Times New Roman" w:hAnsi="Times New Roman" w:cs="Times New Roman"/>
                <w:lang w:bidi="ar"/>
              </w:rPr>
              <w:t>³</w:t>
            </w:r>
          </w:p>
        </w:tc>
        <w:tc>
          <w:tcPr>
            <w:tcW w:w="1856" w:type="dxa"/>
            <w:noWrap w:val="0"/>
            <w:tcMar>
              <w:top w:w="15" w:type="dxa"/>
              <w:left w:w="15" w:type="dxa"/>
              <w:right w:w="15" w:type="dxa"/>
            </w:tcMar>
            <w:vAlign w:val="center"/>
          </w:tcPr>
          <w:p w14:paraId="05335EDF">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1个30m</w:t>
            </w:r>
            <w:r>
              <w:rPr>
                <w:rStyle w:val="11"/>
                <w:rFonts w:hint="default" w:ascii="Times New Roman" w:hAnsi="Times New Roman" w:cs="Times New Roman"/>
                <w:lang w:bidi="ar"/>
              </w:rPr>
              <w:t>³</w:t>
            </w:r>
          </w:p>
        </w:tc>
        <w:tc>
          <w:tcPr>
            <w:tcW w:w="1130" w:type="dxa"/>
            <w:vMerge w:val="continue"/>
            <w:noWrap w:val="0"/>
            <w:tcMar>
              <w:top w:w="15" w:type="dxa"/>
              <w:left w:w="15" w:type="dxa"/>
              <w:right w:w="15" w:type="dxa"/>
            </w:tcMar>
            <w:vAlign w:val="center"/>
          </w:tcPr>
          <w:p w14:paraId="5119E27C">
            <w:pPr>
              <w:spacing w:line="560" w:lineRule="exact"/>
              <w:jc w:val="center"/>
              <w:rPr>
                <w:rFonts w:ascii="Times New Roman" w:hAnsi="Times New Roman" w:eastAsia="仿宋_GB2312"/>
                <w:color w:val="000000"/>
                <w:sz w:val="20"/>
                <w:szCs w:val="20"/>
              </w:rPr>
            </w:pPr>
          </w:p>
        </w:tc>
        <w:tc>
          <w:tcPr>
            <w:tcW w:w="1740" w:type="dxa"/>
            <w:vMerge w:val="continue"/>
            <w:noWrap w:val="0"/>
            <w:tcMar>
              <w:top w:w="15" w:type="dxa"/>
              <w:left w:w="15" w:type="dxa"/>
              <w:right w:w="15" w:type="dxa"/>
            </w:tcMar>
            <w:vAlign w:val="center"/>
          </w:tcPr>
          <w:p w14:paraId="2EEBE021">
            <w:pPr>
              <w:spacing w:line="560" w:lineRule="exact"/>
              <w:jc w:val="center"/>
              <w:rPr>
                <w:rFonts w:ascii="Times New Roman" w:hAnsi="Times New Roman" w:eastAsia="仿宋_GB2312"/>
                <w:color w:val="FF0000"/>
                <w:sz w:val="20"/>
                <w:szCs w:val="20"/>
              </w:rPr>
            </w:pPr>
          </w:p>
        </w:tc>
      </w:tr>
      <w:tr w14:paraId="6F02D4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0" w:hRule="atLeast"/>
        </w:trPr>
        <w:tc>
          <w:tcPr>
            <w:tcW w:w="379" w:type="dxa"/>
            <w:noWrap/>
            <w:tcMar>
              <w:top w:w="15" w:type="dxa"/>
              <w:left w:w="15" w:type="dxa"/>
              <w:right w:w="15" w:type="dxa"/>
            </w:tcMar>
            <w:vAlign w:val="center"/>
          </w:tcPr>
          <w:p w14:paraId="7A5A298D">
            <w:pPr>
              <w:widowControl/>
              <w:spacing w:line="560" w:lineRule="exact"/>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lang w:bidi="ar"/>
              </w:rPr>
              <w:t>29</w:t>
            </w:r>
          </w:p>
        </w:tc>
        <w:tc>
          <w:tcPr>
            <w:tcW w:w="2430" w:type="dxa"/>
            <w:noWrap/>
            <w:tcMar>
              <w:top w:w="15" w:type="dxa"/>
              <w:left w:w="15" w:type="dxa"/>
              <w:right w:w="15" w:type="dxa"/>
            </w:tcMar>
            <w:vAlign w:val="center"/>
          </w:tcPr>
          <w:p w14:paraId="530DF9CE">
            <w:pPr>
              <w:widowControl/>
              <w:spacing w:line="560" w:lineRule="exact"/>
              <w:jc w:val="center"/>
              <w:textAlignment w:val="center"/>
              <w:rPr>
                <w:rFonts w:ascii="Times New Roman" w:hAnsi="Times New Roman" w:eastAsia="仿宋_GB2312"/>
                <w:b/>
                <w:color w:val="000000"/>
                <w:sz w:val="22"/>
                <w:szCs w:val="22"/>
              </w:rPr>
            </w:pPr>
            <w:r>
              <w:rPr>
                <w:rFonts w:ascii="Times New Roman" w:hAnsi="Times New Roman" w:eastAsia="仿宋_GB2312"/>
                <w:b/>
                <w:color w:val="000000"/>
                <w:kern w:val="0"/>
                <w:sz w:val="22"/>
                <w:szCs w:val="22"/>
                <w:lang w:bidi="ar"/>
              </w:rPr>
              <w:t>中石油天文加油站</w:t>
            </w:r>
          </w:p>
        </w:tc>
        <w:tc>
          <w:tcPr>
            <w:tcW w:w="1633" w:type="dxa"/>
            <w:noWrap w:val="0"/>
            <w:tcMar>
              <w:top w:w="15" w:type="dxa"/>
              <w:left w:w="15" w:type="dxa"/>
              <w:right w:w="15" w:type="dxa"/>
            </w:tcMar>
            <w:vAlign w:val="center"/>
          </w:tcPr>
          <w:p w14:paraId="5AF78255">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昆明市官渡区工业园方旺片区169公路南段</w:t>
            </w:r>
          </w:p>
        </w:tc>
        <w:tc>
          <w:tcPr>
            <w:tcW w:w="2717" w:type="dxa"/>
            <w:noWrap w:val="0"/>
            <w:tcMar>
              <w:top w:w="15" w:type="dxa"/>
              <w:left w:w="15" w:type="dxa"/>
              <w:right w:w="15" w:type="dxa"/>
            </w:tcMar>
            <w:vAlign w:val="center"/>
          </w:tcPr>
          <w:p w14:paraId="36335F9D">
            <w:pPr>
              <w:widowControl/>
              <w:spacing w:line="560" w:lineRule="exact"/>
              <w:textAlignment w:val="center"/>
              <w:rPr>
                <w:rFonts w:ascii="Times New Roman" w:hAnsi="Times New Roman"/>
                <w:color w:val="000000"/>
                <w:sz w:val="20"/>
                <w:szCs w:val="20"/>
              </w:rPr>
            </w:pPr>
            <w:r>
              <w:rPr>
                <w:rFonts w:ascii="Times New Roman" w:hAnsi="Times New Roman"/>
                <w:color w:val="000000"/>
                <w:kern w:val="0"/>
                <w:sz w:val="20"/>
                <w:szCs w:val="20"/>
                <w:lang w:bidi="ar"/>
              </w:rPr>
              <w:t>云昆官安经字[2018]0033     发证：2018-7-17</w:t>
            </w:r>
          </w:p>
        </w:tc>
        <w:tc>
          <w:tcPr>
            <w:tcW w:w="840" w:type="dxa"/>
            <w:noWrap/>
            <w:tcMar>
              <w:top w:w="15" w:type="dxa"/>
              <w:left w:w="15" w:type="dxa"/>
              <w:right w:w="15" w:type="dxa"/>
            </w:tcMar>
            <w:vAlign w:val="center"/>
          </w:tcPr>
          <w:p w14:paraId="012F1FAA">
            <w:pPr>
              <w:widowControl/>
              <w:spacing w:line="560" w:lineRule="exact"/>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lang w:bidi="ar"/>
              </w:rPr>
              <w:t>二级</w:t>
            </w:r>
          </w:p>
        </w:tc>
        <w:tc>
          <w:tcPr>
            <w:tcW w:w="2160" w:type="dxa"/>
            <w:noWrap w:val="0"/>
            <w:tcMar>
              <w:top w:w="15" w:type="dxa"/>
              <w:left w:w="15" w:type="dxa"/>
              <w:right w:w="15" w:type="dxa"/>
            </w:tcMar>
            <w:vAlign w:val="center"/>
          </w:tcPr>
          <w:p w14:paraId="1A94076B">
            <w:pPr>
              <w:widowControl/>
              <w:spacing w:line="560" w:lineRule="exact"/>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lang w:bidi="ar"/>
              </w:rPr>
              <w:t>汽油罐3个总容积90立方</w:t>
            </w:r>
          </w:p>
        </w:tc>
        <w:tc>
          <w:tcPr>
            <w:tcW w:w="1856" w:type="dxa"/>
            <w:noWrap w:val="0"/>
            <w:tcMar>
              <w:top w:w="15" w:type="dxa"/>
              <w:left w:w="15" w:type="dxa"/>
              <w:right w:w="15" w:type="dxa"/>
            </w:tcMar>
            <w:vAlign w:val="center"/>
          </w:tcPr>
          <w:p w14:paraId="51FBA362">
            <w:pPr>
              <w:widowControl/>
              <w:spacing w:line="560" w:lineRule="exact"/>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lang w:bidi="ar"/>
              </w:rPr>
              <w:t>柴油罐1个总容积50立方</w:t>
            </w:r>
          </w:p>
        </w:tc>
        <w:tc>
          <w:tcPr>
            <w:tcW w:w="1130" w:type="dxa"/>
            <w:vMerge w:val="continue"/>
            <w:noWrap w:val="0"/>
            <w:tcMar>
              <w:top w:w="15" w:type="dxa"/>
              <w:left w:w="15" w:type="dxa"/>
              <w:right w:w="15" w:type="dxa"/>
            </w:tcMar>
            <w:vAlign w:val="center"/>
          </w:tcPr>
          <w:p w14:paraId="2411F673">
            <w:pPr>
              <w:spacing w:line="560" w:lineRule="exact"/>
              <w:jc w:val="center"/>
              <w:rPr>
                <w:rFonts w:ascii="Times New Roman" w:hAnsi="Times New Roman" w:eastAsia="仿宋_GB2312"/>
                <w:color w:val="000000"/>
                <w:sz w:val="20"/>
                <w:szCs w:val="20"/>
              </w:rPr>
            </w:pPr>
          </w:p>
        </w:tc>
        <w:tc>
          <w:tcPr>
            <w:tcW w:w="1740" w:type="dxa"/>
            <w:vMerge w:val="continue"/>
            <w:noWrap w:val="0"/>
            <w:tcMar>
              <w:top w:w="15" w:type="dxa"/>
              <w:left w:w="15" w:type="dxa"/>
              <w:right w:w="15" w:type="dxa"/>
            </w:tcMar>
            <w:vAlign w:val="center"/>
          </w:tcPr>
          <w:p w14:paraId="3F851290">
            <w:pPr>
              <w:spacing w:line="560" w:lineRule="exact"/>
              <w:jc w:val="center"/>
              <w:rPr>
                <w:rFonts w:ascii="Times New Roman" w:hAnsi="Times New Roman" w:eastAsia="仿宋_GB2312"/>
                <w:color w:val="FF0000"/>
                <w:sz w:val="20"/>
                <w:szCs w:val="20"/>
              </w:rPr>
            </w:pPr>
          </w:p>
        </w:tc>
      </w:tr>
      <w:tr w14:paraId="7C6750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0" w:hRule="atLeast"/>
        </w:trPr>
        <w:tc>
          <w:tcPr>
            <w:tcW w:w="379" w:type="dxa"/>
            <w:noWrap/>
            <w:tcMar>
              <w:top w:w="15" w:type="dxa"/>
              <w:left w:w="15" w:type="dxa"/>
              <w:right w:w="15" w:type="dxa"/>
            </w:tcMar>
            <w:vAlign w:val="center"/>
          </w:tcPr>
          <w:p w14:paraId="24C95E61">
            <w:pPr>
              <w:widowControl/>
              <w:spacing w:line="560" w:lineRule="exact"/>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lang w:bidi="ar"/>
              </w:rPr>
              <w:t>30</w:t>
            </w:r>
          </w:p>
        </w:tc>
        <w:tc>
          <w:tcPr>
            <w:tcW w:w="2430" w:type="dxa"/>
            <w:noWrap/>
            <w:tcMar>
              <w:top w:w="15" w:type="dxa"/>
              <w:left w:w="15" w:type="dxa"/>
              <w:right w:w="15" w:type="dxa"/>
            </w:tcMar>
            <w:vAlign w:val="center"/>
          </w:tcPr>
          <w:p w14:paraId="159EEA6C">
            <w:pPr>
              <w:widowControl/>
              <w:spacing w:line="560" w:lineRule="exact"/>
              <w:jc w:val="center"/>
              <w:textAlignment w:val="center"/>
              <w:rPr>
                <w:rFonts w:ascii="Times New Roman" w:hAnsi="Times New Roman" w:eastAsia="仿宋_GB2312"/>
                <w:b/>
                <w:color w:val="000000"/>
                <w:sz w:val="22"/>
                <w:szCs w:val="22"/>
              </w:rPr>
            </w:pPr>
            <w:r>
              <w:rPr>
                <w:rFonts w:ascii="Times New Roman" w:hAnsi="Times New Roman" w:eastAsia="仿宋_GB2312"/>
                <w:b/>
                <w:color w:val="000000"/>
                <w:kern w:val="0"/>
                <w:sz w:val="22"/>
                <w:szCs w:val="22"/>
                <w:lang w:bidi="ar"/>
              </w:rPr>
              <w:t>中石油荣归加油站</w:t>
            </w:r>
          </w:p>
        </w:tc>
        <w:tc>
          <w:tcPr>
            <w:tcW w:w="1633" w:type="dxa"/>
            <w:noWrap w:val="0"/>
            <w:tcMar>
              <w:top w:w="15" w:type="dxa"/>
              <w:left w:w="15" w:type="dxa"/>
              <w:right w:w="15" w:type="dxa"/>
            </w:tcMar>
            <w:vAlign w:val="center"/>
          </w:tcPr>
          <w:p w14:paraId="339021C4">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昆明市官渡区凉亭片区归十路中段北侧</w:t>
            </w:r>
          </w:p>
        </w:tc>
        <w:tc>
          <w:tcPr>
            <w:tcW w:w="2717" w:type="dxa"/>
            <w:noWrap w:val="0"/>
            <w:tcMar>
              <w:top w:w="15" w:type="dxa"/>
              <w:left w:w="15" w:type="dxa"/>
              <w:right w:w="15" w:type="dxa"/>
            </w:tcMar>
            <w:vAlign w:val="center"/>
          </w:tcPr>
          <w:p w14:paraId="32CD4087">
            <w:pPr>
              <w:widowControl/>
              <w:spacing w:line="560" w:lineRule="exact"/>
              <w:textAlignment w:val="center"/>
              <w:rPr>
                <w:rFonts w:ascii="Times New Roman" w:hAnsi="Times New Roman"/>
                <w:color w:val="000000"/>
                <w:sz w:val="20"/>
                <w:szCs w:val="20"/>
              </w:rPr>
            </w:pPr>
            <w:r>
              <w:rPr>
                <w:rFonts w:ascii="Times New Roman" w:hAnsi="Times New Roman"/>
                <w:color w:val="000000"/>
                <w:kern w:val="0"/>
                <w:sz w:val="20"/>
                <w:szCs w:val="20"/>
                <w:lang w:bidi="ar"/>
              </w:rPr>
              <w:t>云昆官安经字[2018]0032       发证：2018-7-17</w:t>
            </w:r>
          </w:p>
        </w:tc>
        <w:tc>
          <w:tcPr>
            <w:tcW w:w="840" w:type="dxa"/>
            <w:noWrap/>
            <w:tcMar>
              <w:top w:w="15" w:type="dxa"/>
              <w:left w:w="15" w:type="dxa"/>
              <w:right w:w="15" w:type="dxa"/>
            </w:tcMar>
            <w:vAlign w:val="center"/>
          </w:tcPr>
          <w:p w14:paraId="543741A3">
            <w:pPr>
              <w:widowControl/>
              <w:spacing w:line="560" w:lineRule="exact"/>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lang w:bidi="ar"/>
              </w:rPr>
              <w:t>二级</w:t>
            </w:r>
          </w:p>
        </w:tc>
        <w:tc>
          <w:tcPr>
            <w:tcW w:w="2160" w:type="dxa"/>
            <w:noWrap w:val="0"/>
            <w:tcMar>
              <w:top w:w="15" w:type="dxa"/>
              <w:left w:w="15" w:type="dxa"/>
              <w:right w:w="15" w:type="dxa"/>
            </w:tcMar>
            <w:vAlign w:val="center"/>
          </w:tcPr>
          <w:p w14:paraId="1BD48177">
            <w:pPr>
              <w:widowControl/>
              <w:spacing w:line="560" w:lineRule="exact"/>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lang w:bidi="ar"/>
              </w:rPr>
              <w:t>3个30 m³</w:t>
            </w:r>
          </w:p>
        </w:tc>
        <w:tc>
          <w:tcPr>
            <w:tcW w:w="1856" w:type="dxa"/>
            <w:noWrap w:val="0"/>
            <w:tcMar>
              <w:top w:w="15" w:type="dxa"/>
              <w:left w:w="15" w:type="dxa"/>
              <w:right w:w="15" w:type="dxa"/>
            </w:tcMar>
            <w:vAlign w:val="center"/>
          </w:tcPr>
          <w:p w14:paraId="2BF664CE">
            <w:pPr>
              <w:widowControl/>
              <w:spacing w:line="560" w:lineRule="exact"/>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lang w:bidi="ar"/>
              </w:rPr>
              <w:t>1个30 m³</w:t>
            </w:r>
          </w:p>
        </w:tc>
        <w:tc>
          <w:tcPr>
            <w:tcW w:w="1130" w:type="dxa"/>
            <w:vMerge w:val="continue"/>
            <w:noWrap w:val="0"/>
            <w:tcMar>
              <w:top w:w="15" w:type="dxa"/>
              <w:left w:w="15" w:type="dxa"/>
              <w:right w:w="15" w:type="dxa"/>
            </w:tcMar>
            <w:vAlign w:val="center"/>
          </w:tcPr>
          <w:p w14:paraId="1D8569A1">
            <w:pPr>
              <w:spacing w:line="560" w:lineRule="exact"/>
              <w:jc w:val="center"/>
              <w:rPr>
                <w:rFonts w:ascii="Times New Roman" w:hAnsi="Times New Roman" w:eastAsia="仿宋_GB2312"/>
                <w:color w:val="000000"/>
                <w:sz w:val="20"/>
                <w:szCs w:val="20"/>
              </w:rPr>
            </w:pPr>
          </w:p>
        </w:tc>
        <w:tc>
          <w:tcPr>
            <w:tcW w:w="1740" w:type="dxa"/>
            <w:vMerge w:val="continue"/>
            <w:noWrap w:val="0"/>
            <w:tcMar>
              <w:top w:w="15" w:type="dxa"/>
              <w:left w:w="15" w:type="dxa"/>
              <w:right w:w="15" w:type="dxa"/>
            </w:tcMar>
            <w:vAlign w:val="center"/>
          </w:tcPr>
          <w:p w14:paraId="01688E21">
            <w:pPr>
              <w:spacing w:line="560" w:lineRule="exact"/>
              <w:jc w:val="center"/>
              <w:rPr>
                <w:rFonts w:ascii="Times New Roman" w:hAnsi="Times New Roman" w:eastAsia="仿宋_GB2312"/>
                <w:color w:val="FF0000"/>
                <w:sz w:val="20"/>
                <w:szCs w:val="20"/>
              </w:rPr>
            </w:pPr>
          </w:p>
        </w:tc>
      </w:tr>
      <w:tr w14:paraId="555156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0" w:hRule="atLeast"/>
        </w:trPr>
        <w:tc>
          <w:tcPr>
            <w:tcW w:w="379" w:type="dxa"/>
            <w:noWrap/>
            <w:tcMar>
              <w:top w:w="15" w:type="dxa"/>
              <w:left w:w="15" w:type="dxa"/>
              <w:right w:w="15" w:type="dxa"/>
            </w:tcMar>
            <w:vAlign w:val="center"/>
          </w:tcPr>
          <w:p w14:paraId="7E36F5EF">
            <w:pPr>
              <w:widowControl/>
              <w:spacing w:line="560" w:lineRule="exact"/>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lang w:bidi="ar"/>
              </w:rPr>
              <w:t>31</w:t>
            </w:r>
          </w:p>
        </w:tc>
        <w:tc>
          <w:tcPr>
            <w:tcW w:w="2430" w:type="dxa"/>
            <w:noWrap w:val="0"/>
            <w:tcMar>
              <w:top w:w="15" w:type="dxa"/>
              <w:left w:w="15" w:type="dxa"/>
              <w:right w:w="15" w:type="dxa"/>
            </w:tcMar>
            <w:vAlign w:val="center"/>
          </w:tcPr>
          <w:p w14:paraId="1A02FD26">
            <w:pPr>
              <w:widowControl/>
              <w:spacing w:line="560" w:lineRule="exact"/>
              <w:jc w:val="center"/>
              <w:textAlignment w:val="center"/>
              <w:rPr>
                <w:rFonts w:ascii="Times New Roman" w:hAnsi="Times New Roman" w:eastAsia="仿宋_GB2312"/>
                <w:b/>
                <w:color w:val="000000"/>
                <w:sz w:val="22"/>
                <w:szCs w:val="22"/>
              </w:rPr>
            </w:pPr>
            <w:r>
              <w:rPr>
                <w:rFonts w:ascii="Times New Roman" w:hAnsi="Times New Roman" w:eastAsia="仿宋_GB2312"/>
                <w:b/>
                <w:color w:val="000000"/>
                <w:kern w:val="0"/>
                <w:sz w:val="22"/>
                <w:szCs w:val="22"/>
                <w:lang w:bidi="ar"/>
              </w:rPr>
              <w:t>中石油东兴加油站</w:t>
            </w:r>
          </w:p>
        </w:tc>
        <w:tc>
          <w:tcPr>
            <w:tcW w:w="1633" w:type="dxa"/>
            <w:noWrap w:val="0"/>
            <w:tcMar>
              <w:top w:w="15" w:type="dxa"/>
              <w:left w:w="15" w:type="dxa"/>
              <w:right w:w="15" w:type="dxa"/>
            </w:tcMar>
            <w:vAlign w:val="center"/>
          </w:tcPr>
          <w:p w14:paraId="59BB6692">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云南省昆明市官渡区广福路金刚北段</w:t>
            </w:r>
          </w:p>
        </w:tc>
        <w:tc>
          <w:tcPr>
            <w:tcW w:w="2717" w:type="dxa"/>
            <w:noWrap w:val="0"/>
            <w:tcMar>
              <w:top w:w="15" w:type="dxa"/>
              <w:left w:w="15" w:type="dxa"/>
              <w:right w:w="15" w:type="dxa"/>
            </w:tcMar>
            <w:vAlign w:val="center"/>
          </w:tcPr>
          <w:p w14:paraId="687C66B8">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云昆官安经字[2019]0022                发证：2019-3-21　　　　</w:t>
            </w:r>
          </w:p>
        </w:tc>
        <w:tc>
          <w:tcPr>
            <w:tcW w:w="840" w:type="dxa"/>
            <w:noWrap/>
            <w:tcMar>
              <w:top w:w="15" w:type="dxa"/>
              <w:left w:w="15" w:type="dxa"/>
              <w:right w:w="15" w:type="dxa"/>
            </w:tcMar>
            <w:vAlign w:val="center"/>
          </w:tcPr>
          <w:p w14:paraId="7F4134FE">
            <w:pPr>
              <w:widowControl/>
              <w:spacing w:line="560" w:lineRule="exact"/>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lang w:bidi="ar"/>
              </w:rPr>
              <w:t>二级</w:t>
            </w:r>
          </w:p>
        </w:tc>
        <w:tc>
          <w:tcPr>
            <w:tcW w:w="2160" w:type="dxa"/>
            <w:noWrap w:val="0"/>
            <w:tcMar>
              <w:top w:w="15" w:type="dxa"/>
              <w:left w:w="15" w:type="dxa"/>
              <w:right w:w="15" w:type="dxa"/>
            </w:tcMar>
            <w:vAlign w:val="center"/>
          </w:tcPr>
          <w:p w14:paraId="38FC4FDF">
            <w:pPr>
              <w:widowControl/>
              <w:spacing w:line="560" w:lineRule="exact"/>
              <w:jc w:val="center"/>
              <w:textAlignment w:val="center"/>
              <w:rPr>
                <w:rFonts w:ascii="Times New Roman" w:hAnsi="Times New Roman" w:eastAsia="仿宋_GB2312"/>
                <w:color w:val="000000"/>
                <w:sz w:val="20"/>
                <w:szCs w:val="20"/>
              </w:rPr>
            </w:pPr>
            <w:r>
              <w:rPr>
                <w:rStyle w:val="13"/>
                <w:rFonts w:ascii="Times New Roman" w:hAnsi="Times New Roman" w:cs="Times New Roman"/>
                <w:lang w:bidi="ar"/>
              </w:rPr>
              <w:t>2/100m</w:t>
            </w:r>
            <w:r>
              <w:rPr>
                <w:rFonts w:ascii="Times New Roman" w:hAnsi="Times New Roman"/>
                <w:color w:val="000000"/>
                <w:kern w:val="0"/>
                <w:sz w:val="20"/>
                <w:szCs w:val="20"/>
                <w:lang w:bidi="ar"/>
              </w:rPr>
              <w:t>³</w:t>
            </w:r>
          </w:p>
        </w:tc>
        <w:tc>
          <w:tcPr>
            <w:tcW w:w="1856" w:type="dxa"/>
            <w:noWrap w:val="0"/>
            <w:tcMar>
              <w:top w:w="15" w:type="dxa"/>
              <w:left w:w="15" w:type="dxa"/>
              <w:right w:w="15" w:type="dxa"/>
            </w:tcMar>
            <w:vAlign w:val="center"/>
          </w:tcPr>
          <w:p w14:paraId="1C5E4B67">
            <w:pPr>
              <w:widowControl/>
              <w:spacing w:line="560" w:lineRule="exact"/>
              <w:jc w:val="center"/>
              <w:textAlignment w:val="center"/>
              <w:rPr>
                <w:rFonts w:ascii="Times New Roman" w:hAnsi="Times New Roman" w:eastAsia="仿宋_GB2312"/>
                <w:color w:val="000000"/>
                <w:sz w:val="20"/>
                <w:szCs w:val="20"/>
              </w:rPr>
            </w:pPr>
            <w:r>
              <w:rPr>
                <w:rStyle w:val="13"/>
                <w:rFonts w:ascii="Times New Roman" w:hAnsi="Times New Roman" w:cs="Times New Roman"/>
                <w:lang w:bidi="ar"/>
              </w:rPr>
              <w:t>1/50m</w:t>
            </w:r>
            <w:r>
              <w:rPr>
                <w:rFonts w:ascii="Times New Roman" w:hAnsi="Times New Roman"/>
                <w:color w:val="000000"/>
                <w:kern w:val="0"/>
                <w:sz w:val="20"/>
                <w:szCs w:val="20"/>
                <w:lang w:bidi="ar"/>
              </w:rPr>
              <w:t>³</w:t>
            </w:r>
          </w:p>
        </w:tc>
        <w:tc>
          <w:tcPr>
            <w:tcW w:w="1130" w:type="dxa"/>
            <w:vMerge w:val="continue"/>
            <w:noWrap w:val="0"/>
            <w:tcMar>
              <w:top w:w="15" w:type="dxa"/>
              <w:left w:w="15" w:type="dxa"/>
              <w:right w:w="15" w:type="dxa"/>
            </w:tcMar>
            <w:vAlign w:val="center"/>
          </w:tcPr>
          <w:p w14:paraId="54118D16">
            <w:pPr>
              <w:spacing w:line="560" w:lineRule="exact"/>
              <w:jc w:val="center"/>
              <w:rPr>
                <w:rFonts w:ascii="Times New Roman" w:hAnsi="Times New Roman" w:eastAsia="仿宋_GB2312"/>
                <w:color w:val="000000"/>
                <w:sz w:val="20"/>
                <w:szCs w:val="20"/>
              </w:rPr>
            </w:pPr>
          </w:p>
        </w:tc>
        <w:tc>
          <w:tcPr>
            <w:tcW w:w="1740" w:type="dxa"/>
            <w:vMerge w:val="continue"/>
            <w:noWrap w:val="0"/>
            <w:tcMar>
              <w:top w:w="15" w:type="dxa"/>
              <w:left w:w="15" w:type="dxa"/>
              <w:right w:w="15" w:type="dxa"/>
            </w:tcMar>
            <w:vAlign w:val="center"/>
          </w:tcPr>
          <w:p w14:paraId="5664A957">
            <w:pPr>
              <w:spacing w:line="560" w:lineRule="exact"/>
              <w:jc w:val="center"/>
              <w:rPr>
                <w:rFonts w:ascii="Times New Roman" w:hAnsi="Times New Roman" w:eastAsia="仿宋_GB2312"/>
                <w:color w:val="FF0000"/>
                <w:sz w:val="20"/>
                <w:szCs w:val="20"/>
              </w:rPr>
            </w:pPr>
          </w:p>
        </w:tc>
      </w:tr>
      <w:tr w14:paraId="0148AE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379" w:type="dxa"/>
            <w:noWrap/>
            <w:tcMar>
              <w:top w:w="15" w:type="dxa"/>
              <w:left w:w="15" w:type="dxa"/>
              <w:right w:w="15" w:type="dxa"/>
            </w:tcMar>
            <w:vAlign w:val="center"/>
          </w:tcPr>
          <w:p w14:paraId="2FFE6190">
            <w:pPr>
              <w:widowControl/>
              <w:spacing w:line="560" w:lineRule="exact"/>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lang w:bidi="ar"/>
              </w:rPr>
              <w:t>32</w:t>
            </w:r>
          </w:p>
        </w:tc>
        <w:tc>
          <w:tcPr>
            <w:tcW w:w="2430" w:type="dxa"/>
            <w:noWrap/>
            <w:tcMar>
              <w:top w:w="15" w:type="dxa"/>
              <w:left w:w="15" w:type="dxa"/>
              <w:right w:w="15" w:type="dxa"/>
            </w:tcMar>
            <w:vAlign w:val="center"/>
          </w:tcPr>
          <w:p w14:paraId="439F0FE6">
            <w:pPr>
              <w:widowControl/>
              <w:spacing w:line="560" w:lineRule="exact"/>
              <w:jc w:val="center"/>
              <w:textAlignment w:val="center"/>
              <w:rPr>
                <w:rFonts w:ascii="Times New Roman" w:hAnsi="Times New Roman" w:eastAsia="仿宋_GB2312"/>
                <w:b/>
                <w:color w:val="000000"/>
                <w:sz w:val="22"/>
                <w:szCs w:val="22"/>
              </w:rPr>
            </w:pPr>
            <w:r>
              <w:rPr>
                <w:rFonts w:ascii="Times New Roman" w:hAnsi="Times New Roman" w:eastAsia="仿宋_GB2312"/>
                <w:b/>
                <w:color w:val="000000"/>
                <w:kern w:val="0"/>
                <w:sz w:val="22"/>
                <w:szCs w:val="22"/>
                <w:lang w:bidi="ar"/>
              </w:rPr>
              <w:t>中石油织布营加油站（A)站</w:t>
            </w:r>
          </w:p>
        </w:tc>
        <w:tc>
          <w:tcPr>
            <w:tcW w:w="1633" w:type="dxa"/>
            <w:noWrap w:val="0"/>
            <w:tcMar>
              <w:top w:w="15" w:type="dxa"/>
              <w:left w:w="15" w:type="dxa"/>
              <w:right w:w="15" w:type="dxa"/>
            </w:tcMar>
            <w:vAlign w:val="center"/>
          </w:tcPr>
          <w:p w14:paraId="1339311C">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昆明市新昆洛路西庄路段西侧</w:t>
            </w:r>
          </w:p>
        </w:tc>
        <w:tc>
          <w:tcPr>
            <w:tcW w:w="2717" w:type="dxa"/>
            <w:noWrap/>
            <w:tcMar>
              <w:top w:w="15" w:type="dxa"/>
              <w:left w:w="15" w:type="dxa"/>
              <w:right w:w="15" w:type="dxa"/>
            </w:tcMar>
            <w:vAlign w:val="center"/>
          </w:tcPr>
          <w:p w14:paraId="4A88820D">
            <w:pPr>
              <w:widowControl/>
              <w:spacing w:line="560" w:lineRule="exact"/>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云昆官安经字[2018]0022     发证：2018-6-21</w:t>
            </w:r>
          </w:p>
        </w:tc>
        <w:tc>
          <w:tcPr>
            <w:tcW w:w="840" w:type="dxa"/>
            <w:noWrap/>
            <w:tcMar>
              <w:top w:w="15" w:type="dxa"/>
              <w:left w:w="15" w:type="dxa"/>
              <w:right w:w="15" w:type="dxa"/>
            </w:tcMar>
            <w:vAlign w:val="center"/>
          </w:tcPr>
          <w:p w14:paraId="136A5F19">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二级</w:t>
            </w:r>
          </w:p>
        </w:tc>
        <w:tc>
          <w:tcPr>
            <w:tcW w:w="2160" w:type="dxa"/>
            <w:noWrap w:val="0"/>
            <w:tcMar>
              <w:top w:w="15" w:type="dxa"/>
              <w:left w:w="15" w:type="dxa"/>
              <w:right w:w="15" w:type="dxa"/>
            </w:tcMar>
            <w:vAlign w:val="center"/>
          </w:tcPr>
          <w:p w14:paraId="04F24E38">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3个总容积90立方</w:t>
            </w:r>
          </w:p>
        </w:tc>
        <w:tc>
          <w:tcPr>
            <w:tcW w:w="1856" w:type="dxa"/>
            <w:noWrap w:val="0"/>
            <w:tcMar>
              <w:top w:w="15" w:type="dxa"/>
              <w:left w:w="15" w:type="dxa"/>
              <w:right w:w="15" w:type="dxa"/>
            </w:tcMar>
            <w:vAlign w:val="center"/>
          </w:tcPr>
          <w:p w14:paraId="1550D349">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1个总容积30立方</w:t>
            </w:r>
          </w:p>
        </w:tc>
        <w:tc>
          <w:tcPr>
            <w:tcW w:w="1130" w:type="dxa"/>
            <w:vMerge w:val="continue"/>
            <w:noWrap w:val="0"/>
            <w:tcMar>
              <w:top w:w="15" w:type="dxa"/>
              <w:left w:w="15" w:type="dxa"/>
              <w:right w:w="15" w:type="dxa"/>
            </w:tcMar>
            <w:vAlign w:val="center"/>
          </w:tcPr>
          <w:p w14:paraId="2EB142EA">
            <w:pPr>
              <w:spacing w:line="560" w:lineRule="exact"/>
              <w:jc w:val="center"/>
              <w:rPr>
                <w:rFonts w:ascii="Times New Roman" w:hAnsi="Times New Roman" w:eastAsia="仿宋_GB2312"/>
                <w:color w:val="000000"/>
                <w:sz w:val="20"/>
                <w:szCs w:val="20"/>
              </w:rPr>
            </w:pPr>
          </w:p>
        </w:tc>
        <w:tc>
          <w:tcPr>
            <w:tcW w:w="1740" w:type="dxa"/>
            <w:vMerge w:val="continue"/>
            <w:noWrap w:val="0"/>
            <w:tcMar>
              <w:top w:w="15" w:type="dxa"/>
              <w:left w:w="15" w:type="dxa"/>
              <w:right w:w="15" w:type="dxa"/>
            </w:tcMar>
            <w:vAlign w:val="center"/>
          </w:tcPr>
          <w:p w14:paraId="4D6FF952">
            <w:pPr>
              <w:spacing w:line="560" w:lineRule="exact"/>
              <w:jc w:val="center"/>
              <w:rPr>
                <w:rFonts w:ascii="Times New Roman" w:hAnsi="Times New Roman" w:eastAsia="仿宋_GB2312"/>
                <w:color w:val="FF0000"/>
                <w:sz w:val="20"/>
                <w:szCs w:val="20"/>
              </w:rPr>
            </w:pPr>
          </w:p>
        </w:tc>
      </w:tr>
      <w:tr w14:paraId="671379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379" w:type="dxa"/>
            <w:noWrap/>
            <w:tcMar>
              <w:top w:w="15" w:type="dxa"/>
              <w:left w:w="15" w:type="dxa"/>
              <w:right w:w="15" w:type="dxa"/>
            </w:tcMar>
            <w:vAlign w:val="center"/>
          </w:tcPr>
          <w:p w14:paraId="23F123E0">
            <w:pPr>
              <w:widowControl/>
              <w:spacing w:line="560" w:lineRule="exact"/>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lang w:bidi="ar"/>
              </w:rPr>
              <w:t>33</w:t>
            </w:r>
          </w:p>
        </w:tc>
        <w:tc>
          <w:tcPr>
            <w:tcW w:w="2430" w:type="dxa"/>
            <w:noWrap/>
            <w:tcMar>
              <w:top w:w="15" w:type="dxa"/>
              <w:left w:w="15" w:type="dxa"/>
              <w:right w:w="15" w:type="dxa"/>
            </w:tcMar>
            <w:vAlign w:val="center"/>
          </w:tcPr>
          <w:p w14:paraId="35243B7E">
            <w:pPr>
              <w:widowControl/>
              <w:spacing w:line="560" w:lineRule="exact"/>
              <w:jc w:val="center"/>
              <w:textAlignment w:val="center"/>
              <w:rPr>
                <w:rFonts w:ascii="Times New Roman" w:hAnsi="Times New Roman" w:eastAsia="仿宋_GB2312"/>
                <w:b/>
                <w:color w:val="000000"/>
                <w:sz w:val="22"/>
                <w:szCs w:val="22"/>
              </w:rPr>
            </w:pPr>
            <w:r>
              <w:rPr>
                <w:rFonts w:ascii="Times New Roman" w:hAnsi="Times New Roman" w:eastAsia="仿宋_GB2312"/>
                <w:b/>
                <w:color w:val="000000"/>
                <w:kern w:val="0"/>
                <w:sz w:val="22"/>
                <w:szCs w:val="22"/>
                <w:lang w:bidi="ar"/>
              </w:rPr>
              <w:t>中石油织布营加油站（Ｂ)站</w:t>
            </w:r>
          </w:p>
        </w:tc>
        <w:tc>
          <w:tcPr>
            <w:tcW w:w="1633" w:type="dxa"/>
            <w:noWrap w:val="0"/>
            <w:tcMar>
              <w:top w:w="15" w:type="dxa"/>
              <w:left w:w="15" w:type="dxa"/>
              <w:right w:w="15" w:type="dxa"/>
            </w:tcMar>
            <w:vAlign w:val="center"/>
          </w:tcPr>
          <w:p w14:paraId="5E3A38AB">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昆明市新昆洛路西庄路段东侧</w:t>
            </w:r>
          </w:p>
        </w:tc>
        <w:tc>
          <w:tcPr>
            <w:tcW w:w="2717" w:type="dxa"/>
            <w:noWrap w:val="0"/>
            <w:tcMar>
              <w:top w:w="15" w:type="dxa"/>
              <w:left w:w="15" w:type="dxa"/>
              <w:right w:w="15" w:type="dxa"/>
            </w:tcMar>
            <w:vAlign w:val="center"/>
          </w:tcPr>
          <w:p w14:paraId="64772B52">
            <w:pPr>
              <w:widowControl/>
              <w:spacing w:line="560" w:lineRule="exact"/>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云昆官安经字[2018]0023      发证：2018-6-21</w:t>
            </w:r>
          </w:p>
        </w:tc>
        <w:tc>
          <w:tcPr>
            <w:tcW w:w="840" w:type="dxa"/>
            <w:noWrap/>
            <w:tcMar>
              <w:top w:w="15" w:type="dxa"/>
              <w:left w:w="15" w:type="dxa"/>
              <w:right w:w="15" w:type="dxa"/>
            </w:tcMar>
            <w:vAlign w:val="center"/>
          </w:tcPr>
          <w:p w14:paraId="13E74701">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二级</w:t>
            </w:r>
          </w:p>
        </w:tc>
        <w:tc>
          <w:tcPr>
            <w:tcW w:w="2160" w:type="dxa"/>
            <w:noWrap w:val="0"/>
            <w:tcMar>
              <w:top w:w="15" w:type="dxa"/>
              <w:left w:w="15" w:type="dxa"/>
              <w:right w:w="15" w:type="dxa"/>
            </w:tcMar>
            <w:vAlign w:val="center"/>
          </w:tcPr>
          <w:p w14:paraId="04C1FA4F">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3个总容积90立方</w:t>
            </w:r>
          </w:p>
        </w:tc>
        <w:tc>
          <w:tcPr>
            <w:tcW w:w="1856" w:type="dxa"/>
            <w:noWrap w:val="0"/>
            <w:tcMar>
              <w:top w:w="15" w:type="dxa"/>
              <w:left w:w="15" w:type="dxa"/>
              <w:right w:w="15" w:type="dxa"/>
            </w:tcMar>
            <w:vAlign w:val="center"/>
          </w:tcPr>
          <w:p w14:paraId="20C3105F">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1个总容积30立方</w:t>
            </w:r>
          </w:p>
        </w:tc>
        <w:tc>
          <w:tcPr>
            <w:tcW w:w="1130" w:type="dxa"/>
            <w:vMerge w:val="continue"/>
            <w:noWrap w:val="0"/>
            <w:tcMar>
              <w:top w:w="15" w:type="dxa"/>
              <w:left w:w="15" w:type="dxa"/>
              <w:right w:w="15" w:type="dxa"/>
            </w:tcMar>
            <w:vAlign w:val="center"/>
          </w:tcPr>
          <w:p w14:paraId="0292CCB1">
            <w:pPr>
              <w:spacing w:line="560" w:lineRule="exact"/>
              <w:jc w:val="center"/>
              <w:rPr>
                <w:rFonts w:ascii="Times New Roman" w:hAnsi="Times New Roman" w:eastAsia="仿宋_GB2312"/>
                <w:color w:val="000000"/>
                <w:sz w:val="20"/>
                <w:szCs w:val="20"/>
              </w:rPr>
            </w:pPr>
          </w:p>
        </w:tc>
        <w:tc>
          <w:tcPr>
            <w:tcW w:w="1740" w:type="dxa"/>
            <w:vMerge w:val="continue"/>
            <w:noWrap w:val="0"/>
            <w:tcMar>
              <w:top w:w="15" w:type="dxa"/>
              <w:left w:w="15" w:type="dxa"/>
              <w:right w:w="15" w:type="dxa"/>
            </w:tcMar>
            <w:vAlign w:val="center"/>
          </w:tcPr>
          <w:p w14:paraId="0548A210">
            <w:pPr>
              <w:spacing w:line="560" w:lineRule="exact"/>
              <w:jc w:val="center"/>
              <w:rPr>
                <w:rFonts w:ascii="Times New Roman" w:hAnsi="Times New Roman" w:eastAsia="仿宋_GB2312"/>
                <w:color w:val="FF0000"/>
                <w:sz w:val="20"/>
                <w:szCs w:val="20"/>
              </w:rPr>
            </w:pPr>
          </w:p>
        </w:tc>
      </w:tr>
      <w:tr w14:paraId="3E88EA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379" w:type="dxa"/>
            <w:noWrap/>
            <w:tcMar>
              <w:top w:w="15" w:type="dxa"/>
              <w:left w:w="15" w:type="dxa"/>
              <w:right w:w="15" w:type="dxa"/>
            </w:tcMar>
            <w:vAlign w:val="center"/>
          </w:tcPr>
          <w:p w14:paraId="097FDAC0">
            <w:pPr>
              <w:widowControl/>
              <w:spacing w:line="560" w:lineRule="exact"/>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lang w:bidi="ar"/>
              </w:rPr>
              <w:t>34</w:t>
            </w:r>
          </w:p>
        </w:tc>
        <w:tc>
          <w:tcPr>
            <w:tcW w:w="2430" w:type="dxa"/>
            <w:noWrap/>
            <w:tcMar>
              <w:top w:w="15" w:type="dxa"/>
              <w:left w:w="15" w:type="dxa"/>
              <w:right w:w="15" w:type="dxa"/>
            </w:tcMar>
            <w:vAlign w:val="center"/>
          </w:tcPr>
          <w:p w14:paraId="53FA10F9">
            <w:pPr>
              <w:widowControl/>
              <w:spacing w:line="560" w:lineRule="exact"/>
              <w:jc w:val="center"/>
              <w:textAlignment w:val="center"/>
              <w:rPr>
                <w:rFonts w:ascii="Times New Roman" w:hAnsi="Times New Roman" w:eastAsia="仿宋_GB2312"/>
                <w:b/>
                <w:color w:val="000000"/>
                <w:sz w:val="22"/>
                <w:szCs w:val="22"/>
              </w:rPr>
            </w:pPr>
            <w:r>
              <w:rPr>
                <w:rFonts w:ascii="Times New Roman" w:hAnsi="Times New Roman" w:eastAsia="仿宋_GB2312"/>
                <w:b/>
                <w:color w:val="000000"/>
                <w:kern w:val="0"/>
                <w:sz w:val="22"/>
                <w:szCs w:val="22"/>
                <w:lang w:bidi="ar"/>
              </w:rPr>
              <w:t>中石油东力加油站</w:t>
            </w:r>
          </w:p>
        </w:tc>
        <w:tc>
          <w:tcPr>
            <w:tcW w:w="1633" w:type="dxa"/>
            <w:noWrap w:val="0"/>
            <w:tcMar>
              <w:top w:w="15" w:type="dxa"/>
              <w:left w:w="15" w:type="dxa"/>
              <w:right w:w="15" w:type="dxa"/>
            </w:tcMar>
            <w:vAlign w:val="center"/>
          </w:tcPr>
          <w:p w14:paraId="3D536291">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云南省昆明市官渡区东风东路延长线金马路旁</w:t>
            </w:r>
          </w:p>
        </w:tc>
        <w:tc>
          <w:tcPr>
            <w:tcW w:w="2717" w:type="dxa"/>
            <w:noWrap w:val="0"/>
            <w:tcMar>
              <w:top w:w="15" w:type="dxa"/>
              <w:left w:w="15" w:type="dxa"/>
              <w:right w:w="15" w:type="dxa"/>
            </w:tcMar>
            <w:vAlign w:val="center"/>
          </w:tcPr>
          <w:p w14:paraId="061E57A4">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云昆官安经字【2019】0012    发证：2019-3-6</w:t>
            </w:r>
          </w:p>
        </w:tc>
        <w:tc>
          <w:tcPr>
            <w:tcW w:w="840" w:type="dxa"/>
            <w:noWrap/>
            <w:tcMar>
              <w:top w:w="15" w:type="dxa"/>
              <w:left w:w="15" w:type="dxa"/>
              <w:right w:w="15" w:type="dxa"/>
            </w:tcMar>
            <w:vAlign w:val="center"/>
          </w:tcPr>
          <w:p w14:paraId="00FC33DF">
            <w:pPr>
              <w:widowControl/>
              <w:spacing w:line="560" w:lineRule="exact"/>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lang w:bidi="ar"/>
              </w:rPr>
              <w:t>三级</w:t>
            </w:r>
          </w:p>
        </w:tc>
        <w:tc>
          <w:tcPr>
            <w:tcW w:w="2160" w:type="dxa"/>
            <w:noWrap/>
            <w:tcMar>
              <w:top w:w="15" w:type="dxa"/>
              <w:left w:w="15" w:type="dxa"/>
              <w:right w:w="15" w:type="dxa"/>
            </w:tcMar>
            <w:vAlign w:val="center"/>
          </w:tcPr>
          <w:p w14:paraId="0F530057">
            <w:pPr>
              <w:widowControl/>
              <w:spacing w:line="560" w:lineRule="exact"/>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lang w:bidi="ar"/>
              </w:rPr>
              <w:t>3</w:t>
            </w:r>
          </w:p>
        </w:tc>
        <w:tc>
          <w:tcPr>
            <w:tcW w:w="1856" w:type="dxa"/>
            <w:noWrap/>
            <w:tcMar>
              <w:top w:w="15" w:type="dxa"/>
              <w:left w:w="15" w:type="dxa"/>
              <w:right w:w="15" w:type="dxa"/>
            </w:tcMar>
            <w:vAlign w:val="center"/>
          </w:tcPr>
          <w:p w14:paraId="4F13FBCB">
            <w:pPr>
              <w:widowControl/>
              <w:spacing w:line="560" w:lineRule="exact"/>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lang w:bidi="ar"/>
              </w:rPr>
              <w:t>1</w:t>
            </w:r>
          </w:p>
        </w:tc>
        <w:tc>
          <w:tcPr>
            <w:tcW w:w="1130" w:type="dxa"/>
            <w:vMerge w:val="continue"/>
            <w:noWrap w:val="0"/>
            <w:tcMar>
              <w:top w:w="15" w:type="dxa"/>
              <w:left w:w="15" w:type="dxa"/>
              <w:right w:w="15" w:type="dxa"/>
            </w:tcMar>
            <w:vAlign w:val="center"/>
          </w:tcPr>
          <w:p w14:paraId="0495F593">
            <w:pPr>
              <w:spacing w:line="560" w:lineRule="exact"/>
              <w:jc w:val="center"/>
              <w:rPr>
                <w:rFonts w:ascii="Times New Roman" w:hAnsi="Times New Roman" w:eastAsia="仿宋_GB2312"/>
                <w:color w:val="000000"/>
                <w:sz w:val="20"/>
                <w:szCs w:val="20"/>
              </w:rPr>
            </w:pPr>
          </w:p>
        </w:tc>
        <w:tc>
          <w:tcPr>
            <w:tcW w:w="1740" w:type="dxa"/>
            <w:noWrap w:val="0"/>
            <w:tcMar>
              <w:top w:w="15" w:type="dxa"/>
              <w:left w:w="15" w:type="dxa"/>
              <w:right w:w="15" w:type="dxa"/>
            </w:tcMar>
            <w:vAlign w:val="center"/>
          </w:tcPr>
          <w:p w14:paraId="759A1109">
            <w:pPr>
              <w:widowControl/>
              <w:spacing w:line="560" w:lineRule="exact"/>
              <w:jc w:val="center"/>
              <w:textAlignment w:val="center"/>
              <w:rPr>
                <w:rFonts w:ascii="Times New Roman" w:hAnsi="Times New Roman" w:eastAsia="仿宋_GB2312"/>
                <w:color w:val="000000"/>
                <w:kern w:val="0"/>
                <w:sz w:val="20"/>
                <w:szCs w:val="20"/>
                <w:lang w:bidi="ar"/>
              </w:rPr>
            </w:pPr>
            <w:r>
              <w:rPr>
                <w:rFonts w:ascii="Times New Roman" w:hAnsi="Times New Roman" w:eastAsia="仿宋_GB2312"/>
                <w:color w:val="000000"/>
                <w:kern w:val="0"/>
                <w:sz w:val="20"/>
                <w:szCs w:val="20"/>
                <w:lang w:bidi="ar"/>
              </w:rPr>
              <w:t>龙珠18388065612</w:t>
            </w:r>
          </w:p>
        </w:tc>
      </w:tr>
      <w:tr w14:paraId="167E9B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trPr>
        <w:tc>
          <w:tcPr>
            <w:tcW w:w="379" w:type="dxa"/>
            <w:noWrap/>
            <w:tcMar>
              <w:top w:w="15" w:type="dxa"/>
              <w:left w:w="15" w:type="dxa"/>
              <w:right w:w="15" w:type="dxa"/>
            </w:tcMar>
            <w:vAlign w:val="center"/>
          </w:tcPr>
          <w:p w14:paraId="47F3CB1F">
            <w:pPr>
              <w:widowControl/>
              <w:spacing w:line="560" w:lineRule="exact"/>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lang w:bidi="ar"/>
              </w:rPr>
              <w:t>35</w:t>
            </w:r>
          </w:p>
        </w:tc>
        <w:tc>
          <w:tcPr>
            <w:tcW w:w="2430" w:type="dxa"/>
            <w:noWrap w:val="0"/>
            <w:tcMar>
              <w:top w:w="15" w:type="dxa"/>
              <w:left w:w="15" w:type="dxa"/>
              <w:right w:w="15" w:type="dxa"/>
            </w:tcMar>
            <w:vAlign w:val="center"/>
          </w:tcPr>
          <w:p w14:paraId="1B87F113">
            <w:pPr>
              <w:widowControl/>
              <w:spacing w:line="560" w:lineRule="exact"/>
              <w:jc w:val="center"/>
              <w:textAlignment w:val="center"/>
              <w:rPr>
                <w:rFonts w:ascii="Times New Roman" w:hAnsi="Times New Roman" w:eastAsia="仿宋_GB2312"/>
                <w:b/>
                <w:color w:val="000000"/>
                <w:sz w:val="22"/>
                <w:szCs w:val="22"/>
              </w:rPr>
            </w:pPr>
            <w:r>
              <w:rPr>
                <w:rFonts w:ascii="Times New Roman" w:hAnsi="Times New Roman" w:eastAsia="仿宋_GB2312"/>
                <w:b/>
                <w:color w:val="000000"/>
                <w:kern w:val="0"/>
                <w:sz w:val="22"/>
                <w:szCs w:val="22"/>
                <w:lang w:bidi="ar"/>
              </w:rPr>
              <w:t>中石油小板桥加油站</w:t>
            </w:r>
          </w:p>
        </w:tc>
        <w:tc>
          <w:tcPr>
            <w:tcW w:w="1633" w:type="dxa"/>
            <w:noWrap w:val="0"/>
            <w:tcMar>
              <w:top w:w="15" w:type="dxa"/>
              <w:left w:w="15" w:type="dxa"/>
              <w:right w:w="15" w:type="dxa"/>
            </w:tcMar>
            <w:vAlign w:val="center"/>
          </w:tcPr>
          <w:p w14:paraId="02437A5A">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云南省昆明市官渡区小板桥镇昆洛路1001号</w:t>
            </w:r>
          </w:p>
        </w:tc>
        <w:tc>
          <w:tcPr>
            <w:tcW w:w="2717" w:type="dxa"/>
            <w:noWrap w:val="0"/>
            <w:tcMar>
              <w:top w:w="15" w:type="dxa"/>
              <w:left w:w="15" w:type="dxa"/>
              <w:right w:w="15" w:type="dxa"/>
            </w:tcMar>
            <w:vAlign w:val="center"/>
          </w:tcPr>
          <w:p w14:paraId="04EFD003">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云昆官安经字[2020]0058                发证：2020-9-24</w:t>
            </w:r>
          </w:p>
        </w:tc>
        <w:tc>
          <w:tcPr>
            <w:tcW w:w="840" w:type="dxa"/>
            <w:noWrap w:val="0"/>
            <w:tcMar>
              <w:top w:w="15" w:type="dxa"/>
              <w:left w:w="15" w:type="dxa"/>
              <w:right w:w="15" w:type="dxa"/>
            </w:tcMar>
            <w:vAlign w:val="center"/>
          </w:tcPr>
          <w:p w14:paraId="7BC58523">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二级</w:t>
            </w:r>
          </w:p>
        </w:tc>
        <w:tc>
          <w:tcPr>
            <w:tcW w:w="2160" w:type="dxa"/>
            <w:noWrap w:val="0"/>
            <w:tcMar>
              <w:top w:w="15" w:type="dxa"/>
              <w:left w:w="15" w:type="dxa"/>
              <w:right w:w="15" w:type="dxa"/>
            </w:tcMar>
            <w:vAlign w:val="center"/>
          </w:tcPr>
          <w:p w14:paraId="5743FEC4">
            <w:pPr>
              <w:widowControl/>
              <w:spacing w:line="560" w:lineRule="exact"/>
              <w:jc w:val="center"/>
              <w:textAlignment w:val="center"/>
              <w:rPr>
                <w:rFonts w:ascii="Times New Roman" w:hAnsi="Times New Roman" w:eastAsia="仿宋_GB2312"/>
                <w:color w:val="000000"/>
                <w:sz w:val="20"/>
                <w:szCs w:val="20"/>
              </w:rPr>
            </w:pPr>
            <w:r>
              <w:rPr>
                <w:rStyle w:val="13"/>
                <w:rFonts w:ascii="Times New Roman" w:hAnsi="Times New Roman" w:cs="Times New Roman"/>
                <w:lang w:bidi="ar"/>
              </w:rPr>
              <w:t>3/90m</w:t>
            </w:r>
            <w:r>
              <w:rPr>
                <w:rFonts w:ascii="Times New Roman" w:hAnsi="Times New Roman"/>
                <w:color w:val="000000"/>
                <w:kern w:val="0"/>
                <w:sz w:val="20"/>
                <w:szCs w:val="20"/>
                <w:lang w:bidi="ar"/>
              </w:rPr>
              <w:t>³</w:t>
            </w:r>
          </w:p>
        </w:tc>
        <w:tc>
          <w:tcPr>
            <w:tcW w:w="1856" w:type="dxa"/>
            <w:noWrap w:val="0"/>
            <w:tcMar>
              <w:top w:w="15" w:type="dxa"/>
              <w:left w:w="15" w:type="dxa"/>
              <w:right w:w="15" w:type="dxa"/>
            </w:tcMar>
            <w:vAlign w:val="center"/>
          </w:tcPr>
          <w:p w14:paraId="333BA4B4">
            <w:pPr>
              <w:widowControl/>
              <w:spacing w:line="560" w:lineRule="exact"/>
              <w:jc w:val="center"/>
              <w:textAlignment w:val="center"/>
              <w:rPr>
                <w:rFonts w:ascii="Times New Roman" w:hAnsi="Times New Roman" w:eastAsia="仿宋_GB2312"/>
                <w:color w:val="000000"/>
                <w:sz w:val="20"/>
                <w:szCs w:val="20"/>
              </w:rPr>
            </w:pPr>
            <w:r>
              <w:rPr>
                <w:rStyle w:val="13"/>
                <w:rFonts w:ascii="Times New Roman" w:hAnsi="Times New Roman" w:cs="Times New Roman"/>
                <w:lang w:bidi="ar"/>
              </w:rPr>
              <w:t>1/30m</w:t>
            </w:r>
            <w:r>
              <w:rPr>
                <w:rFonts w:ascii="Times New Roman" w:hAnsi="Times New Roman"/>
                <w:color w:val="000000"/>
                <w:kern w:val="0"/>
                <w:sz w:val="20"/>
                <w:szCs w:val="20"/>
                <w:lang w:bidi="ar"/>
              </w:rPr>
              <w:t>³</w:t>
            </w:r>
          </w:p>
        </w:tc>
        <w:tc>
          <w:tcPr>
            <w:tcW w:w="1130" w:type="dxa"/>
            <w:vMerge w:val="continue"/>
            <w:noWrap w:val="0"/>
            <w:tcMar>
              <w:top w:w="15" w:type="dxa"/>
              <w:left w:w="15" w:type="dxa"/>
              <w:right w:w="15" w:type="dxa"/>
            </w:tcMar>
            <w:vAlign w:val="center"/>
          </w:tcPr>
          <w:p w14:paraId="61E1C416">
            <w:pPr>
              <w:spacing w:line="560" w:lineRule="exact"/>
              <w:jc w:val="center"/>
              <w:rPr>
                <w:rFonts w:ascii="Times New Roman" w:hAnsi="Times New Roman" w:eastAsia="仿宋_GB2312"/>
                <w:color w:val="000000"/>
                <w:sz w:val="20"/>
                <w:szCs w:val="20"/>
              </w:rPr>
            </w:pPr>
          </w:p>
        </w:tc>
        <w:tc>
          <w:tcPr>
            <w:tcW w:w="1740" w:type="dxa"/>
            <w:noWrap w:val="0"/>
            <w:tcMar>
              <w:top w:w="15" w:type="dxa"/>
              <w:left w:w="15" w:type="dxa"/>
              <w:right w:w="15" w:type="dxa"/>
            </w:tcMar>
            <w:vAlign w:val="center"/>
          </w:tcPr>
          <w:p w14:paraId="2475CE95">
            <w:pPr>
              <w:widowControl/>
              <w:spacing w:line="560" w:lineRule="exact"/>
              <w:jc w:val="center"/>
              <w:textAlignment w:val="center"/>
              <w:rPr>
                <w:rFonts w:ascii="Times New Roman" w:hAnsi="Times New Roman" w:eastAsia="仿宋_GB2312"/>
                <w:color w:val="000000"/>
                <w:kern w:val="0"/>
                <w:sz w:val="20"/>
                <w:szCs w:val="20"/>
                <w:lang w:bidi="ar"/>
              </w:rPr>
            </w:pPr>
            <w:r>
              <w:rPr>
                <w:rFonts w:ascii="Times New Roman" w:hAnsi="Times New Roman" w:eastAsia="仿宋_GB2312"/>
                <w:color w:val="000000"/>
                <w:kern w:val="0"/>
                <w:sz w:val="20"/>
                <w:szCs w:val="20"/>
                <w:lang w:bidi="ar"/>
              </w:rPr>
              <w:t>赵亮18787090830</w:t>
            </w:r>
          </w:p>
        </w:tc>
      </w:tr>
      <w:tr w14:paraId="116239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trPr>
        <w:tc>
          <w:tcPr>
            <w:tcW w:w="379" w:type="dxa"/>
            <w:noWrap/>
            <w:tcMar>
              <w:top w:w="15" w:type="dxa"/>
              <w:left w:w="15" w:type="dxa"/>
              <w:right w:w="15" w:type="dxa"/>
            </w:tcMar>
            <w:vAlign w:val="center"/>
          </w:tcPr>
          <w:p w14:paraId="4F0ECC6F">
            <w:pPr>
              <w:widowControl/>
              <w:spacing w:line="560" w:lineRule="exact"/>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lang w:bidi="ar"/>
              </w:rPr>
              <w:t>36</w:t>
            </w:r>
          </w:p>
        </w:tc>
        <w:tc>
          <w:tcPr>
            <w:tcW w:w="2430" w:type="dxa"/>
            <w:noWrap/>
            <w:tcMar>
              <w:top w:w="15" w:type="dxa"/>
              <w:left w:w="15" w:type="dxa"/>
              <w:right w:w="15" w:type="dxa"/>
            </w:tcMar>
            <w:vAlign w:val="center"/>
          </w:tcPr>
          <w:p w14:paraId="186E75E9">
            <w:pPr>
              <w:widowControl/>
              <w:spacing w:line="560" w:lineRule="exact"/>
              <w:jc w:val="center"/>
              <w:textAlignment w:val="center"/>
              <w:rPr>
                <w:rFonts w:ascii="Times New Roman" w:hAnsi="Times New Roman" w:eastAsia="仿宋_GB2312"/>
                <w:b/>
                <w:color w:val="000000"/>
                <w:sz w:val="22"/>
                <w:szCs w:val="22"/>
              </w:rPr>
            </w:pPr>
            <w:r>
              <w:rPr>
                <w:rFonts w:ascii="Times New Roman" w:hAnsi="Times New Roman" w:eastAsia="仿宋_GB2312"/>
                <w:b/>
                <w:color w:val="000000"/>
                <w:kern w:val="0"/>
                <w:sz w:val="22"/>
                <w:szCs w:val="22"/>
                <w:lang w:bidi="ar"/>
              </w:rPr>
              <w:t>中石油曙光加油站</w:t>
            </w:r>
          </w:p>
        </w:tc>
        <w:tc>
          <w:tcPr>
            <w:tcW w:w="1633" w:type="dxa"/>
            <w:noWrap w:val="0"/>
            <w:tcMar>
              <w:top w:w="15" w:type="dxa"/>
              <w:left w:w="15" w:type="dxa"/>
              <w:right w:w="15" w:type="dxa"/>
            </w:tcMar>
            <w:vAlign w:val="center"/>
          </w:tcPr>
          <w:p w14:paraId="55F86EF7">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云南省昆明市官渡区东风东路延长线227号</w:t>
            </w:r>
          </w:p>
        </w:tc>
        <w:tc>
          <w:tcPr>
            <w:tcW w:w="2717" w:type="dxa"/>
            <w:noWrap w:val="0"/>
            <w:tcMar>
              <w:top w:w="15" w:type="dxa"/>
              <w:left w:w="15" w:type="dxa"/>
              <w:right w:w="15" w:type="dxa"/>
            </w:tcMar>
            <w:vAlign w:val="center"/>
          </w:tcPr>
          <w:p w14:paraId="55B9C5E1">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云昆官安经字【2019】0058　　　发证：2019-7-29</w:t>
            </w:r>
          </w:p>
        </w:tc>
        <w:tc>
          <w:tcPr>
            <w:tcW w:w="840" w:type="dxa"/>
            <w:noWrap/>
            <w:tcMar>
              <w:top w:w="15" w:type="dxa"/>
              <w:left w:w="15" w:type="dxa"/>
              <w:right w:w="15" w:type="dxa"/>
            </w:tcMar>
            <w:vAlign w:val="center"/>
          </w:tcPr>
          <w:p w14:paraId="1CCAF312">
            <w:pPr>
              <w:widowControl/>
              <w:spacing w:line="560" w:lineRule="exact"/>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lang w:bidi="ar"/>
              </w:rPr>
              <w:t>3</w:t>
            </w:r>
          </w:p>
        </w:tc>
        <w:tc>
          <w:tcPr>
            <w:tcW w:w="2160" w:type="dxa"/>
            <w:noWrap/>
            <w:tcMar>
              <w:top w:w="15" w:type="dxa"/>
              <w:left w:w="15" w:type="dxa"/>
              <w:right w:w="15" w:type="dxa"/>
            </w:tcMar>
            <w:vAlign w:val="center"/>
          </w:tcPr>
          <w:p w14:paraId="69D71463">
            <w:pPr>
              <w:widowControl/>
              <w:spacing w:line="560" w:lineRule="exact"/>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lang w:bidi="ar"/>
              </w:rPr>
              <w:t>3</w:t>
            </w:r>
          </w:p>
        </w:tc>
        <w:tc>
          <w:tcPr>
            <w:tcW w:w="1856" w:type="dxa"/>
            <w:noWrap/>
            <w:tcMar>
              <w:top w:w="15" w:type="dxa"/>
              <w:left w:w="15" w:type="dxa"/>
              <w:right w:w="15" w:type="dxa"/>
            </w:tcMar>
            <w:vAlign w:val="center"/>
          </w:tcPr>
          <w:p w14:paraId="3EF87A00">
            <w:pPr>
              <w:widowControl/>
              <w:spacing w:line="560" w:lineRule="exact"/>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lang w:bidi="ar"/>
              </w:rPr>
              <w:t>1</w:t>
            </w:r>
          </w:p>
        </w:tc>
        <w:tc>
          <w:tcPr>
            <w:tcW w:w="1130" w:type="dxa"/>
            <w:vMerge w:val="continue"/>
            <w:noWrap w:val="0"/>
            <w:tcMar>
              <w:top w:w="15" w:type="dxa"/>
              <w:left w:w="15" w:type="dxa"/>
              <w:right w:w="15" w:type="dxa"/>
            </w:tcMar>
            <w:vAlign w:val="center"/>
          </w:tcPr>
          <w:p w14:paraId="56E08F63">
            <w:pPr>
              <w:spacing w:line="560" w:lineRule="exact"/>
              <w:jc w:val="center"/>
              <w:rPr>
                <w:rFonts w:ascii="Times New Roman" w:hAnsi="Times New Roman" w:eastAsia="仿宋_GB2312"/>
                <w:color w:val="000000"/>
                <w:sz w:val="20"/>
                <w:szCs w:val="20"/>
              </w:rPr>
            </w:pPr>
          </w:p>
        </w:tc>
        <w:tc>
          <w:tcPr>
            <w:tcW w:w="1740" w:type="dxa"/>
            <w:noWrap w:val="0"/>
            <w:tcMar>
              <w:top w:w="15" w:type="dxa"/>
              <w:left w:w="15" w:type="dxa"/>
              <w:right w:w="15" w:type="dxa"/>
            </w:tcMar>
            <w:vAlign w:val="center"/>
          </w:tcPr>
          <w:p w14:paraId="22DAAED7">
            <w:pPr>
              <w:widowControl/>
              <w:spacing w:line="560" w:lineRule="exact"/>
              <w:jc w:val="center"/>
              <w:textAlignment w:val="center"/>
              <w:rPr>
                <w:rFonts w:ascii="Times New Roman" w:hAnsi="Times New Roman" w:eastAsia="仿宋_GB2312"/>
                <w:color w:val="000000"/>
                <w:kern w:val="0"/>
                <w:sz w:val="20"/>
                <w:szCs w:val="20"/>
                <w:lang w:bidi="ar"/>
              </w:rPr>
            </w:pPr>
            <w:r>
              <w:rPr>
                <w:rFonts w:ascii="Times New Roman" w:hAnsi="Times New Roman" w:eastAsia="仿宋_GB2312"/>
                <w:color w:val="000000"/>
                <w:kern w:val="0"/>
                <w:sz w:val="20"/>
                <w:szCs w:val="20"/>
                <w:lang w:bidi="ar"/>
              </w:rPr>
              <w:t>许海梅13888181817</w:t>
            </w:r>
          </w:p>
        </w:tc>
      </w:tr>
      <w:tr w14:paraId="43B59F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trPr>
        <w:tc>
          <w:tcPr>
            <w:tcW w:w="379" w:type="dxa"/>
            <w:noWrap/>
            <w:tcMar>
              <w:top w:w="15" w:type="dxa"/>
              <w:left w:w="15" w:type="dxa"/>
              <w:right w:w="15" w:type="dxa"/>
            </w:tcMar>
            <w:vAlign w:val="center"/>
          </w:tcPr>
          <w:p w14:paraId="68DB68A2">
            <w:pPr>
              <w:widowControl/>
              <w:spacing w:line="560" w:lineRule="exact"/>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lang w:bidi="ar"/>
              </w:rPr>
              <w:t>37</w:t>
            </w:r>
          </w:p>
        </w:tc>
        <w:tc>
          <w:tcPr>
            <w:tcW w:w="2430" w:type="dxa"/>
            <w:noWrap/>
            <w:tcMar>
              <w:top w:w="15" w:type="dxa"/>
              <w:left w:w="15" w:type="dxa"/>
              <w:right w:w="15" w:type="dxa"/>
            </w:tcMar>
            <w:vAlign w:val="center"/>
          </w:tcPr>
          <w:p w14:paraId="3C8F7B1E">
            <w:pPr>
              <w:widowControl/>
              <w:spacing w:line="560" w:lineRule="exact"/>
              <w:jc w:val="center"/>
              <w:textAlignment w:val="center"/>
              <w:rPr>
                <w:rFonts w:ascii="Times New Roman" w:hAnsi="Times New Roman" w:eastAsia="仿宋_GB2312"/>
                <w:b/>
                <w:color w:val="000000"/>
                <w:sz w:val="22"/>
                <w:szCs w:val="22"/>
              </w:rPr>
            </w:pPr>
            <w:r>
              <w:rPr>
                <w:rFonts w:ascii="Times New Roman" w:hAnsi="Times New Roman" w:eastAsia="仿宋_GB2312"/>
                <w:b/>
                <w:color w:val="000000"/>
                <w:kern w:val="0"/>
                <w:sz w:val="22"/>
                <w:szCs w:val="22"/>
                <w:lang w:bidi="ar"/>
              </w:rPr>
              <w:t>中石油临湖加油站</w:t>
            </w:r>
          </w:p>
        </w:tc>
        <w:tc>
          <w:tcPr>
            <w:tcW w:w="1633" w:type="dxa"/>
            <w:noWrap w:val="0"/>
            <w:tcMar>
              <w:top w:w="15" w:type="dxa"/>
              <w:left w:w="15" w:type="dxa"/>
              <w:right w:w="15" w:type="dxa"/>
            </w:tcMar>
            <w:vAlign w:val="center"/>
          </w:tcPr>
          <w:p w14:paraId="2F75AB78">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昆明市官渡区官南路与环湖东路交叉口北侧</w:t>
            </w:r>
          </w:p>
        </w:tc>
        <w:tc>
          <w:tcPr>
            <w:tcW w:w="2717" w:type="dxa"/>
            <w:noWrap w:val="0"/>
            <w:tcMar>
              <w:top w:w="15" w:type="dxa"/>
              <w:left w:w="15" w:type="dxa"/>
              <w:right w:w="15" w:type="dxa"/>
            </w:tcMar>
            <w:vAlign w:val="center"/>
          </w:tcPr>
          <w:p w14:paraId="386D2179">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云昆官安经字【2018】0006　　　发证：2018-3-8</w:t>
            </w:r>
          </w:p>
        </w:tc>
        <w:tc>
          <w:tcPr>
            <w:tcW w:w="840" w:type="dxa"/>
            <w:noWrap/>
            <w:tcMar>
              <w:top w:w="15" w:type="dxa"/>
              <w:left w:w="15" w:type="dxa"/>
              <w:right w:w="15" w:type="dxa"/>
            </w:tcMar>
            <w:vAlign w:val="center"/>
          </w:tcPr>
          <w:p w14:paraId="286AE47F">
            <w:pPr>
              <w:widowControl/>
              <w:spacing w:line="560" w:lineRule="exact"/>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lang w:bidi="ar"/>
              </w:rPr>
              <w:t>三级</w:t>
            </w:r>
          </w:p>
        </w:tc>
        <w:tc>
          <w:tcPr>
            <w:tcW w:w="2160" w:type="dxa"/>
            <w:noWrap/>
            <w:tcMar>
              <w:top w:w="15" w:type="dxa"/>
              <w:left w:w="15" w:type="dxa"/>
              <w:right w:w="15" w:type="dxa"/>
            </w:tcMar>
            <w:vAlign w:val="center"/>
          </w:tcPr>
          <w:p w14:paraId="2FD08008">
            <w:pPr>
              <w:spacing w:line="560" w:lineRule="exact"/>
              <w:jc w:val="center"/>
              <w:rPr>
                <w:rFonts w:ascii="Times New Roman" w:hAnsi="Times New Roman" w:eastAsia="仿宋_GB2312"/>
                <w:color w:val="000000"/>
                <w:sz w:val="24"/>
              </w:rPr>
            </w:pPr>
          </w:p>
        </w:tc>
        <w:tc>
          <w:tcPr>
            <w:tcW w:w="1856" w:type="dxa"/>
            <w:noWrap/>
            <w:tcMar>
              <w:top w:w="15" w:type="dxa"/>
              <w:left w:w="15" w:type="dxa"/>
              <w:right w:w="15" w:type="dxa"/>
            </w:tcMar>
            <w:vAlign w:val="center"/>
          </w:tcPr>
          <w:p w14:paraId="040327FE">
            <w:pPr>
              <w:spacing w:line="560" w:lineRule="exact"/>
              <w:jc w:val="center"/>
              <w:rPr>
                <w:rFonts w:ascii="Times New Roman" w:hAnsi="Times New Roman" w:eastAsia="仿宋_GB2312"/>
                <w:color w:val="000000"/>
                <w:sz w:val="24"/>
              </w:rPr>
            </w:pPr>
          </w:p>
        </w:tc>
        <w:tc>
          <w:tcPr>
            <w:tcW w:w="1130" w:type="dxa"/>
            <w:vMerge w:val="continue"/>
            <w:noWrap w:val="0"/>
            <w:tcMar>
              <w:top w:w="15" w:type="dxa"/>
              <w:left w:w="15" w:type="dxa"/>
              <w:right w:w="15" w:type="dxa"/>
            </w:tcMar>
            <w:vAlign w:val="center"/>
          </w:tcPr>
          <w:p w14:paraId="1E4B294A">
            <w:pPr>
              <w:spacing w:line="560" w:lineRule="exact"/>
              <w:jc w:val="center"/>
              <w:rPr>
                <w:rFonts w:ascii="Times New Roman" w:hAnsi="Times New Roman" w:eastAsia="仿宋_GB2312"/>
                <w:color w:val="000000"/>
                <w:sz w:val="20"/>
                <w:szCs w:val="20"/>
              </w:rPr>
            </w:pPr>
          </w:p>
        </w:tc>
        <w:tc>
          <w:tcPr>
            <w:tcW w:w="1740" w:type="dxa"/>
            <w:noWrap w:val="0"/>
            <w:tcMar>
              <w:top w:w="15" w:type="dxa"/>
              <w:left w:w="15" w:type="dxa"/>
              <w:right w:w="15" w:type="dxa"/>
            </w:tcMar>
            <w:vAlign w:val="center"/>
          </w:tcPr>
          <w:p w14:paraId="071AD291">
            <w:pPr>
              <w:widowControl/>
              <w:spacing w:line="560" w:lineRule="exact"/>
              <w:jc w:val="center"/>
              <w:textAlignment w:val="center"/>
              <w:rPr>
                <w:rFonts w:ascii="Times New Roman" w:hAnsi="Times New Roman" w:eastAsia="仿宋_GB2312"/>
                <w:color w:val="000000"/>
                <w:kern w:val="0"/>
                <w:sz w:val="20"/>
                <w:szCs w:val="20"/>
                <w:lang w:bidi="ar"/>
              </w:rPr>
            </w:pPr>
            <w:r>
              <w:rPr>
                <w:rFonts w:ascii="Times New Roman" w:hAnsi="Times New Roman" w:eastAsia="仿宋_GB2312"/>
                <w:color w:val="000000"/>
                <w:kern w:val="0"/>
                <w:sz w:val="20"/>
                <w:szCs w:val="20"/>
                <w:lang w:bidi="ar"/>
              </w:rPr>
              <w:t>王师18788554119</w:t>
            </w:r>
          </w:p>
        </w:tc>
      </w:tr>
      <w:tr w14:paraId="3CC116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5" w:hRule="atLeast"/>
        </w:trPr>
        <w:tc>
          <w:tcPr>
            <w:tcW w:w="379" w:type="dxa"/>
            <w:noWrap/>
            <w:tcMar>
              <w:top w:w="15" w:type="dxa"/>
              <w:left w:w="15" w:type="dxa"/>
              <w:right w:w="15" w:type="dxa"/>
            </w:tcMar>
            <w:vAlign w:val="center"/>
          </w:tcPr>
          <w:p w14:paraId="24CCE912">
            <w:pPr>
              <w:widowControl/>
              <w:spacing w:line="560" w:lineRule="exact"/>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lang w:bidi="ar"/>
              </w:rPr>
              <w:t>38</w:t>
            </w:r>
          </w:p>
        </w:tc>
        <w:tc>
          <w:tcPr>
            <w:tcW w:w="2430" w:type="dxa"/>
            <w:noWrap w:val="0"/>
            <w:tcMar>
              <w:top w:w="15" w:type="dxa"/>
              <w:left w:w="15" w:type="dxa"/>
              <w:right w:w="15" w:type="dxa"/>
            </w:tcMar>
            <w:vAlign w:val="center"/>
          </w:tcPr>
          <w:p w14:paraId="54DC4A06">
            <w:pPr>
              <w:widowControl/>
              <w:spacing w:line="560" w:lineRule="exact"/>
              <w:jc w:val="center"/>
              <w:textAlignment w:val="center"/>
              <w:rPr>
                <w:rFonts w:ascii="Times New Roman" w:hAnsi="Times New Roman" w:eastAsia="仿宋_GB2312"/>
                <w:b/>
                <w:color w:val="000000"/>
                <w:sz w:val="22"/>
                <w:szCs w:val="22"/>
              </w:rPr>
            </w:pPr>
            <w:r>
              <w:rPr>
                <w:rFonts w:ascii="Times New Roman" w:hAnsi="Times New Roman" w:eastAsia="仿宋_GB2312"/>
                <w:b/>
                <w:color w:val="000000"/>
                <w:kern w:val="0"/>
                <w:sz w:val="22"/>
                <w:szCs w:val="22"/>
                <w:lang w:bidi="ar"/>
              </w:rPr>
              <w:t>中国石油天然气股份有限公司云南昆明销售分公司矣六加油站</w:t>
            </w:r>
          </w:p>
        </w:tc>
        <w:tc>
          <w:tcPr>
            <w:tcW w:w="1633" w:type="dxa"/>
            <w:noWrap w:val="0"/>
            <w:tcMar>
              <w:top w:w="15" w:type="dxa"/>
              <w:left w:w="15" w:type="dxa"/>
              <w:right w:w="15" w:type="dxa"/>
            </w:tcMar>
            <w:vAlign w:val="center"/>
          </w:tcPr>
          <w:p w14:paraId="69EED6EF">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昆明市官渡区矣六街道彩云北路五腊村西侧</w:t>
            </w:r>
          </w:p>
        </w:tc>
        <w:tc>
          <w:tcPr>
            <w:tcW w:w="2717" w:type="dxa"/>
            <w:noWrap w:val="0"/>
            <w:tcMar>
              <w:top w:w="15" w:type="dxa"/>
              <w:left w:w="15" w:type="dxa"/>
              <w:right w:w="15" w:type="dxa"/>
            </w:tcMar>
            <w:vAlign w:val="center"/>
          </w:tcPr>
          <w:p w14:paraId="5CB69176">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云昆官安经字[2019]0052     发证：2019-7-15</w:t>
            </w:r>
          </w:p>
        </w:tc>
        <w:tc>
          <w:tcPr>
            <w:tcW w:w="840" w:type="dxa"/>
            <w:noWrap/>
            <w:tcMar>
              <w:top w:w="15" w:type="dxa"/>
              <w:left w:w="15" w:type="dxa"/>
              <w:right w:w="15" w:type="dxa"/>
            </w:tcMar>
            <w:vAlign w:val="center"/>
          </w:tcPr>
          <w:p w14:paraId="36191FC2">
            <w:pPr>
              <w:widowControl/>
              <w:spacing w:line="560" w:lineRule="exact"/>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lang w:bidi="ar"/>
              </w:rPr>
              <w:t>二级</w:t>
            </w:r>
          </w:p>
        </w:tc>
        <w:tc>
          <w:tcPr>
            <w:tcW w:w="2160" w:type="dxa"/>
            <w:noWrap/>
            <w:tcMar>
              <w:top w:w="15" w:type="dxa"/>
              <w:left w:w="15" w:type="dxa"/>
              <w:right w:w="15" w:type="dxa"/>
            </w:tcMar>
            <w:vAlign w:val="center"/>
          </w:tcPr>
          <w:p w14:paraId="424B3CDE">
            <w:pPr>
              <w:widowControl/>
              <w:spacing w:line="560" w:lineRule="exact"/>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lang w:bidi="ar"/>
              </w:rPr>
              <w:t>2个30m³</w:t>
            </w:r>
          </w:p>
        </w:tc>
        <w:tc>
          <w:tcPr>
            <w:tcW w:w="1856" w:type="dxa"/>
            <w:noWrap/>
            <w:tcMar>
              <w:top w:w="15" w:type="dxa"/>
              <w:left w:w="15" w:type="dxa"/>
              <w:right w:w="15" w:type="dxa"/>
            </w:tcMar>
            <w:vAlign w:val="center"/>
          </w:tcPr>
          <w:p w14:paraId="7B2E14F6">
            <w:pPr>
              <w:widowControl/>
              <w:spacing w:line="560" w:lineRule="exact"/>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lang w:bidi="ar"/>
              </w:rPr>
              <w:t>2个50m³</w:t>
            </w:r>
          </w:p>
        </w:tc>
        <w:tc>
          <w:tcPr>
            <w:tcW w:w="1130" w:type="dxa"/>
            <w:vMerge w:val="continue"/>
            <w:noWrap w:val="0"/>
            <w:tcMar>
              <w:top w:w="15" w:type="dxa"/>
              <w:left w:w="15" w:type="dxa"/>
              <w:right w:w="15" w:type="dxa"/>
            </w:tcMar>
            <w:vAlign w:val="center"/>
          </w:tcPr>
          <w:p w14:paraId="703A908D">
            <w:pPr>
              <w:spacing w:line="560" w:lineRule="exact"/>
              <w:jc w:val="center"/>
              <w:rPr>
                <w:rFonts w:ascii="Times New Roman" w:hAnsi="Times New Roman" w:eastAsia="仿宋_GB2312"/>
                <w:color w:val="000000"/>
                <w:sz w:val="20"/>
                <w:szCs w:val="20"/>
              </w:rPr>
            </w:pPr>
          </w:p>
        </w:tc>
        <w:tc>
          <w:tcPr>
            <w:tcW w:w="1740" w:type="dxa"/>
            <w:noWrap w:val="0"/>
            <w:tcMar>
              <w:top w:w="15" w:type="dxa"/>
              <w:left w:w="15" w:type="dxa"/>
              <w:right w:w="15" w:type="dxa"/>
            </w:tcMar>
            <w:vAlign w:val="center"/>
          </w:tcPr>
          <w:p w14:paraId="145BA2F7">
            <w:pPr>
              <w:spacing w:line="560" w:lineRule="exact"/>
              <w:jc w:val="center"/>
              <w:rPr>
                <w:rFonts w:ascii="Times New Roman" w:hAnsi="Times New Roman" w:eastAsia="仿宋_GB2312"/>
                <w:color w:val="000000"/>
                <w:kern w:val="0"/>
                <w:sz w:val="20"/>
                <w:szCs w:val="20"/>
                <w:lang w:bidi="ar"/>
              </w:rPr>
            </w:pPr>
          </w:p>
        </w:tc>
      </w:tr>
      <w:tr w14:paraId="49BF55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trPr>
        <w:tc>
          <w:tcPr>
            <w:tcW w:w="379" w:type="dxa"/>
            <w:noWrap/>
            <w:tcMar>
              <w:top w:w="15" w:type="dxa"/>
              <w:left w:w="15" w:type="dxa"/>
              <w:right w:w="15" w:type="dxa"/>
            </w:tcMar>
            <w:vAlign w:val="center"/>
          </w:tcPr>
          <w:p w14:paraId="22900935">
            <w:pPr>
              <w:widowControl/>
              <w:spacing w:line="560" w:lineRule="exact"/>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lang w:bidi="ar"/>
              </w:rPr>
              <w:t>39</w:t>
            </w:r>
          </w:p>
        </w:tc>
        <w:tc>
          <w:tcPr>
            <w:tcW w:w="2430" w:type="dxa"/>
            <w:noWrap w:val="0"/>
            <w:tcMar>
              <w:top w:w="15" w:type="dxa"/>
              <w:left w:w="15" w:type="dxa"/>
              <w:right w:w="15" w:type="dxa"/>
            </w:tcMar>
            <w:vAlign w:val="center"/>
          </w:tcPr>
          <w:p w14:paraId="0781F212">
            <w:pPr>
              <w:widowControl/>
              <w:spacing w:line="560" w:lineRule="exact"/>
              <w:jc w:val="center"/>
              <w:textAlignment w:val="center"/>
              <w:rPr>
                <w:rFonts w:ascii="Times New Roman" w:hAnsi="Times New Roman" w:eastAsia="仿宋_GB2312"/>
                <w:b/>
                <w:color w:val="000000"/>
                <w:sz w:val="22"/>
                <w:szCs w:val="22"/>
              </w:rPr>
            </w:pPr>
            <w:r>
              <w:rPr>
                <w:rFonts w:ascii="Times New Roman" w:hAnsi="Times New Roman" w:eastAsia="仿宋_GB2312"/>
                <w:b/>
                <w:color w:val="000000"/>
                <w:kern w:val="0"/>
                <w:sz w:val="22"/>
                <w:szCs w:val="22"/>
                <w:lang w:bidi="ar"/>
              </w:rPr>
              <w:t>云南瑞燃石化有限公司向化加油站</w:t>
            </w:r>
          </w:p>
        </w:tc>
        <w:tc>
          <w:tcPr>
            <w:tcW w:w="1633" w:type="dxa"/>
            <w:noWrap w:val="0"/>
            <w:tcMar>
              <w:top w:w="15" w:type="dxa"/>
              <w:left w:w="15" w:type="dxa"/>
              <w:right w:w="15" w:type="dxa"/>
            </w:tcMar>
            <w:vAlign w:val="center"/>
          </w:tcPr>
          <w:p w14:paraId="14FC85A6">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云南省昆明市官渡区小板桥镇中闸新村</w:t>
            </w:r>
          </w:p>
        </w:tc>
        <w:tc>
          <w:tcPr>
            <w:tcW w:w="2717" w:type="dxa"/>
            <w:noWrap w:val="0"/>
            <w:tcMar>
              <w:top w:w="15" w:type="dxa"/>
              <w:left w:w="15" w:type="dxa"/>
              <w:right w:w="15" w:type="dxa"/>
            </w:tcMar>
            <w:vAlign w:val="center"/>
          </w:tcPr>
          <w:p w14:paraId="511E4C9F">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云昆官安经字[2018]0021　    发证：2018-6-4</w:t>
            </w:r>
          </w:p>
        </w:tc>
        <w:tc>
          <w:tcPr>
            <w:tcW w:w="840" w:type="dxa"/>
            <w:noWrap/>
            <w:tcMar>
              <w:top w:w="15" w:type="dxa"/>
              <w:left w:w="15" w:type="dxa"/>
              <w:right w:w="15" w:type="dxa"/>
            </w:tcMar>
            <w:vAlign w:val="center"/>
          </w:tcPr>
          <w:p w14:paraId="5C02B992">
            <w:pPr>
              <w:widowControl/>
              <w:spacing w:line="560" w:lineRule="exact"/>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lang w:bidi="ar"/>
              </w:rPr>
              <w:t>二级</w:t>
            </w:r>
          </w:p>
        </w:tc>
        <w:tc>
          <w:tcPr>
            <w:tcW w:w="2160" w:type="dxa"/>
            <w:noWrap/>
            <w:tcMar>
              <w:top w:w="15" w:type="dxa"/>
              <w:left w:w="15" w:type="dxa"/>
              <w:right w:w="15" w:type="dxa"/>
            </w:tcMar>
            <w:vAlign w:val="center"/>
          </w:tcPr>
          <w:p w14:paraId="57918B30">
            <w:pPr>
              <w:spacing w:line="560" w:lineRule="exact"/>
              <w:jc w:val="center"/>
              <w:rPr>
                <w:rFonts w:ascii="Times New Roman" w:hAnsi="Times New Roman" w:eastAsia="仿宋_GB2312"/>
                <w:color w:val="000000"/>
                <w:sz w:val="24"/>
              </w:rPr>
            </w:pPr>
          </w:p>
        </w:tc>
        <w:tc>
          <w:tcPr>
            <w:tcW w:w="1856" w:type="dxa"/>
            <w:noWrap/>
            <w:tcMar>
              <w:top w:w="15" w:type="dxa"/>
              <w:left w:w="15" w:type="dxa"/>
              <w:right w:w="15" w:type="dxa"/>
            </w:tcMar>
            <w:vAlign w:val="center"/>
          </w:tcPr>
          <w:p w14:paraId="022260EC">
            <w:pPr>
              <w:spacing w:line="560" w:lineRule="exact"/>
              <w:jc w:val="center"/>
              <w:rPr>
                <w:rFonts w:ascii="Times New Roman" w:hAnsi="Times New Roman" w:eastAsia="仿宋_GB2312"/>
                <w:color w:val="000000"/>
                <w:sz w:val="24"/>
              </w:rPr>
            </w:pPr>
          </w:p>
        </w:tc>
        <w:tc>
          <w:tcPr>
            <w:tcW w:w="1130" w:type="dxa"/>
            <w:noWrap w:val="0"/>
            <w:tcMar>
              <w:top w:w="15" w:type="dxa"/>
              <w:left w:w="15" w:type="dxa"/>
              <w:right w:w="15" w:type="dxa"/>
            </w:tcMar>
            <w:vAlign w:val="center"/>
          </w:tcPr>
          <w:p w14:paraId="1C350623">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陈金森</w:t>
            </w:r>
          </w:p>
        </w:tc>
        <w:tc>
          <w:tcPr>
            <w:tcW w:w="1740" w:type="dxa"/>
            <w:noWrap w:val="0"/>
            <w:tcMar>
              <w:top w:w="15" w:type="dxa"/>
              <w:left w:w="15" w:type="dxa"/>
              <w:right w:w="15" w:type="dxa"/>
            </w:tcMar>
            <w:vAlign w:val="center"/>
          </w:tcPr>
          <w:p w14:paraId="3DA739C6">
            <w:pPr>
              <w:widowControl/>
              <w:spacing w:line="560" w:lineRule="exact"/>
              <w:jc w:val="center"/>
              <w:textAlignment w:val="center"/>
              <w:rPr>
                <w:rFonts w:ascii="Times New Roman" w:hAnsi="Times New Roman" w:eastAsia="仿宋_GB2312"/>
                <w:color w:val="000000"/>
                <w:kern w:val="0"/>
                <w:sz w:val="20"/>
                <w:szCs w:val="20"/>
                <w:lang w:bidi="ar"/>
              </w:rPr>
            </w:pPr>
            <w:r>
              <w:rPr>
                <w:rFonts w:ascii="Times New Roman" w:hAnsi="Times New Roman" w:eastAsia="仿宋_GB2312"/>
                <w:color w:val="000000"/>
                <w:kern w:val="0"/>
                <w:sz w:val="20"/>
                <w:szCs w:val="20"/>
                <w:lang w:bidi="ar"/>
              </w:rPr>
              <w:t>陈金森13808717792</w:t>
            </w:r>
          </w:p>
        </w:tc>
      </w:tr>
      <w:tr w14:paraId="6543ED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0" w:hRule="atLeast"/>
        </w:trPr>
        <w:tc>
          <w:tcPr>
            <w:tcW w:w="379" w:type="dxa"/>
            <w:noWrap/>
            <w:tcMar>
              <w:top w:w="15" w:type="dxa"/>
              <w:left w:w="15" w:type="dxa"/>
              <w:right w:w="15" w:type="dxa"/>
            </w:tcMar>
            <w:vAlign w:val="center"/>
          </w:tcPr>
          <w:p w14:paraId="310E1356">
            <w:pPr>
              <w:widowControl/>
              <w:spacing w:line="560" w:lineRule="exact"/>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lang w:bidi="ar"/>
              </w:rPr>
              <w:t>40</w:t>
            </w:r>
          </w:p>
        </w:tc>
        <w:tc>
          <w:tcPr>
            <w:tcW w:w="2430" w:type="dxa"/>
            <w:noWrap w:val="0"/>
            <w:tcMar>
              <w:top w:w="15" w:type="dxa"/>
              <w:left w:w="15" w:type="dxa"/>
              <w:right w:w="15" w:type="dxa"/>
            </w:tcMar>
            <w:vAlign w:val="center"/>
          </w:tcPr>
          <w:p w14:paraId="5974FAD9">
            <w:pPr>
              <w:widowControl/>
              <w:spacing w:line="560" w:lineRule="exact"/>
              <w:jc w:val="center"/>
              <w:textAlignment w:val="center"/>
              <w:rPr>
                <w:rFonts w:ascii="Times New Roman" w:hAnsi="Times New Roman" w:eastAsia="仿宋_GB2312"/>
                <w:b/>
                <w:color w:val="000000"/>
                <w:sz w:val="22"/>
                <w:szCs w:val="22"/>
              </w:rPr>
            </w:pPr>
            <w:r>
              <w:rPr>
                <w:rFonts w:ascii="Times New Roman" w:hAnsi="Times New Roman" w:eastAsia="仿宋_GB2312"/>
                <w:b/>
                <w:color w:val="000000"/>
                <w:kern w:val="0"/>
                <w:sz w:val="22"/>
                <w:szCs w:val="22"/>
                <w:lang w:bidi="ar"/>
              </w:rPr>
              <w:t>云南中坤石化经贸有限公司</w:t>
            </w:r>
          </w:p>
        </w:tc>
        <w:tc>
          <w:tcPr>
            <w:tcW w:w="1633" w:type="dxa"/>
            <w:noWrap w:val="0"/>
            <w:tcMar>
              <w:top w:w="15" w:type="dxa"/>
              <w:left w:w="15" w:type="dxa"/>
              <w:right w:w="15" w:type="dxa"/>
            </w:tcMar>
            <w:vAlign w:val="center"/>
          </w:tcPr>
          <w:p w14:paraId="054FC1D3">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南坝路118号</w:t>
            </w:r>
          </w:p>
        </w:tc>
        <w:tc>
          <w:tcPr>
            <w:tcW w:w="2717" w:type="dxa"/>
            <w:noWrap w:val="0"/>
            <w:tcMar>
              <w:top w:w="15" w:type="dxa"/>
              <w:left w:w="15" w:type="dxa"/>
              <w:right w:w="15" w:type="dxa"/>
            </w:tcMar>
            <w:vAlign w:val="center"/>
          </w:tcPr>
          <w:p w14:paraId="0FD715F8">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云昆官安经字[2018]0080　　             发证：2018-12-28</w:t>
            </w:r>
          </w:p>
        </w:tc>
        <w:tc>
          <w:tcPr>
            <w:tcW w:w="840" w:type="dxa"/>
            <w:noWrap w:val="0"/>
            <w:tcMar>
              <w:top w:w="15" w:type="dxa"/>
              <w:left w:w="15" w:type="dxa"/>
              <w:right w:w="15" w:type="dxa"/>
            </w:tcMar>
            <w:vAlign w:val="center"/>
          </w:tcPr>
          <w:p w14:paraId="690B1A3E">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三级</w:t>
            </w:r>
          </w:p>
        </w:tc>
        <w:tc>
          <w:tcPr>
            <w:tcW w:w="2160" w:type="dxa"/>
            <w:noWrap w:val="0"/>
            <w:tcMar>
              <w:top w:w="15" w:type="dxa"/>
              <w:left w:w="15" w:type="dxa"/>
              <w:right w:w="15" w:type="dxa"/>
            </w:tcMar>
            <w:vAlign w:val="center"/>
          </w:tcPr>
          <w:p w14:paraId="1611AE8D">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2个80</w:t>
            </w:r>
          </w:p>
        </w:tc>
        <w:tc>
          <w:tcPr>
            <w:tcW w:w="1856" w:type="dxa"/>
            <w:noWrap w:val="0"/>
            <w:tcMar>
              <w:top w:w="15" w:type="dxa"/>
              <w:left w:w="15" w:type="dxa"/>
              <w:right w:w="15" w:type="dxa"/>
            </w:tcMar>
            <w:vAlign w:val="center"/>
          </w:tcPr>
          <w:p w14:paraId="254F7DF0">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1个30</w:t>
            </w:r>
          </w:p>
        </w:tc>
        <w:tc>
          <w:tcPr>
            <w:tcW w:w="1130" w:type="dxa"/>
            <w:noWrap w:val="0"/>
            <w:tcMar>
              <w:top w:w="15" w:type="dxa"/>
              <w:left w:w="15" w:type="dxa"/>
              <w:right w:w="15" w:type="dxa"/>
            </w:tcMar>
            <w:vAlign w:val="center"/>
          </w:tcPr>
          <w:p w14:paraId="153D81A4">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尹顺华</w:t>
            </w:r>
          </w:p>
        </w:tc>
        <w:tc>
          <w:tcPr>
            <w:tcW w:w="1740" w:type="dxa"/>
            <w:noWrap w:val="0"/>
            <w:tcMar>
              <w:top w:w="15" w:type="dxa"/>
              <w:left w:w="15" w:type="dxa"/>
              <w:right w:w="15" w:type="dxa"/>
            </w:tcMar>
            <w:vAlign w:val="center"/>
          </w:tcPr>
          <w:p w14:paraId="647D5571">
            <w:pPr>
              <w:widowControl/>
              <w:spacing w:line="560" w:lineRule="exact"/>
              <w:jc w:val="center"/>
              <w:textAlignment w:val="center"/>
              <w:rPr>
                <w:rFonts w:ascii="Times New Roman" w:hAnsi="Times New Roman" w:eastAsia="仿宋_GB2312"/>
                <w:color w:val="000000"/>
                <w:kern w:val="0"/>
                <w:sz w:val="20"/>
                <w:szCs w:val="20"/>
                <w:lang w:bidi="ar"/>
              </w:rPr>
            </w:pPr>
            <w:r>
              <w:rPr>
                <w:rFonts w:ascii="Times New Roman" w:hAnsi="Times New Roman" w:eastAsia="仿宋_GB2312"/>
                <w:color w:val="000000"/>
                <w:kern w:val="0"/>
                <w:sz w:val="20"/>
                <w:szCs w:val="20"/>
                <w:lang w:bidi="ar"/>
              </w:rPr>
              <w:t>胡13668725067 QQ:419067771</w:t>
            </w:r>
          </w:p>
        </w:tc>
      </w:tr>
      <w:tr w14:paraId="0CE184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0" w:hRule="atLeast"/>
        </w:trPr>
        <w:tc>
          <w:tcPr>
            <w:tcW w:w="379" w:type="dxa"/>
            <w:noWrap/>
            <w:tcMar>
              <w:top w:w="15" w:type="dxa"/>
              <w:left w:w="15" w:type="dxa"/>
              <w:right w:w="15" w:type="dxa"/>
            </w:tcMar>
            <w:vAlign w:val="center"/>
          </w:tcPr>
          <w:p w14:paraId="047F2871">
            <w:pPr>
              <w:widowControl/>
              <w:spacing w:line="560" w:lineRule="exact"/>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lang w:bidi="ar"/>
              </w:rPr>
              <w:t>41</w:t>
            </w:r>
          </w:p>
        </w:tc>
        <w:tc>
          <w:tcPr>
            <w:tcW w:w="2430" w:type="dxa"/>
            <w:noWrap w:val="0"/>
            <w:tcMar>
              <w:top w:w="15" w:type="dxa"/>
              <w:left w:w="15" w:type="dxa"/>
              <w:right w:w="15" w:type="dxa"/>
            </w:tcMar>
            <w:vAlign w:val="center"/>
          </w:tcPr>
          <w:p w14:paraId="79583A97">
            <w:pPr>
              <w:widowControl/>
              <w:spacing w:line="560" w:lineRule="exact"/>
              <w:jc w:val="center"/>
              <w:textAlignment w:val="center"/>
              <w:rPr>
                <w:rFonts w:ascii="Times New Roman" w:hAnsi="Times New Roman" w:eastAsia="仿宋_GB2312"/>
                <w:b/>
                <w:color w:val="000000"/>
                <w:sz w:val="22"/>
                <w:szCs w:val="22"/>
              </w:rPr>
            </w:pPr>
            <w:r>
              <w:rPr>
                <w:rFonts w:ascii="Times New Roman" w:hAnsi="Times New Roman" w:eastAsia="仿宋_GB2312"/>
                <w:b/>
                <w:color w:val="000000"/>
                <w:kern w:val="0"/>
                <w:sz w:val="22"/>
                <w:szCs w:val="22"/>
                <w:lang w:bidi="ar"/>
              </w:rPr>
              <w:t>昆明荣源石化有限公司牛街加油站</w:t>
            </w:r>
          </w:p>
        </w:tc>
        <w:tc>
          <w:tcPr>
            <w:tcW w:w="1633" w:type="dxa"/>
            <w:noWrap w:val="0"/>
            <w:tcMar>
              <w:top w:w="15" w:type="dxa"/>
              <w:left w:w="15" w:type="dxa"/>
              <w:right w:w="15" w:type="dxa"/>
            </w:tcMar>
            <w:vAlign w:val="center"/>
          </w:tcPr>
          <w:p w14:paraId="674AFED4">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昆明市官渡区贵昆路49号</w:t>
            </w:r>
          </w:p>
        </w:tc>
        <w:tc>
          <w:tcPr>
            <w:tcW w:w="2717" w:type="dxa"/>
            <w:noWrap w:val="0"/>
            <w:tcMar>
              <w:top w:w="15" w:type="dxa"/>
              <w:left w:w="15" w:type="dxa"/>
              <w:right w:w="15" w:type="dxa"/>
            </w:tcMar>
            <w:vAlign w:val="center"/>
          </w:tcPr>
          <w:p w14:paraId="35D45C45">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云昆官安经字【2020】00009发证：2020-3-27</w:t>
            </w:r>
          </w:p>
        </w:tc>
        <w:tc>
          <w:tcPr>
            <w:tcW w:w="840" w:type="dxa"/>
            <w:noWrap w:val="0"/>
            <w:tcMar>
              <w:top w:w="15" w:type="dxa"/>
              <w:left w:w="15" w:type="dxa"/>
              <w:right w:w="15" w:type="dxa"/>
            </w:tcMar>
            <w:vAlign w:val="center"/>
          </w:tcPr>
          <w:p w14:paraId="3C45C1A3">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二级</w:t>
            </w:r>
          </w:p>
        </w:tc>
        <w:tc>
          <w:tcPr>
            <w:tcW w:w="2160" w:type="dxa"/>
            <w:noWrap w:val="0"/>
            <w:tcMar>
              <w:top w:w="15" w:type="dxa"/>
              <w:left w:w="15" w:type="dxa"/>
              <w:right w:w="15" w:type="dxa"/>
            </w:tcMar>
            <w:vAlign w:val="center"/>
          </w:tcPr>
          <w:p w14:paraId="12394DD3">
            <w:pPr>
              <w:widowControl/>
              <w:spacing w:line="560" w:lineRule="exact"/>
              <w:jc w:val="center"/>
              <w:textAlignment w:val="center"/>
              <w:rPr>
                <w:rFonts w:ascii="Times New Roman" w:hAnsi="Times New Roman" w:eastAsia="仿宋_GB2312"/>
                <w:color w:val="000000"/>
                <w:sz w:val="20"/>
                <w:szCs w:val="20"/>
              </w:rPr>
            </w:pPr>
            <w:r>
              <w:rPr>
                <w:rStyle w:val="13"/>
                <w:rFonts w:ascii="Times New Roman" w:hAnsi="Times New Roman" w:cs="Times New Roman"/>
                <w:lang w:bidi="ar"/>
              </w:rPr>
              <w:t>3个/90m</w:t>
            </w:r>
            <w:r>
              <w:rPr>
                <w:rFonts w:ascii="Times New Roman" w:hAnsi="Times New Roman"/>
                <w:color w:val="000000"/>
                <w:kern w:val="0"/>
                <w:sz w:val="20"/>
                <w:szCs w:val="20"/>
                <w:lang w:bidi="ar"/>
              </w:rPr>
              <w:t>³</w:t>
            </w:r>
          </w:p>
        </w:tc>
        <w:tc>
          <w:tcPr>
            <w:tcW w:w="1856" w:type="dxa"/>
            <w:noWrap w:val="0"/>
            <w:tcMar>
              <w:top w:w="15" w:type="dxa"/>
              <w:left w:w="15" w:type="dxa"/>
              <w:right w:w="15" w:type="dxa"/>
            </w:tcMar>
            <w:vAlign w:val="center"/>
          </w:tcPr>
          <w:p w14:paraId="3F35C7BB">
            <w:pPr>
              <w:widowControl/>
              <w:spacing w:line="560" w:lineRule="exact"/>
              <w:jc w:val="center"/>
              <w:textAlignment w:val="center"/>
              <w:rPr>
                <w:rFonts w:ascii="Times New Roman" w:hAnsi="Times New Roman" w:eastAsia="仿宋_GB2312"/>
                <w:color w:val="000000"/>
                <w:sz w:val="20"/>
                <w:szCs w:val="20"/>
              </w:rPr>
            </w:pPr>
            <w:r>
              <w:rPr>
                <w:rStyle w:val="13"/>
                <w:rFonts w:ascii="Times New Roman" w:hAnsi="Times New Roman" w:cs="Times New Roman"/>
                <w:lang w:bidi="ar"/>
              </w:rPr>
              <w:t>1个/25m</w:t>
            </w:r>
            <w:r>
              <w:rPr>
                <w:rFonts w:ascii="Times New Roman" w:hAnsi="Times New Roman"/>
                <w:color w:val="000000"/>
                <w:kern w:val="0"/>
                <w:sz w:val="20"/>
                <w:szCs w:val="20"/>
                <w:lang w:bidi="ar"/>
              </w:rPr>
              <w:t>³</w:t>
            </w:r>
          </w:p>
        </w:tc>
        <w:tc>
          <w:tcPr>
            <w:tcW w:w="1130" w:type="dxa"/>
            <w:noWrap w:val="0"/>
            <w:tcMar>
              <w:top w:w="15" w:type="dxa"/>
              <w:left w:w="15" w:type="dxa"/>
              <w:right w:w="15" w:type="dxa"/>
            </w:tcMar>
            <w:vAlign w:val="center"/>
          </w:tcPr>
          <w:p w14:paraId="3F9D49EB">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林明海</w:t>
            </w:r>
          </w:p>
        </w:tc>
        <w:tc>
          <w:tcPr>
            <w:tcW w:w="1740" w:type="dxa"/>
            <w:noWrap w:val="0"/>
            <w:tcMar>
              <w:top w:w="15" w:type="dxa"/>
              <w:left w:w="15" w:type="dxa"/>
              <w:right w:w="15" w:type="dxa"/>
            </w:tcMar>
            <w:vAlign w:val="center"/>
          </w:tcPr>
          <w:p w14:paraId="6887B12B">
            <w:pPr>
              <w:widowControl/>
              <w:spacing w:line="560" w:lineRule="exact"/>
              <w:jc w:val="center"/>
              <w:textAlignment w:val="center"/>
              <w:rPr>
                <w:rFonts w:ascii="Times New Roman" w:hAnsi="Times New Roman" w:eastAsia="仿宋_GB2312"/>
                <w:color w:val="000000"/>
                <w:kern w:val="0"/>
                <w:sz w:val="20"/>
                <w:szCs w:val="20"/>
                <w:lang w:bidi="ar"/>
              </w:rPr>
            </w:pPr>
            <w:r>
              <w:rPr>
                <w:rFonts w:ascii="Times New Roman" w:hAnsi="Times New Roman" w:eastAsia="仿宋_GB2312"/>
                <w:color w:val="000000"/>
                <w:kern w:val="0"/>
                <w:sz w:val="20"/>
                <w:szCs w:val="20"/>
                <w:lang w:bidi="ar"/>
              </w:rPr>
              <w:t>林明海13619608888 QQ:103777231</w:t>
            </w:r>
          </w:p>
        </w:tc>
      </w:tr>
      <w:tr w14:paraId="24D047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0" w:hRule="atLeast"/>
        </w:trPr>
        <w:tc>
          <w:tcPr>
            <w:tcW w:w="379" w:type="dxa"/>
            <w:noWrap/>
            <w:tcMar>
              <w:top w:w="15" w:type="dxa"/>
              <w:left w:w="15" w:type="dxa"/>
              <w:right w:w="15" w:type="dxa"/>
            </w:tcMar>
            <w:vAlign w:val="center"/>
          </w:tcPr>
          <w:p w14:paraId="1C554541">
            <w:pPr>
              <w:widowControl/>
              <w:spacing w:line="560" w:lineRule="exact"/>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lang w:bidi="ar"/>
              </w:rPr>
              <w:t>42</w:t>
            </w:r>
          </w:p>
        </w:tc>
        <w:tc>
          <w:tcPr>
            <w:tcW w:w="2430" w:type="dxa"/>
            <w:noWrap/>
            <w:tcMar>
              <w:top w:w="15" w:type="dxa"/>
              <w:left w:w="15" w:type="dxa"/>
              <w:right w:w="15" w:type="dxa"/>
            </w:tcMar>
            <w:vAlign w:val="center"/>
          </w:tcPr>
          <w:p w14:paraId="7A09E066">
            <w:pPr>
              <w:widowControl/>
              <w:spacing w:line="560" w:lineRule="exact"/>
              <w:jc w:val="center"/>
              <w:textAlignment w:val="center"/>
              <w:rPr>
                <w:rFonts w:ascii="Times New Roman" w:hAnsi="Times New Roman" w:eastAsia="仿宋_GB2312"/>
                <w:b/>
                <w:color w:val="000000"/>
                <w:sz w:val="22"/>
                <w:szCs w:val="22"/>
              </w:rPr>
            </w:pPr>
            <w:r>
              <w:rPr>
                <w:rFonts w:ascii="Times New Roman" w:hAnsi="Times New Roman" w:eastAsia="仿宋_GB2312"/>
                <w:b/>
                <w:color w:val="000000"/>
                <w:kern w:val="0"/>
                <w:sz w:val="22"/>
                <w:szCs w:val="22"/>
                <w:lang w:bidi="ar"/>
              </w:rPr>
              <w:t>昆明市东桥石化有限责任公司</w:t>
            </w:r>
          </w:p>
        </w:tc>
        <w:tc>
          <w:tcPr>
            <w:tcW w:w="1633" w:type="dxa"/>
            <w:noWrap w:val="0"/>
            <w:tcMar>
              <w:top w:w="15" w:type="dxa"/>
              <w:left w:w="15" w:type="dxa"/>
              <w:right w:w="15" w:type="dxa"/>
            </w:tcMar>
            <w:vAlign w:val="center"/>
          </w:tcPr>
          <w:p w14:paraId="23524B14">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云南省昆明市官渡区昆洛公路七公里处</w:t>
            </w:r>
          </w:p>
        </w:tc>
        <w:tc>
          <w:tcPr>
            <w:tcW w:w="2717" w:type="dxa"/>
            <w:noWrap w:val="0"/>
            <w:tcMar>
              <w:top w:w="15" w:type="dxa"/>
              <w:left w:w="15" w:type="dxa"/>
              <w:right w:w="15" w:type="dxa"/>
            </w:tcMar>
            <w:vAlign w:val="center"/>
          </w:tcPr>
          <w:p w14:paraId="32EE32B2">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云昆官安经字[2019]0013发证：2019-3-6</w:t>
            </w:r>
          </w:p>
        </w:tc>
        <w:tc>
          <w:tcPr>
            <w:tcW w:w="840" w:type="dxa"/>
            <w:noWrap w:val="0"/>
            <w:tcMar>
              <w:top w:w="15" w:type="dxa"/>
              <w:left w:w="15" w:type="dxa"/>
              <w:right w:w="15" w:type="dxa"/>
            </w:tcMar>
            <w:vAlign w:val="center"/>
          </w:tcPr>
          <w:p w14:paraId="7B8895AE">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三级</w:t>
            </w:r>
          </w:p>
        </w:tc>
        <w:tc>
          <w:tcPr>
            <w:tcW w:w="2160" w:type="dxa"/>
            <w:noWrap w:val="0"/>
            <w:tcMar>
              <w:top w:w="15" w:type="dxa"/>
              <w:left w:w="15" w:type="dxa"/>
              <w:right w:w="15" w:type="dxa"/>
            </w:tcMar>
            <w:vAlign w:val="center"/>
          </w:tcPr>
          <w:p w14:paraId="485D1A90">
            <w:pPr>
              <w:widowControl/>
              <w:spacing w:line="560" w:lineRule="exact"/>
              <w:jc w:val="center"/>
              <w:textAlignment w:val="center"/>
              <w:rPr>
                <w:rFonts w:ascii="Times New Roman" w:hAnsi="Times New Roman" w:eastAsia="仿宋_GB2312"/>
                <w:color w:val="000000"/>
                <w:sz w:val="20"/>
                <w:szCs w:val="20"/>
              </w:rPr>
            </w:pPr>
            <w:r>
              <w:rPr>
                <w:rStyle w:val="13"/>
                <w:rFonts w:ascii="Times New Roman" w:hAnsi="Times New Roman" w:cs="Times New Roman"/>
                <w:lang w:bidi="ar"/>
              </w:rPr>
              <w:t>两个/100m</w:t>
            </w:r>
            <w:r>
              <w:rPr>
                <w:rFonts w:ascii="Times New Roman" w:hAnsi="Times New Roman"/>
                <w:color w:val="000000"/>
                <w:kern w:val="0"/>
                <w:sz w:val="20"/>
                <w:szCs w:val="20"/>
                <w:lang w:bidi="ar"/>
              </w:rPr>
              <w:t>³</w:t>
            </w:r>
          </w:p>
        </w:tc>
        <w:tc>
          <w:tcPr>
            <w:tcW w:w="1856" w:type="dxa"/>
            <w:noWrap w:val="0"/>
            <w:tcMar>
              <w:top w:w="15" w:type="dxa"/>
              <w:left w:w="15" w:type="dxa"/>
              <w:right w:w="15" w:type="dxa"/>
            </w:tcMar>
            <w:vAlign w:val="center"/>
          </w:tcPr>
          <w:p w14:paraId="44529092">
            <w:pPr>
              <w:widowControl/>
              <w:spacing w:line="560" w:lineRule="exact"/>
              <w:jc w:val="center"/>
              <w:textAlignment w:val="center"/>
              <w:rPr>
                <w:rFonts w:ascii="Times New Roman" w:hAnsi="Times New Roman" w:eastAsia="仿宋_GB2312"/>
                <w:color w:val="000000"/>
                <w:sz w:val="20"/>
                <w:szCs w:val="20"/>
              </w:rPr>
            </w:pPr>
            <w:r>
              <w:rPr>
                <w:rStyle w:val="13"/>
                <w:rFonts w:ascii="Times New Roman" w:hAnsi="Times New Roman" w:cs="Times New Roman"/>
                <w:lang w:bidi="ar"/>
              </w:rPr>
              <w:t>一个/50m</w:t>
            </w:r>
            <w:r>
              <w:rPr>
                <w:rFonts w:ascii="Times New Roman" w:hAnsi="Times New Roman"/>
                <w:color w:val="000000"/>
                <w:kern w:val="0"/>
                <w:sz w:val="20"/>
                <w:szCs w:val="20"/>
                <w:lang w:bidi="ar"/>
              </w:rPr>
              <w:t>³</w:t>
            </w:r>
          </w:p>
        </w:tc>
        <w:tc>
          <w:tcPr>
            <w:tcW w:w="1130" w:type="dxa"/>
            <w:noWrap w:val="0"/>
            <w:tcMar>
              <w:top w:w="15" w:type="dxa"/>
              <w:left w:w="15" w:type="dxa"/>
              <w:right w:w="15" w:type="dxa"/>
            </w:tcMar>
            <w:vAlign w:val="center"/>
          </w:tcPr>
          <w:p w14:paraId="4A90A47D">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陈贵明</w:t>
            </w:r>
          </w:p>
        </w:tc>
        <w:tc>
          <w:tcPr>
            <w:tcW w:w="1740" w:type="dxa"/>
            <w:noWrap w:val="0"/>
            <w:tcMar>
              <w:top w:w="15" w:type="dxa"/>
              <w:left w:w="15" w:type="dxa"/>
              <w:right w:w="15" w:type="dxa"/>
            </w:tcMar>
            <w:vAlign w:val="center"/>
          </w:tcPr>
          <w:p w14:paraId="2FB75B6B">
            <w:pPr>
              <w:widowControl/>
              <w:spacing w:line="560" w:lineRule="exact"/>
              <w:jc w:val="center"/>
              <w:textAlignment w:val="center"/>
              <w:rPr>
                <w:rFonts w:ascii="Times New Roman" w:hAnsi="Times New Roman" w:eastAsia="仿宋_GB2312"/>
                <w:color w:val="000000"/>
                <w:kern w:val="0"/>
                <w:sz w:val="20"/>
                <w:szCs w:val="20"/>
                <w:lang w:bidi="ar"/>
              </w:rPr>
            </w:pPr>
            <w:r>
              <w:rPr>
                <w:rFonts w:ascii="Times New Roman" w:hAnsi="Times New Roman" w:eastAsia="仿宋_GB2312"/>
                <w:color w:val="000000"/>
                <w:kern w:val="0"/>
                <w:sz w:val="20"/>
                <w:szCs w:val="20"/>
                <w:lang w:bidi="ar"/>
              </w:rPr>
              <w:t>站长：王绍银13308808719 QQ:30386457</w:t>
            </w:r>
          </w:p>
        </w:tc>
      </w:tr>
      <w:tr w14:paraId="1EE851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2" w:hRule="atLeast"/>
        </w:trPr>
        <w:tc>
          <w:tcPr>
            <w:tcW w:w="379" w:type="dxa"/>
            <w:noWrap/>
            <w:tcMar>
              <w:top w:w="15" w:type="dxa"/>
              <w:left w:w="15" w:type="dxa"/>
              <w:right w:w="15" w:type="dxa"/>
            </w:tcMar>
            <w:vAlign w:val="center"/>
          </w:tcPr>
          <w:p w14:paraId="447F0379">
            <w:pPr>
              <w:widowControl/>
              <w:spacing w:line="560" w:lineRule="exact"/>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lang w:bidi="ar"/>
              </w:rPr>
              <w:t>43</w:t>
            </w:r>
          </w:p>
        </w:tc>
        <w:tc>
          <w:tcPr>
            <w:tcW w:w="2430" w:type="dxa"/>
            <w:noWrap w:val="0"/>
            <w:tcMar>
              <w:top w:w="15" w:type="dxa"/>
              <w:left w:w="15" w:type="dxa"/>
              <w:right w:w="15" w:type="dxa"/>
            </w:tcMar>
            <w:vAlign w:val="center"/>
          </w:tcPr>
          <w:p w14:paraId="131FA382">
            <w:pPr>
              <w:widowControl/>
              <w:spacing w:line="560" w:lineRule="exact"/>
              <w:jc w:val="center"/>
              <w:textAlignment w:val="center"/>
              <w:rPr>
                <w:rFonts w:ascii="Times New Roman" w:hAnsi="Times New Roman" w:eastAsia="仿宋_GB2312"/>
                <w:b/>
                <w:color w:val="000000"/>
                <w:sz w:val="22"/>
                <w:szCs w:val="22"/>
              </w:rPr>
            </w:pPr>
            <w:r>
              <w:rPr>
                <w:rFonts w:ascii="Times New Roman" w:hAnsi="Times New Roman" w:eastAsia="仿宋_GB2312"/>
                <w:b/>
                <w:color w:val="000000"/>
                <w:kern w:val="0"/>
                <w:sz w:val="22"/>
                <w:szCs w:val="22"/>
                <w:lang w:bidi="ar"/>
              </w:rPr>
              <w:t>昆明中南石化加油站</w:t>
            </w:r>
          </w:p>
        </w:tc>
        <w:tc>
          <w:tcPr>
            <w:tcW w:w="1633" w:type="dxa"/>
            <w:noWrap w:val="0"/>
            <w:tcMar>
              <w:top w:w="15" w:type="dxa"/>
              <w:left w:w="15" w:type="dxa"/>
              <w:right w:w="15" w:type="dxa"/>
            </w:tcMar>
            <w:vAlign w:val="center"/>
          </w:tcPr>
          <w:p w14:paraId="52D2E755">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彩云北路1836号</w:t>
            </w:r>
          </w:p>
        </w:tc>
        <w:tc>
          <w:tcPr>
            <w:tcW w:w="2717" w:type="dxa"/>
            <w:noWrap w:val="0"/>
            <w:tcMar>
              <w:top w:w="15" w:type="dxa"/>
              <w:left w:w="15" w:type="dxa"/>
              <w:right w:w="15" w:type="dxa"/>
            </w:tcMar>
            <w:vAlign w:val="center"/>
          </w:tcPr>
          <w:p w14:paraId="39FEBB3B">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云昆官安经字【2019】0046    　发证：2019-6-13</w:t>
            </w:r>
          </w:p>
        </w:tc>
        <w:tc>
          <w:tcPr>
            <w:tcW w:w="840" w:type="dxa"/>
            <w:noWrap w:val="0"/>
            <w:tcMar>
              <w:top w:w="15" w:type="dxa"/>
              <w:left w:w="15" w:type="dxa"/>
              <w:right w:w="15" w:type="dxa"/>
            </w:tcMar>
            <w:vAlign w:val="center"/>
          </w:tcPr>
          <w:p w14:paraId="6225B59D">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三级</w:t>
            </w:r>
          </w:p>
        </w:tc>
        <w:tc>
          <w:tcPr>
            <w:tcW w:w="2160" w:type="dxa"/>
            <w:noWrap w:val="0"/>
            <w:tcMar>
              <w:top w:w="15" w:type="dxa"/>
              <w:left w:w="15" w:type="dxa"/>
              <w:right w:w="15" w:type="dxa"/>
            </w:tcMar>
            <w:vAlign w:val="center"/>
          </w:tcPr>
          <w:p w14:paraId="1770F5A7">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1个25</w:t>
            </w:r>
          </w:p>
        </w:tc>
        <w:tc>
          <w:tcPr>
            <w:tcW w:w="1856" w:type="dxa"/>
            <w:noWrap w:val="0"/>
            <w:tcMar>
              <w:top w:w="15" w:type="dxa"/>
              <w:left w:w="15" w:type="dxa"/>
              <w:right w:w="15" w:type="dxa"/>
            </w:tcMar>
            <w:vAlign w:val="center"/>
          </w:tcPr>
          <w:p w14:paraId="7906AEE5">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1个25</w:t>
            </w:r>
          </w:p>
        </w:tc>
        <w:tc>
          <w:tcPr>
            <w:tcW w:w="1130" w:type="dxa"/>
            <w:vMerge w:val="restart"/>
            <w:noWrap w:val="0"/>
            <w:tcMar>
              <w:top w:w="15" w:type="dxa"/>
              <w:left w:w="15" w:type="dxa"/>
              <w:right w:w="15" w:type="dxa"/>
            </w:tcMar>
            <w:vAlign w:val="center"/>
          </w:tcPr>
          <w:p w14:paraId="43749BBA">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刘金禄</w:t>
            </w:r>
          </w:p>
        </w:tc>
        <w:tc>
          <w:tcPr>
            <w:tcW w:w="1740" w:type="dxa"/>
            <w:vMerge w:val="restart"/>
            <w:noWrap w:val="0"/>
            <w:tcMar>
              <w:top w:w="15" w:type="dxa"/>
              <w:left w:w="15" w:type="dxa"/>
              <w:right w:w="15" w:type="dxa"/>
            </w:tcMar>
            <w:vAlign w:val="center"/>
          </w:tcPr>
          <w:p w14:paraId="58437730">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刘金禄13987663285 QQ:113604922</w:t>
            </w:r>
          </w:p>
        </w:tc>
      </w:tr>
      <w:tr w14:paraId="0D693F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2" w:hRule="atLeast"/>
        </w:trPr>
        <w:tc>
          <w:tcPr>
            <w:tcW w:w="379" w:type="dxa"/>
            <w:noWrap/>
            <w:tcMar>
              <w:top w:w="15" w:type="dxa"/>
              <w:left w:w="15" w:type="dxa"/>
              <w:right w:w="15" w:type="dxa"/>
            </w:tcMar>
            <w:vAlign w:val="center"/>
          </w:tcPr>
          <w:p w14:paraId="4343251B">
            <w:pPr>
              <w:widowControl/>
              <w:spacing w:line="560" w:lineRule="exact"/>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lang w:bidi="ar"/>
              </w:rPr>
              <w:t>44</w:t>
            </w:r>
          </w:p>
        </w:tc>
        <w:tc>
          <w:tcPr>
            <w:tcW w:w="2430" w:type="dxa"/>
            <w:noWrap w:val="0"/>
            <w:tcMar>
              <w:top w:w="15" w:type="dxa"/>
              <w:left w:w="15" w:type="dxa"/>
              <w:right w:w="15" w:type="dxa"/>
            </w:tcMar>
            <w:vAlign w:val="center"/>
          </w:tcPr>
          <w:p w14:paraId="7F7C6362">
            <w:pPr>
              <w:widowControl/>
              <w:spacing w:line="560" w:lineRule="exact"/>
              <w:jc w:val="center"/>
              <w:textAlignment w:val="center"/>
              <w:rPr>
                <w:rFonts w:ascii="Times New Roman" w:hAnsi="Times New Roman" w:eastAsia="仿宋_GB2312"/>
                <w:b/>
                <w:color w:val="000000"/>
                <w:sz w:val="22"/>
                <w:szCs w:val="22"/>
              </w:rPr>
            </w:pPr>
            <w:r>
              <w:rPr>
                <w:rFonts w:ascii="Times New Roman" w:hAnsi="Times New Roman" w:eastAsia="仿宋_GB2312"/>
                <w:b/>
                <w:color w:val="000000"/>
                <w:kern w:val="0"/>
                <w:sz w:val="22"/>
                <w:szCs w:val="22"/>
                <w:lang w:bidi="ar"/>
              </w:rPr>
              <w:t>昆明中南石化有限公司环业加油站</w:t>
            </w:r>
          </w:p>
        </w:tc>
        <w:tc>
          <w:tcPr>
            <w:tcW w:w="1633" w:type="dxa"/>
            <w:noWrap w:val="0"/>
            <w:tcMar>
              <w:top w:w="15" w:type="dxa"/>
              <w:left w:w="15" w:type="dxa"/>
              <w:right w:w="15" w:type="dxa"/>
            </w:tcMar>
            <w:vAlign w:val="center"/>
          </w:tcPr>
          <w:p w14:paraId="28DFA0B0">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昆明市官渡区小板桥街道办事处彩云北路1416号</w:t>
            </w:r>
          </w:p>
        </w:tc>
        <w:tc>
          <w:tcPr>
            <w:tcW w:w="2717" w:type="dxa"/>
            <w:noWrap w:val="0"/>
            <w:tcMar>
              <w:top w:w="15" w:type="dxa"/>
              <w:left w:w="15" w:type="dxa"/>
              <w:right w:w="15" w:type="dxa"/>
            </w:tcMar>
            <w:vAlign w:val="center"/>
          </w:tcPr>
          <w:p w14:paraId="2F00BEC6">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云昆官安经字[2019]0068     发证：2019-8-29</w:t>
            </w:r>
          </w:p>
        </w:tc>
        <w:tc>
          <w:tcPr>
            <w:tcW w:w="840" w:type="dxa"/>
            <w:noWrap w:val="0"/>
            <w:tcMar>
              <w:top w:w="15" w:type="dxa"/>
              <w:left w:w="15" w:type="dxa"/>
              <w:right w:w="15" w:type="dxa"/>
            </w:tcMar>
            <w:vAlign w:val="center"/>
          </w:tcPr>
          <w:p w14:paraId="507ED757">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三级</w:t>
            </w:r>
          </w:p>
        </w:tc>
        <w:tc>
          <w:tcPr>
            <w:tcW w:w="2160" w:type="dxa"/>
            <w:noWrap w:val="0"/>
            <w:tcMar>
              <w:top w:w="15" w:type="dxa"/>
              <w:left w:w="15" w:type="dxa"/>
              <w:right w:w="15" w:type="dxa"/>
            </w:tcMar>
            <w:vAlign w:val="center"/>
          </w:tcPr>
          <w:p w14:paraId="3ECDE80B">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20m³2个、25m³1个</w:t>
            </w:r>
          </w:p>
        </w:tc>
        <w:tc>
          <w:tcPr>
            <w:tcW w:w="1856" w:type="dxa"/>
            <w:noWrap w:val="0"/>
            <w:tcMar>
              <w:top w:w="15" w:type="dxa"/>
              <w:left w:w="15" w:type="dxa"/>
              <w:right w:w="15" w:type="dxa"/>
            </w:tcMar>
            <w:vAlign w:val="center"/>
          </w:tcPr>
          <w:p w14:paraId="507A2015">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25m³1个</w:t>
            </w:r>
          </w:p>
        </w:tc>
        <w:tc>
          <w:tcPr>
            <w:tcW w:w="1130" w:type="dxa"/>
            <w:vMerge w:val="continue"/>
            <w:noWrap w:val="0"/>
            <w:tcMar>
              <w:top w:w="15" w:type="dxa"/>
              <w:left w:w="15" w:type="dxa"/>
              <w:right w:w="15" w:type="dxa"/>
            </w:tcMar>
            <w:vAlign w:val="center"/>
          </w:tcPr>
          <w:p w14:paraId="5B8D995B">
            <w:pPr>
              <w:spacing w:line="560" w:lineRule="exact"/>
              <w:jc w:val="center"/>
              <w:rPr>
                <w:rFonts w:ascii="Times New Roman" w:hAnsi="Times New Roman" w:eastAsia="仿宋_GB2312"/>
                <w:color w:val="000000"/>
                <w:sz w:val="20"/>
                <w:szCs w:val="20"/>
              </w:rPr>
            </w:pPr>
          </w:p>
        </w:tc>
        <w:tc>
          <w:tcPr>
            <w:tcW w:w="1740" w:type="dxa"/>
            <w:vMerge w:val="continue"/>
            <w:noWrap w:val="0"/>
            <w:tcMar>
              <w:top w:w="15" w:type="dxa"/>
              <w:left w:w="15" w:type="dxa"/>
              <w:right w:w="15" w:type="dxa"/>
            </w:tcMar>
            <w:vAlign w:val="center"/>
          </w:tcPr>
          <w:p w14:paraId="0228D02D">
            <w:pPr>
              <w:spacing w:line="560" w:lineRule="exact"/>
              <w:jc w:val="center"/>
              <w:rPr>
                <w:rFonts w:ascii="Times New Roman" w:hAnsi="Times New Roman" w:eastAsia="仿宋_GB2312"/>
                <w:color w:val="000000"/>
                <w:sz w:val="20"/>
                <w:szCs w:val="20"/>
              </w:rPr>
            </w:pPr>
          </w:p>
        </w:tc>
      </w:tr>
      <w:tr w14:paraId="61768E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2" w:hRule="atLeast"/>
        </w:trPr>
        <w:tc>
          <w:tcPr>
            <w:tcW w:w="379" w:type="dxa"/>
            <w:noWrap/>
            <w:tcMar>
              <w:top w:w="15" w:type="dxa"/>
              <w:left w:w="15" w:type="dxa"/>
              <w:right w:w="15" w:type="dxa"/>
            </w:tcMar>
            <w:vAlign w:val="center"/>
          </w:tcPr>
          <w:p w14:paraId="63F73698">
            <w:pPr>
              <w:widowControl/>
              <w:spacing w:line="560" w:lineRule="exact"/>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lang w:bidi="ar"/>
              </w:rPr>
              <w:t>45</w:t>
            </w:r>
          </w:p>
        </w:tc>
        <w:tc>
          <w:tcPr>
            <w:tcW w:w="2430" w:type="dxa"/>
            <w:noWrap w:val="0"/>
            <w:tcMar>
              <w:top w:w="15" w:type="dxa"/>
              <w:left w:w="15" w:type="dxa"/>
              <w:right w:w="15" w:type="dxa"/>
            </w:tcMar>
            <w:vAlign w:val="center"/>
          </w:tcPr>
          <w:p w14:paraId="03594867">
            <w:pPr>
              <w:widowControl/>
              <w:spacing w:line="560" w:lineRule="exact"/>
              <w:jc w:val="center"/>
              <w:textAlignment w:val="center"/>
              <w:rPr>
                <w:rFonts w:ascii="Times New Roman" w:hAnsi="Times New Roman" w:eastAsia="仿宋_GB2312"/>
                <w:b/>
                <w:color w:val="000000"/>
                <w:sz w:val="22"/>
                <w:szCs w:val="22"/>
              </w:rPr>
            </w:pPr>
            <w:r>
              <w:rPr>
                <w:rFonts w:ascii="Times New Roman" w:hAnsi="Times New Roman" w:eastAsia="仿宋_GB2312"/>
                <w:b/>
                <w:color w:val="000000"/>
                <w:kern w:val="0"/>
                <w:sz w:val="22"/>
                <w:szCs w:val="22"/>
                <w:lang w:bidi="ar"/>
              </w:rPr>
              <w:t>昆明庭洪石油销售有限责任公司</w:t>
            </w:r>
          </w:p>
        </w:tc>
        <w:tc>
          <w:tcPr>
            <w:tcW w:w="1633" w:type="dxa"/>
            <w:noWrap w:val="0"/>
            <w:tcMar>
              <w:top w:w="15" w:type="dxa"/>
              <w:left w:w="15" w:type="dxa"/>
              <w:right w:w="15" w:type="dxa"/>
            </w:tcMar>
            <w:vAlign w:val="center"/>
          </w:tcPr>
          <w:p w14:paraId="26E48D1D">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昆明市官渡区东郊凉亭方旺村</w:t>
            </w:r>
          </w:p>
        </w:tc>
        <w:tc>
          <w:tcPr>
            <w:tcW w:w="2717" w:type="dxa"/>
            <w:noWrap w:val="0"/>
            <w:tcMar>
              <w:top w:w="15" w:type="dxa"/>
              <w:left w:w="15" w:type="dxa"/>
              <w:right w:w="15" w:type="dxa"/>
            </w:tcMar>
            <w:vAlign w:val="center"/>
          </w:tcPr>
          <w:p w14:paraId="48016899">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云昆官安经字【2018】0056  　发证：2018-9-17</w:t>
            </w:r>
          </w:p>
        </w:tc>
        <w:tc>
          <w:tcPr>
            <w:tcW w:w="840" w:type="dxa"/>
            <w:noWrap w:val="0"/>
            <w:tcMar>
              <w:top w:w="15" w:type="dxa"/>
              <w:left w:w="15" w:type="dxa"/>
              <w:right w:w="15" w:type="dxa"/>
            </w:tcMar>
            <w:vAlign w:val="center"/>
          </w:tcPr>
          <w:p w14:paraId="42446CA4">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三级</w:t>
            </w:r>
          </w:p>
        </w:tc>
        <w:tc>
          <w:tcPr>
            <w:tcW w:w="2160" w:type="dxa"/>
            <w:noWrap w:val="0"/>
            <w:tcMar>
              <w:top w:w="15" w:type="dxa"/>
              <w:left w:w="15" w:type="dxa"/>
              <w:right w:w="15" w:type="dxa"/>
            </w:tcMar>
            <w:vAlign w:val="center"/>
          </w:tcPr>
          <w:p w14:paraId="0BFC9831">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2个，60立方</w:t>
            </w:r>
          </w:p>
        </w:tc>
        <w:tc>
          <w:tcPr>
            <w:tcW w:w="1856" w:type="dxa"/>
            <w:noWrap w:val="0"/>
            <w:tcMar>
              <w:top w:w="15" w:type="dxa"/>
              <w:left w:w="15" w:type="dxa"/>
              <w:right w:w="15" w:type="dxa"/>
            </w:tcMar>
            <w:vAlign w:val="center"/>
          </w:tcPr>
          <w:p w14:paraId="76AA0199">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1个，25立方</w:t>
            </w:r>
          </w:p>
        </w:tc>
        <w:tc>
          <w:tcPr>
            <w:tcW w:w="1130" w:type="dxa"/>
            <w:noWrap w:val="0"/>
            <w:tcMar>
              <w:top w:w="15" w:type="dxa"/>
              <w:left w:w="15" w:type="dxa"/>
              <w:right w:w="15" w:type="dxa"/>
            </w:tcMar>
            <w:vAlign w:val="center"/>
          </w:tcPr>
          <w:p w14:paraId="2E322767">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刘清庭</w:t>
            </w:r>
          </w:p>
        </w:tc>
        <w:tc>
          <w:tcPr>
            <w:tcW w:w="1740" w:type="dxa"/>
            <w:noWrap w:val="0"/>
            <w:tcMar>
              <w:top w:w="15" w:type="dxa"/>
              <w:left w:w="15" w:type="dxa"/>
              <w:right w:w="15" w:type="dxa"/>
            </w:tcMar>
            <w:vAlign w:val="center"/>
          </w:tcPr>
          <w:p w14:paraId="269C95DB">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13116233999</w:t>
            </w:r>
          </w:p>
        </w:tc>
      </w:tr>
      <w:tr w14:paraId="3DC319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2" w:hRule="atLeast"/>
        </w:trPr>
        <w:tc>
          <w:tcPr>
            <w:tcW w:w="379" w:type="dxa"/>
            <w:noWrap/>
            <w:tcMar>
              <w:top w:w="15" w:type="dxa"/>
              <w:left w:w="15" w:type="dxa"/>
              <w:right w:w="15" w:type="dxa"/>
            </w:tcMar>
            <w:vAlign w:val="center"/>
          </w:tcPr>
          <w:p w14:paraId="100C37B7">
            <w:pPr>
              <w:widowControl/>
              <w:spacing w:line="560" w:lineRule="exact"/>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lang w:bidi="ar"/>
              </w:rPr>
              <w:t>46</w:t>
            </w:r>
          </w:p>
        </w:tc>
        <w:tc>
          <w:tcPr>
            <w:tcW w:w="2430" w:type="dxa"/>
            <w:noWrap w:val="0"/>
            <w:tcMar>
              <w:top w:w="15" w:type="dxa"/>
              <w:left w:w="15" w:type="dxa"/>
              <w:right w:w="15" w:type="dxa"/>
            </w:tcMar>
            <w:vAlign w:val="center"/>
          </w:tcPr>
          <w:p w14:paraId="4D33192C">
            <w:pPr>
              <w:widowControl/>
              <w:spacing w:line="560" w:lineRule="exact"/>
              <w:jc w:val="center"/>
              <w:textAlignment w:val="center"/>
              <w:rPr>
                <w:rFonts w:ascii="Times New Roman" w:hAnsi="Times New Roman" w:eastAsia="仿宋_GB2312"/>
                <w:b/>
                <w:color w:val="000000"/>
                <w:sz w:val="22"/>
                <w:szCs w:val="22"/>
              </w:rPr>
            </w:pPr>
            <w:r>
              <w:rPr>
                <w:rFonts w:ascii="Times New Roman" w:hAnsi="Times New Roman" w:eastAsia="仿宋_GB2312"/>
                <w:b/>
                <w:color w:val="000000"/>
                <w:kern w:val="0"/>
                <w:sz w:val="22"/>
                <w:szCs w:val="22"/>
                <w:lang w:bidi="ar"/>
              </w:rPr>
              <w:t>中海油云南销售有限公司昆明羊兴加油站</w:t>
            </w:r>
          </w:p>
        </w:tc>
        <w:tc>
          <w:tcPr>
            <w:tcW w:w="1633" w:type="dxa"/>
            <w:noWrap w:val="0"/>
            <w:tcMar>
              <w:top w:w="15" w:type="dxa"/>
              <w:left w:w="15" w:type="dxa"/>
              <w:right w:w="15" w:type="dxa"/>
            </w:tcMar>
            <w:vAlign w:val="center"/>
          </w:tcPr>
          <w:p w14:paraId="02096CE7">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昆明市官渡区小板桥昆洛路五公里处</w:t>
            </w:r>
          </w:p>
        </w:tc>
        <w:tc>
          <w:tcPr>
            <w:tcW w:w="2717" w:type="dxa"/>
            <w:noWrap w:val="0"/>
            <w:tcMar>
              <w:top w:w="15" w:type="dxa"/>
              <w:left w:w="15" w:type="dxa"/>
              <w:right w:w="15" w:type="dxa"/>
            </w:tcMar>
            <w:vAlign w:val="center"/>
          </w:tcPr>
          <w:p w14:paraId="7ED7F34E">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云昆官安经字[2019]0038                 发证：2019-5-24</w:t>
            </w:r>
          </w:p>
        </w:tc>
        <w:tc>
          <w:tcPr>
            <w:tcW w:w="840" w:type="dxa"/>
            <w:noWrap w:val="0"/>
            <w:tcMar>
              <w:top w:w="15" w:type="dxa"/>
              <w:left w:w="15" w:type="dxa"/>
              <w:right w:w="15" w:type="dxa"/>
            </w:tcMar>
            <w:vAlign w:val="center"/>
          </w:tcPr>
          <w:p w14:paraId="243A08C2">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二级</w:t>
            </w:r>
          </w:p>
        </w:tc>
        <w:tc>
          <w:tcPr>
            <w:tcW w:w="2160" w:type="dxa"/>
            <w:noWrap w:val="0"/>
            <w:tcMar>
              <w:top w:w="15" w:type="dxa"/>
              <w:left w:w="15" w:type="dxa"/>
              <w:right w:w="15" w:type="dxa"/>
            </w:tcMar>
            <w:vAlign w:val="center"/>
          </w:tcPr>
          <w:p w14:paraId="72C49DE1">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2个 100m3</w:t>
            </w:r>
          </w:p>
        </w:tc>
        <w:tc>
          <w:tcPr>
            <w:tcW w:w="1856" w:type="dxa"/>
            <w:noWrap w:val="0"/>
            <w:tcMar>
              <w:top w:w="15" w:type="dxa"/>
              <w:left w:w="15" w:type="dxa"/>
              <w:right w:w="15" w:type="dxa"/>
            </w:tcMar>
            <w:vAlign w:val="center"/>
          </w:tcPr>
          <w:p w14:paraId="16F08A08">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2个 100m3</w:t>
            </w:r>
          </w:p>
        </w:tc>
        <w:tc>
          <w:tcPr>
            <w:tcW w:w="1130" w:type="dxa"/>
            <w:vMerge w:val="restart"/>
            <w:noWrap w:val="0"/>
            <w:tcMar>
              <w:top w:w="15" w:type="dxa"/>
              <w:left w:w="15" w:type="dxa"/>
              <w:right w:w="15" w:type="dxa"/>
            </w:tcMar>
            <w:vAlign w:val="center"/>
          </w:tcPr>
          <w:p w14:paraId="0BA72196">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周群18826280100</w:t>
            </w:r>
          </w:p>
        </w:tc>
        <w:tc>
          <w:tcPr>
            <w:tcW w:w="1740" w:type="dxa"/>
            <w:noWrap w:val="0"/>
            <w:tcMar>
              <w:top w:w="15" w:type="dxa"/>
              <w:left w:w="15" w:type="dxa"/>
              <w:right w:w="15" w:type="dxa"/>
            </w:tcMar>
            <w:vAlign w:val="center"/>
          </w:tcPr>
          <w:p w14:paraId="0D6F7F36">
            <w:pPr>
              <w:widowControl/>
              <w:spacing w:line="560" w:lineRule="exact"/>
              <w:jc w:val="center"/>
              <w:textAlignment w:val="center"/>
              <w:rPr>
                <w:rFonts w:ascii="Times New Roman" w:hAnsi="Times New Roman" w:eastAsia="仿宋_GB2312"/>
                <w:color w:val="000000"/>
                <w:kern w:val="0"/>
                <w:sz w:val="20"/>
                <w:szCs w:val="20"/>
                <w:lang w:bidi="ar"/>
              </w:rPr>
            </w:pPr>
            <w:r>
              <w:rPr>
                <w:rFonts w:ascii="Times New Roman" w:hAnsi="Times New Roman" w:eastAsia="仿宋_GB2312"/>
                <w:color w:val="000000"/>
                <w:kern w:val="0"/>
                <w:sz w:val="20"/>
                <w:szCs w:val="20"/>
                <w:lang w:bidi="ar"/>
              </w:rPr>
              <w:t>13294978025杨</w:t>
            </w:r>
          </w:p>
        </w:tc>
      </w:tr>
      <w:tr w14:paraId="13A0D3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379" w:type="dxa"/>
            <w:noWrap/>
            <w:tcMar>
              <w:top w:w="15" w:type="dxa"/>
              <w:left w:w="15" w:type="dxa"/>
              <w:right w:w="15" w:type="dxa"/>
            </w:tcMar>
            <w:vAlign w:val="center"/>
          </w:tcPr>
          <w:p w14:paraId="606B3A04">
            <w:pPr>
              <w:widowControl/>
              <w:spacing w:line="560" w:lineRule="exact"/>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lang w:bidi="ar"/>
              </w:rPr>
              <w:t>47</w:t>
            </w:r>
          </w:p>
        </w:tc>
        <w:tc>
          <w:tcPr>
            <w:tcW w:w="2430" w:type="dxa"/>
            <w:noWrap w:val="0"/>
            <w:tcMar>
              <w:top w:w="15" w:type="dxa"/>
              <w:left w:w="15" w:type="dxa"/>
              <w:right w:w="15" w:type="dxa"/>
            </w:tcMar>
            <w:vAlign w:val="center"/>
          </w:tcPr>
          <w:p w14:paraId="5BDB4FEC">
            <w:pPr>
              <w:widowControl/>
              <w:spacing w:line="560" w:lineRule="exact"/>
              <w:jc w:val="center"/>
              <w:textAlignment w:val="center"/>
              <w:rPr>
                <w:rFonts w:ascii="Times New Roman" w:hAnsi="Times New Roman" w:eastAsia="仿宋_GB2312"/>
                <w:b/>
                <w:color w:val="000000"/>
                <w:sz w:val="22"/>
                <w:szCs w:val="22"/>
              </w:rPr>
            </w:pPr>
            <w:r>
              <w:rPr>
                <w:rFonts w:ascii="Times New Roman" w:hAnsi="Times New Roman" w:eastAsia="仿宋_GB2312"/>
                <w:b/>
                <w:color w:val="000000"/>
                <w:kern w:val="0"/>
                <w:sz w:val="22"/>
                <w:szCs w:val="22"/>
                <w:lang w:bidi="ar"/>
              </w:rPr>
              <w:t>中海油云南销售有限公司昆明关上加油站</w:t>
            </w:r>
          </w:p>
        </w:tc>
        <w:tc>
          <w:tcPr>
            <w:tcW w:w="1633" w:type="dxa"/>
            <w:noWrap w:val="0"/>
            <w:tcMar>
              <w:top w:w="15" w:type="dxa"/>
              <w:left w:w="15" w:type="dxa"/>
              <w:right w:w="15" w:type="dxa"/>
            </w:tcMar>
            <w:vAlign w:val="center"/>
          </w:tcPr>
          <w:p w14:paraId="700FAF92">
            <w:pPr>
              <w:widowControl/>
              <w:spacing w:line="560" w:lineRule="exact"/>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lang w:bidi="ar"/>
              </w:rPr>
              <w:t>云南省昆明市官渡区关上雨龙路825号</w:t>
            </w:r>
          </w:p>
        </w:tc>
        <w:tc>
          <w:tcPr>
            <w:tcW w:w="2717" w:type="dxa"/>
            <w:noWrap w:val="0"/>
            <w:tcMar>
              <w:top w:w="15" w:type="dxa"/>
              <w:left w:w="15" w:type="dxa"/>
              <w:right w:w="15" w:type="dxa"/>
            </w:tcMar>
            <w:vAlign w:val="center"/>
          </w:tcPr>
          <w:p w14:paraId="23470771">
            <w:pPr>
              <w:widowControl/>
              <w:spacing w:line="560" w:lineRule="exact"/>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lang w:bidi="ar"/>
              </w:rPr>
              <w:t>云昆官安经字[2019]0045 发证：2019.6.13</w:t>
            </w:r>
          </w:p>
        </w:tc>
        <w:tc>
          <w:tcPr>
            <w:tcW w:w="840" w:type="dxa"/>
            <w:noWrap w:val="0"/>
            <w:tcMar>
              <w:top w:w="15" w:type="dxa"/>
              <w:left w:w="15" w:type="dxa"/>
              <w:right w:w="15" w:type="dxa"/>
            </w:tcMar>
            <w:vAlign w:val="center"/>
          </w:tcPr>
          <w:p w14:paraId="0E5A4D7A">
            <w:pPr>
              <w:widowControl/>
              <w:spacing w:line="560" w:lineRule="exact"/>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lang w:bidi="ar"/>
              </w:rPr>
              <w:t>二级</w:t>
            </w:r>
          </w:p>
        </w:tc>
        <w:tc>
          <w:tcPr>
            <w:tcW w:w="2160" w:type="dxa"/>
            <w:noWrap w:val="0"/>
            <w:tcMar>
              <w:top w:w="15" w:type="dxa"/>
              <w:left w:w="15" w:type="dxa"/>
              <w:right w:w="15" w:type="dxa"/>
            </w:tcMar>
            <w:vAlign w:val="center"/>
          </w:tcPr>
          <w:p w14:paraId="7CA5C64D">
            <w:pPr>
              <w:widowControl/>
              <w:spacing w:line="560" w:lineRule="exact"/>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lang w:bidi="ar"/>
              </w:rPr>
              <w:t>2个共80立方</w:t>
            </w:r>
          </w:p>
        </w:tc>
        <w:tc>
          <w:tcPr>
            <w:tcW w:w="1856" w:type="dxa"/>
            <w:noWrap w:val="0"/>
            <w:tcMar>
              <w:top w:w="15" w:type="dxa"/>
              <w:left w:w="15" w:type="dxa"/>
              <w:right w:w="15" w:type="dxa"/>
            </w:tcMar>
            <w:vAlign w:val="center"/>
          </w:tcPr>
          <w:p w14:paraId="51251667">
            <w:pPr>
              <w:widowControl/>
              <w:spacing w:line="560" w:lineRule="exact"/>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lang w:bidi="ar"/>
              </w:rPr>
              <w:t>1个共30立方</w:t>
            </w:r>
          </w:p>
        </w:tc>
        <w:tc>
          <w:tcPr>
            <w:tcW w:w="1130" w:type="dxa"/>
            <w:vMerge w:val="continue"/>
            <w:noWrap w:val="0"/>
            <w:tcMar>
              <w:top w:w="15" w:type="dxa"/>
              <w:left w:w="15" w:type="dxa"/>
              <w:right w:w="15" w:type="dxa"/>
            </w:tcMar>
            <w:vAlign w:val="center"/>
          </w:tcPr>
          <w:p w14:paraId="468DAFF3">
            <w:pPr>
              <w:spacing w:line="560" w:lineRule="exact"/>
              <w:jc w:val="center"/>
              <w:rPr>
                <w:rFonts w:ascii="Times New Roman" w:hAnsi="Times New Roman" w:eastAsia="仿宋_GB2312"/>
                <w:color w:val="000000"/>
                <w:sz w:val="20"/>
                <w:szCs w:val="20"/>
              </w:rPr>
            </w:pPr>
          </w:p>
        </w:tc>
        <w:tc>
          <w:tcPr>
            <w:tcW w:w="1740" w:type="dxa"/>
            <w:noWrap w:val="0"/>
            <w:tcMar>
              <w:top w:w="15" w:type="dxa"/>
              <w:left w:w="15" w:type="dxa"/>
              <w:right w:w="15" w:type="dxa"/>
            </w:tcMar>
            <w:vAlign w:val="center"/>
          </w:tcPr>
          <w:p w14:paraId="4F2931CC">
            <w:pPr>
              <w:widowControl/>
              <w:spacing w:line="560" w:lineRule="exact"/>
              <w:jc w:val="center"/>
              <w:textAlignment w:val="center"/>
              <w:rPr>
                <w:rFonts w:ascii="Times New Roman" w:hAnsi="Times New Roman" w:eastAsia="仿宋_GB2312"/>
                <w:color w:val="000000"/>
                <w:kern w:val="0"/>
                <w:sz w:val="20"/>
                <w:szCs w:val="20"/>
                <w:lang w:bidi="ar"/>
              </w:rPr>
            </w:pPr>
            <w:r>
              <w:rPr>
                <w:rFonts w:ascii="Times New Roman" w:hAnsi="Times New Roman" w:eastAsia="仿宋_GB2312"/>
                <w:color w:val="000000"/>
                <w:kern w:val="0"/>
                <w:sz w:val="20"/>
                <w:szCs w:val="20"/>
                <w:lang w:bidi="ar"/>
              </w:rPr>
              <w:t>13888181752  白秀琴</w:t>
            </w:r>
          </w:p>
        </w:tc>
      </w:tr>
      <w:tr w14:paraId="4A3885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0" w:hRule="atLeast"/>
        </w:trPr>
        <w:tc>
          <w:tcPr>
            <w:tcW w:w="379" w:type="dxa"/>
            <w:noWrap/>
            <w:tcMar>
              <w:top w:w="15" w:type="dxa"/>
              <w:left w:w="15" w:type="dxa"/>
              <w:right w:w="15" w:type="dxa"/>
            </w:tcMar>
            <w:vAlign w:val="center"/>
          </w:tcPr>
          <w:p w14:paraId="2FFFB848">
            <w:pPr>
              <w:widowControl/>
              <w:spacing w:line="560" w:lineRule="exact"/>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lang w:bidi="ar"/>
              </w:rPr>
              <w:t>48</w:t>
            </w:r>
          </w:p>
        </w:tc>
        <w:tc>
          <w:tcPr>
            <w:tcW w:w="2430" w:type="dxa"/>
            <w:noWrap w:val="0"/>
            <w:tcMar>
              <w:top w:w="15" w:type="dxa"/>
              <w:left w:w="15" w:type="dxa"/>
              <w:right w:w="15" w:type="dxa"/>
            </w:tcMar>
            <w:vAlign w:val="center"/>
          </w:tcPr>
          <w:p w14:paraId="3EF754AB">
            <w:pPr>
              <w:widowControl/>
              <w:spacing w:line="560" w:lineRule="exact"/>
              <w:jc w:val="center"/>
              <w:textAlignment w:val="center"/>
              <w:rPr>
                <w:rFonts w:ascii="Times New Roman" w:hAnsi="Times New Roman" w:eastAsia="仿宋_GB2312"/>
                <w:b/>
                <w:color w:val="000000"/>
                <w:sz w:val="22"/>
                <w:szCs w:val="22"/>
              </w:rPr>
            </w:pPr>
            <w:r>
              <w:rPr>
                <w:rFonts w:ascii="Times New Roman" w:hAnsi="Times New Roman" w:eastAsia="仿宋_GB2312"/>
                <w:b/>
                <w:color w:val="000000"/>
                <w:kern w:val="0"/>
                <w:sz w:val="22"/>
                <w:szCs w:val="22"/>
                <w:lang w:bidi="ar"/>
              </w:rPr>
              <w:t>昆明廉明石化有限公司季龙加油加气站</w:t>
            </w:r>
          </w:p>
        </w:tc>
        <w:tc>
          <w:tcPr>
            <w:tcW w:w="1633" w:type="dxa"/>
            <w:noWrap w:val="0"/>
            <w:tcMar>
              <w:top w:w="15" w:type="dxa"/>
              <w:left w:w="15" w:type="dxa"/>
              <w:right w:w="15" w:type="dxa"/>
            </w:tcMar>
            <w:vAlign w:val="center"/>
          </w:tcPr>
          <w:p w14:paraId="07E03059">
            <w:pPr>
              <w:widowControl/>
              <w:spacing w:line="560" w:lineRule="exact"/>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lang w:bidi="ar"/>
              </w:rPr>
              <w:t>昆明市官渡区珥季路后所东南侧　</w:t>
            </w:r>
          </w:p>
        </w:tc>
        <w:tc>
          <w:tcPr>
            <w:tcW w:w="2717" w:type="dxa"/>
            <w:noWrap w:val="0"/>
            <w:tcMar>
              <w:top w:w="15" w:type="dxa"/>
              <w:left w:w="15" w:type="dxa"/>
              <w:right w:w="15" w:type="dxa"/>
            </w:tcMar>
            <w:vAlign w:val="center"/>
          </w:tcPr>
          <w:p w14:paraId="005D8D53">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云昆官安经字【2017】0093    发证:2017-12-12</w:t>
            </w:r>
          </w:p>
        </w:tc>
        <w:tc>
          <w:tcPr>
            <w:tcW w:w="840" w:type="dxa"/>
            <w:noWrap w:val="0"/>
            <w:tcMar>
              <w:top w:w="15" w:type="dxa"/>
              <w:left w:w="15" w:type="dxa"/>
              <w:right w:w="15" w:type="dxa"/>
            </w:tcMar>
            <w:vAlign w:val="center"/>
          </w:tcPr>
          <w:p w14:paraId="564C2DE3">
            <w:pPr>
              <w:spacing w:line="560" w:lineRule="exact"/>
              <w:jc w:val="center"/>
              <w:rPr>
                <w:rFonts w:ascii="Times New Roman" w:hAnsi="Times New Roman" w:eastAsia="仿宋_GB2312"/>
                <w:color w:val="000000"/>
                <w:sz w:val="24"/>
              </w:rPr>
            </w:pPr>
          </w:p>
        </w:tc>
        <w:tc>
          <w:tcPr>
            <w:tcW w:w="2160" w:type="dxa"/>
            <w:noWrap/>
            <w:tcMar>
              <w:top w:w="15" w:type="dxa"/>
              <w:left w:w="15" w:type="dxa"/>
              <w:right w:w="15" w:type="dxa"/>
            </w:tcMar>
            <w:vAlign w:val="center"/>
          </w:tcPr>
          <w:p w14:paraId="4FAB6316">
            <w:pPr>
              <w:widowControl/>
              <w:spacing w:line="560" w:lineRule="exact"/>
              <w:textAlignment w:val="center"/>
              <w:rPr>
                <w:rFonts w:ascii="Times New Roman" w:hAnsi="Times New Roman" w:eastAsia="楷体_GB2312"/>
                <w:color w:val="000000"/>
                <w:sz w:val="24"/>
              </w:rPr>
            </w:pPr>
            <w:r>
              <w:rPr>
                <w:rFonts w:ascii="Times New Roman" w:hAnsi="Times New Roman" w:eastAsia="楷体_GB2312"/>
                <w:color w:val="000000"/>
                <w:kern w:val="0"/>
                <w:sz w:val="24"/>
                <w:lang w:bidi="ar"/>
              </w:rPr>
              <w:t>2个30立方、1个15立方</w:t>
            </w:r>
          </w:p>
        </w:tc>
        <w:tc>
          <w:tcPr>
            <w:tcW w:w="1856" w:type="dxa"/>
            <w:noWrap w:val="0"/>
            <w:tcMar>
              <w:top w:w="15" w:type="dxa"/>
              <w:left w:w="15" w:type="dxa"/>
              <w:right w:w="15" w:type="dxa"/>
            </w:tcMar>
            <w:vAlign w:val="center"/>
          </w:tcPr>
          <w:p w14:paraId="50487714">
            <w:pPr>
              <w:widowControl/>
              <w:spacing w:line="560" w:lineRule="exact"/>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lang w:bidi="ar"/>
              </w:rPr>
              <w:t>1个30立方</w:t>
            </w:r>
          </w:p>
        </w:tc>
        <w:tc>
          <w:tcPr>
            <w:tcW w:w="1130" w:type="dxa"/>
            <w:noWrap/>
            <w:tcMar>
              <w:top w:w="15" w:type="dxa"/>
              <w:left w:w="15" w:type="dxa"/>
              <w:right w:w="15" w:type="dxa"/>
            </w:tcMar>
            <w:vAlign w:val="center"/>
          </w:tcPr>
          <w:p w14:paraId="21233B7B">
            <w:pPr>
              <w:widowControl/>
              <w:spacing w:line="560" w:lineRule="exact"/>
              <w:textAlignment w:val="center"/>
              <w:rPr>
                <w:rFonts w:ascii="Times New Roman" w:hAnsi="Times New Roman" w:eastAsia="楷体_GB2312"/>
                <w:color w:val="000000"/>
                <w:sz w:val="22"/>
                <w:szCs w:val="22"/>
              </w:rPr>
            </w:pPr>
            <w:r>
              <w:rPr>
                <w:rFonts w:ascii="Times New Roman" w:hAnsi="Times New Roman" w:eastAsia="楷体_GB2312"/>
                <w:color w:val="000000"/>
                <w:kern w:val="0"/>
                <w:sz w:val="22"/>
                <w:szCs w:val="22"/>
                <w:lang w:bidi="ar"/>
              </w:rPr>
              <w:t>时中华</w:t>
            </w:r>
          </w:p>
        </w:tc>
        <w:tc>
          <w:tcPr>
            <w:tcW w:w="1740" w:type="dxa"/>
            <w:noWrap w:val="0"/>
            <w:tcMar>
              <w:top w:w="15" w:type="dxa"/>
              <w:left w:w="15" w:type="dxa"/>
              <w:right w:w="15" w:type="dxa"/>
            </w:tcMar>
            <w:vAlign w:val="center"/>
          </w:tcPr>
          <w:p w14:paraId="3FDBD8C5">
            <w:pPr>
              <w:widowControl/>
              <w:spacing w:line="560" w:lineRule="exact"/>
              <w:jc w:val="center"/>
              <w:textAlignment w:val="center"/>
              <w:rPr>
                <w:rFonts w:ascii="Times New Roman" w:hAnsi="Times New Roman" w:eastAsia="仿宋_GB2312"/>
                <w:color w:val="000000"/>
                <w:kern w:val="0"/>
                <w:sz w:val="20"/>
                <w:szCs w:val="20"/>
                <w:lang w:bidi="ar"/>
              </w:rPr>
            </w:pPr>
            <w:r>
              <w:rPr>
                <w:rFonts w:ascii="Times New Roman" w:hAnsi="Times New Roman" w:eastAsia="仿宋_GB2312"/>
                <w:color w:val="000000"/>
                <w:kern w:val="0"/>
                <w:sz w:val="20"/>
                <w:szCs w:val="20"/>
                <w:lang w:bidi="ar"/>
              </w:rPr>
              <w:t>时中华15368085089   赵15198864151 QQ:3064722419</w:t>
            </w:r>
          </w:p>
        </w:tc>
      </w:tr>
      <w:tr w14:paraId="538D26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5" w:hRule="atLeast"/>
        </w:trPr>
        <w:tc>
          <w:tcPr>
            <w:tcW w:w="379" w:type="dxa"/>
            <w:noWrap/>
            <w:tcMar>
              <w:top w:w="15" w:type="dxa"/>
              <w:left w:w="15" w:type="dxa"/>
              <w:right w:w="15" w:type="dxa"/>
            </w:tcMar>
            <w:vAlign w:val="center"/>
          </w:tcPr>
          <w:p w14:paraId="2D38D901">
            <w:pPr>
              <w:widowControl/>
              <w:spacing w:line="560" w:lineRule="exact"/>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lang w:bidi="ar"/>
              </w:rPr>
              <w:t>49</w:t>
            </w:r>
          </w:p>
        </w:tc>
        <w:tc>
          <w:tcPr>
            <w:tcW w:w="2430" w:type="dxa"/>
            <w:noWrap w:val="0"/>
            <w:tcMar>
              <w:top w:w="15" w:type="dxa"/>
              <w:left w:w="15" w:type="dxa"/>
              <w:right w:w="15" w:type="dxa"/>
            </w:tcMar>
            <w:vAlign w:val="center"/>
          </w:tcPr>
          <w:p w14:paraId="5C53D619">
            <w:pPr>
              <w:widowControl/>
              <w:spacing w:line="560" w:lineRule="exact"/>
              <w:jc w:val="center"/>
              <w:textAlignment w:val="center"/>
              <w:rPr>
                <w:rFonts w:ascii="Times New Roman" w:hAnsi="Times New Roman" w:eastAsia="仿宋_GB2312"/>
                <w:b/>
                <w:color w:val="000000"/>
                <w:sz w:val="22"/>
                <w:szCs w:val="22"/>
              </w:rPr>
            </w:pPr>
            <w:r>
              <w:rPr>
                <w:rFonts w:ascii="Times New Roman" w:hAnsi="Times New Roman" w:eastAsia="仿宋_GB2312"/>
                <w:b/>
                <w:color w:val="000000"/>
                <w:kern w:val="0"/>
                <w:sz w:val="22"/>
                <w:szCs w:val="22"/>
                <w:lang w:bidi="ar"/>
              </w:rPr>
              <w:t>云南中臣石油有限公司东菊加油站</w:t>
            </w:r>
          </w:p>
        </w:tc>
        <w:tc>
          <w:tcPr>
            <w:tcW w:w="1633" w:type="dxa"/>
            <w:noWrap w:val="0"/>
            <w:tcMar>
              <w:top w:w="15" w:type="dxa"/>
              <w:left w:w="15" w:type="dxa"/>
              <w:right w:w="15" w:type="dxa"/>
            </w:tcMar>
            <w:vAlign w:val="center"/>
          </w:tcPr>
          <w:p w14:paraId="39BA3904">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云南省昆明市官渡区菊苑路1号</w:t>
            </w:r>
          </w:p>
        </w:tc>
        <w:tc>
          <w:tcPr>
            <w:tcW w:w="2717" w:type="dxa"/>
            <w:noWrap w:val="0"/>
            <w:tcMar>
              <w:top w:w="15" w:type="dxa"/>
              <w:left w:w="15" w:type="dxa"/>
              <w:right w:w="15" w:type="dxa"/>
            </w:tcMar>
            <w:vAlign w:val="center"/>
          </w:tcPr>
          <w:p w14:paraId="66A36E77">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云昆官安经字【2019】0024　　　发证：2019-3-20</w:t>
            </w:r>
          </w:p>
        </w:tc>
        <w:tc>
          <w:tcPr>
            <w:tcW w:w="840" w:type="dxa"/>
            <w:noWrap w:val="0"/>
            <w:tcMar>
              <w:top w:w="15" w:type="dxa"/>
              <w:left w:w="15" w:type="dxa"/>
              <w:right w:w="15" w:type="dxa"/>
            </w:tcMar>
            <w:vAlign w:val="center"/>
          </w:tcPr>
          <w:p w14:paraId="7BA442C3">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三级</w:t>
            </w:r>
          </w:p>
        </w:tc>
        <w:tc>
          <w:tcPr>
            <w:tcW w:w="2160" w:type="dxa"/>
            <w:noWrap w:val="0"/>
            <w:tcMar>
              <w:top w:w="15" w:type="dxa"/>
              <w:left w:w="15" w:type="dxa"/>
              <w:right w:w="15" w:type="dxa"/>
            </w:tcMar>
            <w:vAlign w:val="center"/>
          </w:tcPr>
          <w:p w14:paraId="596FF186">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2个30立方、1个20立方</w:t>
            </w:r>
          </w:p>
        </w:tc>
        <w:tc>
          <w:tcPr>
            <w:tcW w:w="1856" w:type="dxa"/>
            <w:noWrap w:val="0"/>
            <w:tcMar>
              <w:top w:w="15" w:type="dxa"/>
              <w:left w:w="15" w:type="dxa"/>
              <w:right w:w="15" w:type="dxa"/>
            </w:tcMar>
            <w:vAlign w:val="center"/>
          </w:tcPr>
          <w:p w14:paraId="3709B9EA">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1个20立方</w:t>
            </w:r>
          </w:p>
        </w:tc>
        <w:tc>
          <w:tcPr>
            <w:tcW w:w="1130" w:type="dxa"/>
            <w:noWrap w:val="0"/>
            <w:tcMar>
              <w:top w:w="15" w:type="dxa"/>
              <w:left w:w="15" w:type="dxa"/>
              <w:right w:w="15" w:type="dxa"/>
            </w:tcMar>
            <w:vAlign w:val="center"/>
          </w:tcPr>
          <w:p w14:paraId="6F78FB07">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蔡冠兴</w:t>
            </w:r>
          </w:p>
        </w:tc>
        <w:tc>
          <w:tcPr>
            <w:tcW w:w="1740" w:type="dxa"/>
            <w:noWrap w:val="0"/>
            <w:tcMar>
              <w:top w:w="15" w:type="dxa"/>
              <w:left w:w="15" w:type="dxa"/>
              <w:right w:w="15" w:type="dxa"/>
            </w:tcMar>
            <w:vAlign w:val="center"/>
          </w:tcPr>
          <w:p w14:paraId="2C42E86D">
            <w:pPr>
              <w:widowControl/>
              <w:spacing w:line="560" w:lineRule="exact"/>
              <w:jc w:val="center"/>
              <w:textAlignment w:val="center"/>
              <w:rPr>
                <w:rFonts w:ascii="Times New Roman" w:hAnsi="Times New Roman" w:eastAsia="仿宋_GB2312"/>
                <w:color w:val="000000"/>
                <w:kern w:val="0"/>
                <w:sz w:val="20"/>
                <w:szCs w:val="20"/>
                <w:lang w:bidi="ar"/>
              </w:rPr>
            </w:pPr>
            <w:r>
              <w:rPr>
                <w:rFonts w:ascii="Times New Roman" w:hAnsi="Times New Roman" w:eastAsia="仿宋_GB2312"/>
                <w:color w:val="000000"/>
                <w:kern w:val="0"/>
                <w:sz w:val="20"/>
                <w:szCs w:val="20"/>
                <w:lang w:bidi="ar"/>
              </w:rPr>
              <w:t>蔡福贵15974255555 QQ:872971735</w:t>
            </w:r>
          </w:p>
        </w:tc>
      </w:tr>
    </w:tbl>
    <w:p w14:paraId="6638F43A">
      <w:pPr>
        <w:shd w:val="clear" w:color="auto" w:fill="FFFFFF"/>
        <w:spacing w:line="560" w:lineRule="exact"/>
        <w:rPr>
          <w:rFonts w:ascii="Times New Roman" w:hAnsi="Times New Roman" w:eastAsia="仿宋_GB2312"/>
          <w:sz w:val="32"/>
          <w:szCs w:val="32"/>
          <w:shd w:val="clear" w:color="auto" w:fill="FFFFFF"/>
        </w:rPr>
      </w:pPr>
    </w:p>
    <w:p w14:paraId="21740B79">
      <w:pPr>
        <w:shd w:val="clear" w:color="auto" w:fill="FFFFFF"/>
        <w:spacing w:line="560" w:lineRule="exact"/>
        <w:rPr>
          <w:rFonts w:ascii="Times New Roman" w:hAnsi="Times New Roman" w:eastAsia="仿宋_GB2312"/>
          <w:sz w:val="32"/>
          <w:szCs w:val="32"/>
          <w:shd w:val="clear" w:color="auto" w:fill="FFFFFF"/>
        </w:rPr>
      </w:pPr>
    </w:p>
    <w:p w14:paraId="35610C82">
      <w:pPr>
        <w:shd w:val="clear" w:color="auto" w:fill="FFFFFF"/>
        <w:spacing w:line="560" w:lineRule="exact"/>
        <w:rPr>
          <w:rFonts w:ascii="Times New Roman" w:hAnsi="Times New Roman" w:eastAsia="仿宋_GB2312"/>
          <w:sz w:val="32"/>
          <w:szCs w:val="32"/>
          <w:shd w:val="clear" w:color="auto" w:fill="FFFFFF"/>
        </w:rPr>
      </w:pPr>
    </w:p>
    <w:p w14:paraId="5099155B">
      <w:pPr>
        <w:shd w:val="clear" w:color="auto" w:fill="FFFFFF"/>
        <w:spacing w:line="560" w:lineRule="exact"/>
        <w:rPr>
          <w:rFonts w:ascii="Times New Roman" w:hAnsi="Times New Roman" w:eastAsia="仿宋_GB2312"/>
          <w:sz w:val="32"/>
          <w:szCs w:val="32"/>
          <w:shd w:val="clear" w:color="auto" w:fill="FFFFFF"/>
        </w:rPr>
      </w:pPr>
    </w:p>
    <w:p w14:paraId="22AE0CA8">
      <w:pPr>
        <w:shd w:val="clear" w:color="auto" w:fill="FFFFFF"/>
        <w:spacing w:line="560" w:lineRule="exact"/>
        <w:rPr>
          <w:rFonts w:ascii="Times New Roman" w:hAnsi="Times New Roman" w:eastAsia="仿宋_GB2312"/>
          <w:sz w:val="32"/>
          <w:szCs w:val="32"/>
          <w:shd w:val="clear" w:color="auto" w:fill="FFFFFF"/>
        </w:rPr>
      </w:pPr>
    </w:p>
    <w:p w14:paraId="263AB514">
      <w:pPr>
        <w:shd w:val="clear" w:color="auto" w:fill="FFFFFF"/>
        <w:spacing w:line="560" w:lineRule="exact"/>
        <w:rPr>
          <w:rFonts w:ascii="Times New Roman" w:hAnsi="Times New Roman" w:eastAsia="仿宋_GB2312"/>
          <w:sz w:val="32"/>
          <w:szCs w:val="32"/>
          <w:shd w:val="clear" w:color="auto" w:fill="FFFFFF"/>
        </w:rPr>
      </w:pPr>
    </w:p>
    <w:p w14:paraId="1044F4A9">
      <w:pPr>
        <w:shd w:val="clear" w:color="auto" w:fill="FFFFFF"/>
        <w:spacing w:line="560" w:lineRule="exact"/>
        <w:rPr>
          <w:rFonts w:ascii="Times New Roman" w:hAnsi="Times New Roman" w:eastAsia="仿宋_GB2312"/>
          <w:sz w:val="32"/>
          <w:szCs w:val="32"/>
          <w:shd w:val="clear" w:color="auto" w:fill="FFFFFF"/>
        </w:rPr>
      </w:pPr>
    </w:p>
    <w:p w14:paraId="7FF49043">
      <w:pPr>
        <w:shd w:val="clear" w:color="auto" w:fill="FFFFFF"/>
        <w:spacing w:line="560" w:lineRule="exact"/>
        <w:rPr>
          <w:rFonts w:ascii="Times New Roman" w:hAnsi="Times New Roman" w:eastAsia="仿宋_GB2312"/>
          <w:sz w:val="32"/>
          <w:szCs w:val="32"/>
          <w:shd w:val="clear" w:color="auto" w:fill="FFFFFF"/>
        </w:rPr>
      </w:pPr>
    </w:p>
    <w:p w14:paraId="41CC6235">
      <w:pPr>
        <w:shd w:val="clear" w:color="auto" w:fill="FFFFFF"/>
        <w:spacing w:line="560" w:lineRule="exact"/>
        <w:rPr>
          <w:rFonts w:ascii="Times New Roman" w:hAnsi="Times New Roman" w:eastAsia="仿宋_GB2312"/>
          <w:sz w:val="32"/>
          <w:szCs w:val="32"/>
          <w:shd w:val="clear" w:color="auto" w:fill="FFFFFF"/>
        </w:rPr>
      </w:pPr>
    </w:p>
    <w:p w14:paraId="0979F094">
      <w:pPr>
        <w:shd w:val="clear" w:color="auto" w:fill="FFFFFF"/>
        <w:spacing w:line="560" w:lineRule="exact"/>
        <w:rPr>
          <w:rFonts w:ascii="Times New Roman" w:hAnsi="Times New Roman" w:eastAsia="仿宋_GB2312"/>
          <w:sz w:val="32"/>
          <w:szCs w:val="32"/>
          <w:shd w:val="clear" w:color="auto" w:fill="FFFFFF"/>
        </w:rPr>
      </w:pPr>
    </w:p>
    <w:p w14:paraId="4D0358D4">
      <w:pPr>
        <w:shd w:val="clear" w:color="auto" w:fill="FFFFFF"/>
        <w:spacing w:line="560" w:lineRule="exact"/>
        <w:rPr>
          <w:rFonts w:ascii="Times New Roman" w:hAnsi="Times New Roman" w:eastAsia="仿宋_GB2312"/>
          <w:sz w:val="32"/>
          <w:szCs w:val="32"/>
          <w:shd w:val="clear" w:color="auto" w:fill="FFFFFF"/>
        </w:rPr>
      </w:pPr>
    </w:p>
    <w:p w14:paraId="7A6923FE">
      <w:pPr>
        <w:shd w:val="clear" w:color="auto" w:fill="FFFFFF"/>
        <w:spacing w:line="560" w:lineRule="exact"/>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附件3：</w:t>
      </w:r>
    </w:p>
    <w:p w14:paraId="628256F2">
      <w:pPr>
        <w:spacing w:line="560" w:lineRule="exact"/>
        <w:jc w:val="center"/>
        <w:rPr>
          <w:rFonts w:ascii="Times New Roman" w:hAnsi="Times New Roman"/>
          <w:b/>
          <w:bCs/>
          <w:sz w:val="28"/>
          <w:szCs w:val="28"/>
        </w:rPr>
      </w:pPr>
      <w:r>
        <w:rPr>
          <w:rFonts w:ascii="Times New Roman" w:hAnsi="Times New Roman"/>
          <w:b/>
          <w:bCs/>
          <w:sz w:val="44"/>
          <w:szCs w:val="44"/>
        </w:rPr>
        <w:t>官渡区涉氨制冷液氨使用企业名单</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3"/>
        <w:gridCol w:w="3240"/>
        <w:gridCol w:w="3705"/>
        <w:gridCol w:w="1710"/>
        <w:gridCol w:w="1995"/>
        <w:gridCol w:w="1365"/>
        <w:gridCol w:w="2248"/>
      </w:tblGrid>
      <w:tr w14:paraId="0B249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1243" w:type="dxa"/>
            <w:noWrap w:val="0"/>
            <w:vAlign w:val="center"/>
          </w:tcPr>
          <w:p w14:paraId="58F7C715">
            <w:pPr>
              <w:spacing w:line="560" w:lineRule="exact"/>
              <w:jc w:val="center"/>
              <w:rPr>
                <w:rFonts w:ascii="Times New Roman" w:hAnsi="Times New Roman"/>
                <w:b/>
                <w:bCs/>
              </w:rPr>
            </w:pPr>
            <w:r>
              <w:rPr>
                <w:rFonts w:ascii="Times New Roman" w:hAnsi="Times New Roman"/>
                <w:b/>
                <w:bCs/>
              </w:rPr>
              <w:t>序号</w:t>
            </w:r>
          </w:p>
        </w:tc>
        <w:tc>
          <w:tcPr>
            <w:tcW w:w="3240" w:type="dxa"/>
            <w:noWrap w:val="0"/>
            <w:vAlign w:val="center"/>
          </w:tcPr>
          <w:p w14:paraId="0E3C741B">
            <w:pPr>
              <w:spacing w:line="560" w:lineRule="exact"/>
              <w:jc w:val="center"/>
              <w:rPr>
                <w:rFonts w:ascii="Times New Roman" w:hAnsi="Times New Roman"/>
                <w:b/>
                <w:bCs/>
              </w:rPr>
            </w:pPr>
            <w:r>
              <w:rPr>
                <w:rFonts w:ascii="Times New Roman" w:hAnsi="Times New Roman"/>
                <w:b/>
                <w:bCs/>
              </w:rPr>
              <w:t>企业名称</w:t>
            </w:r>
          </w:p>
        </w:tc>
        <w:tc>
          <w:tcPr>
            <w:tcW w:w="3705" w:type="dxa"/>
            <w:noWrap w:val="0"/>
            <w:vAlign w:val="center"/>
          </w:tcPr>
          <w:p w14:paraId="78F3334C">
            <w:pPr>
              <w:spacing w:line="560" w:lineRule="exact"/>
              <w:jc w:val="center"/>
              <w:rPr>
                <w:rFonts w:ascii="Times New Roman" w:hAnsi="Times New Roman"/>
                <w:b/>
                <w:bCs/>
              </w:rPr>
            </w:pPr>
            <w:r>
              <w:rPr>
                <w:rFonts w:ascii="Times New Roman" w:hAnsi="Times New Roman"/>
                <w:b/>
                <w:bCs/>
              </w:rPr>
              <w:t>企业地址</w:t>
            </w:r>
          </w:p>
        </w:tc>
        <w:tc>
          <w:tcPr>
            <w:tcW w:w="1710" w:type="dxa"/>
            <w:noWrap w:val="0"/>
            <w:vAlign w:val="center"/>
          </w:tcPr>
          <w:p w14:paraId="1247FA5F">
            <w:pPr>
              <w:spacing w:line="560" w:lineRule="exact"/>
              <w:jc w:val="center"/>
              <w:rPr>
                <w:rFonts w:ascii="Times New Roman" w:hAnsi="Times New Roman"/>
                <w:b/>
                <w:bCs/>
              </w:rPr>
            </w:pPr>
            <w:r>
              <w:rPr>
                <w:rFonts w:ascii="Times New Roman" w:hAnsi="Times New Roman"/>
                <w:b/>
                <w:bCs/>
              </w:rPr>
              <w:t>企业主要负责人</w:t>
            </w:r>
          </w:p>
        </w:tc>
        <w:tc>
          <w:tcPr>
            <w:tcW w:w="1995" w:type="dxa"/>
            <w:noWrap w:val="0"/>
            <w:vAlign w:val="center"/>
          </w:tcPr>
          <w:p w14:paraId="17EF5165">
            <w:pPr>
              <w:spacing w:line="560" w:lineRule="exact"/>
              <w:jc w:val="center"/>
              <w:rPr>
                <w:rFonts w:ascii="Times New Roman" w:hAnsi="Times New Roman"/>
                <w:b/>
                <w:bCs/>
              </w:rPr>
            </w:pPr>
            <w:r>
              <w:rPr>
                <w:rFonts w:ascii="Times New Roman" w:hAnsi="Times New Roman"/>
                <w:b/>
                <w:bCs/>
              </w:rPr>
              <w:t>联系电话</w:t>
            </w:r>
          </w:p>
        </w:tc>
        <w:tc>
          <w:tcPr>
            <w:tcW w:w="1365" w:type="dxa"/>
            <w:noWrap w:val="0"/>
            <w:vAlign w:val="center"/>
          </w:tcPr>
          <w:p w14:paraId="4B818EA3">
            <w:pPr>
              <w:spacing w:line="560" w:lineRule="exact"/>
              <w:jc w:val="center"/>
              <w:rPr>
                <w:rFonts w:ascii="Times New Roman" w:hAnsi="Times New Roman"/>
                <w:b/>
                <w:bCs/>
              </w:rPr>
            </w:pPr>
            <w:r>
              <w:rPr>
                <w:rFonts w:ascii="Times New Roman" w:hAnsi="Times New Roman"/>
                <w:b/>
                <w:bCs/>
              </w:rPr>
              <w:t>是否通过</w:t>
            </w:r>
          </w:p>
          <w:p w14:paraId="005B601E">
            <w:pPr>
              <w:spacing w:line="560" w:lineRule="exact"/>
              <w:jc w:val="center"/>
              <w:rPr>
                <w:rFonts w:ascii="Times New Roman" w:hAnsi="Times New Roman"/>
                <w:b/>
                <w:bCs/>
              </w:rPr>
            </w:pPr>
            <w:r>
              <w:rPr>
                <w:rFonts w:ascii="Times New Roman" w:hAnsi="Times New Roman"/>
                <w:b/>
                <w:bCs/>
              </w:rPr>
              <w:t>验收</w:t>
            </w:r>
          </w:p>
        </w:tc>
        <w:tc>
          <w:tcPr>
            <w:tcW w:w="2248" w:type="dxa"/>
            <w:noWrap w:val="0"/>
            <w:vAlign w:val="center"/>
          </w:tcPr>
          <w:p w14:paraId="6FE24081">
            <w:pPr>
              <w:spacing w:line="560" w:lineRule="exact"/>
              <w:jc w:val="center"/>
              <w:rPr>
                <w:rFonts w:ascii="Times New Roman" w:hAnsi="Times New Roman"/>
                <w:b/>
                <w:bCs/>
              </w:rPr>
            </w:pPr>
            <w:r>
              <w:rPr>
                <w:rFonts w:ascii="Times New Roman" w:hAnsi="Times New Roman"/>
                <w:b/>
                <w:bCs/>
              </w:rPr>
              <w:t>备注</w:t>
            </w:r>
          </w:p>
        </w:tc>
      </w:tr>
      <w:tr w14:paraId="606F2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1243" w:type="dxa"/>
            <w:noWrap w:val="0"/>
            <w:vAlign w:val="center"/>
          </w:tcPr>
          <w:p w14:paraId="50CD9842">
            <w:pPr>
              <w:spacing w:line="560" w:lineRule="exact"/>
              <w:jc w:val="center"/>
              <w:rPr>
                <w:rFonts w:ascii="Times New Roman" w:hAnsi="Times New Roman"/>
                <w:b/>
                <w:bCs/>
                <w:sz w:val="18"/>
                <w:szCs w:val="18"/>
              </w:rPr>
            </w:pPr>
            <w:r>
              <w:rPr>
                <w:rFonts w:ascii="Times New Roman" w:hAnsi="Times New Roman"/>
                <w:b/>
                <w:bCs/>
                <w:sz w:val="18"/>
                <w:szCs w:val="18"/>
              </w:rPr>
              <w:t>1</w:t>
            </w:r>
          </w:p>
        </w:tc>
        <w:tc>
          <w:tcPr>
            <w:tcW w:w="3240" w:type="dxa"/>
            <w:noWrap w:val="0"/>
            <w:vAlign w:val="center"/>
          </w:tcPr>
          <w:p w14:paraId="39638AF7">
            <w:pPr>
              <w:spacing w:line="560" w:lineRule="exact"/>
              <w:jc w:val="center"/>
              <w:rPr>
                <w:rFonts w:ascii="Times New Roman" w:hAnsi="Times New Roman"/>
                <w:sz w:val="18"/>
                <w:szCs w:val="18"/>
              </w:rPr>
            </w:pPr>
            <w:r>
              <w:rPr>
                <w:rFonts w:ascii="Times New Roman" w:hAnsi="Times New Roman"/>
                <w:sz w:val="18"/>
                <w:szCs w:val="18"/>
              </w:rPr>
              <w:t>昆明市果品有限公司冷冻厂</w:t>
            </w:r>
          </w:p>
        </w:tc>
        <w:tc>
          <w:tcPr>
            <w:tcW w:w="3705" w:type="dxa"/>
            <w:noWrap w:val="0"/>
            <w:vAlign w:val="center"/>
          </w:tcPr>
          <w:p w14:paraId="61C40CA3">
            <w:pPr>
              <w:spacing w:line="560" w:lineRule="exact"/>
              <w:jc w:val="center"/>
              <w:rPr>
                <w:rFonts w:ascii="Times New Roman" w:hAnsi="Times New Roman"/>
                <w:sz w:val="18"/>
                <w:szCs w:val="18"/>
              </w:rPr>
            </w:pPr>
            <w:r>
              <w:rPr>
                <w:rFonts w:ascii="Times New Roman" w:hAnsi="Times New Roman"/>
                <w:sz w:val="18"/>
                <w:szCs w:val="18"/>
              </w:rPr>
              <w:t>凉亭归十路</w:t>
            </w:r>
          </w:p>
        </w:tc>
        <w:tc>
          <w:tcPr>
            <w:tcW w:w="1710" w:type="dxa"/>
            <w:noWrap w:val="0"/>
            <w:vAlign w:val="center"/>
          </w:tcPr>
          <w:p w14:paraId="18BA42B2">
            <w:pPr>
              <w:spacing w:line="560" w:lineRule="exact"/>
              <w:jc w:val="center"/>
              <w:rPr>
                <w:rFonts w:ascii="Times New Roman" w:hAnsi="Times New Roman"/>
                <w:sz w:val="18"/>
                <w:szCs w:val="18"/>
              </w:rPr>
            </w:pPr>
            <w:r>
              <w:rPr>
                <w:rFonts w:ascii="Times New Roman" w:hAnsi="Times New Roman"/>
                <w:sz w:val="18"/>
                <w:szCs w:val="18"/>
              </w:rPr>
              <w:t>张耀东</w:t>
            </w:r>
          </w:p>
        </w:tc>
        <w:tc>
          <w:tcPr>
            <w:tcW w:w="1995" w:type="dxa"/>
            <w:noWrap w:val="0"/>
            <w:vAlign w:val="center"/>
          </w:tcPr>
          <w:p w14:paraId="01CE1979">
            <w:pPr>
              <w:spacing w:line="560" w:lineRule="exact"/>
              <w:jc w:val="center"/>
              <w:rPr>
                <w:rFonts w:ascii="Times New Roman" w:hAnsi="Times New Roman"/>
                <w:sz w:val="18"/>
                <w:szCs w:val="18"/>
              </w:rPr>
            </w:pPr>
            <w:r>
              <w:rPr>
                <w:rFonts w:ascii="Times New Roman" w:hAnsi="Times New Roman"/>
                <w:sz w:val="18"/>
                <w:szCs w:val="18"/>
              </w:rPr>
              <w:t>13808756582</w:t>
            </w:r>
            <w:r>
              <w:rPr>
                <w:rFonts w:ascii="Times New Roman" w:hAnsi="Times New Roman"/>
                <w:sz w:val="18"/>
                <w:szCs w:val="18"/>
              </w:rPr>
              <w:br w:type="textWrapping"/>
            </w:r>
            <w:r>
              <w:rPr>
                <w:rFonts w:ascii="Times New Roman" w:hAnsi="Times New Roman"/>
                <w:sz w:val="18"/>
                <w:szCs w:val="18"/>
              </w:rPr>
              <w:t>13769187851</w:t>
            </w:r>
          </w:p>
        </w:tc>
        <w:tc>
          <w:tcPr>
            <w:tcW w:w="1365" w:type="dxa"/>
            <w:noWrap w:val="0"/>
            <w:vAlign w:val="center"/>
          </w:tcPr>
          <w:p w14:paraId="4C49E62C">
            <w:pPr>
              <w:spacing w:line="560" w:lineRule="exact"/>
              <w:jc w:val="center"/>
              <w:rPr>
                <w:rFonts w:ascii="Times New Roman" w:hAnsi="Times New Roman"/>
                <w:sz w:val="18"/>
                <w:szCs w:val="18"/>
              </w:rPr>
            </w:pPr>
            <w:r>
              <w:rPr>
                <w:rFonts w:ascii="Times New Roman" w:hAnsi="Times New Roman"/>
                <w:sz w:val="18"/>
                <w:szCs w:val="18"/>
              </w:rPr>
              <w:t>通过</w:t>
            </w:r>
          </w:p>
          <w:p w14:paraId="787E6BB5">
            <w:pPr>
              <w:spacing w:line="560" w:lineRule="exact"/>
              <w:jc w:val="center"/>
              <w:rPr>
                <w:rFonts w:ascii="Times New Roman" w:hAnsi="Times New Roman"/>
                <w:sz w:val="18"/>
                <w:szCs w:val="18"/>
              </w:rPr>
            </w:pPr>
          </w:p>
        </w:tc>
        <w:tc>
          <w:tcPr>
            <w:tcW w:w="2248" w:type="dxa"/>
            <w:noWrap w:val="0"/>
            <w:vAlign w:val="center"/>
          </w:tcPr>
          <w:p w14:paraId="312B3E98">
            <w:pPr>
              <w:spacing w:line="560" w:lineRule="exact"/>
              <w:jc w:val="center"/>
              <w:rPr>
                <w:rFonts w:ascii="Times New Roman" w:hAnsi="Times New Roman"/>
              </w:rPr>
            </w:pPr>
          </w:p>
        </w:tc>
      </w:tr>
      <w:tr w14:paraId="15A82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3" w:type="dxa"/>
            <w:noWrap w:val="0"/>
            <w:vAlign w:val="center"/>
          </w:tcPr>
          <w:p w14:paraId="46741CD5">
            <w:pPr>
              <w:spacing w:line="560" w:lineRule="exact"/>
              <w:jc w:val="center"/>
              <w:rPr>
                <w:rFonts w:ascii="Times New Roman" w:hAnsi="Times New Roman"/>
                <w:b/>
                <w:bCs/>
                <w:sz w:val="18"/>
                <w:szCs w:val="18"/>
              </w:rPr>
            </w:pPr>
            <w:r>
              <w:rPr>
                <w:rFonts w:ascii="Times New Roman" w:hAnsi="Times New Roman"/>
                <w:b/>
                <w:bCs/>
                <w:sz w:val="18"/>
                <w:szCs w:val="18"/>
              </w:rPr>
              <w:t>2</w:t>
            </w:r>
          </w:p>
        </w:tc>
        <w:tc>
          <w:tcPr>
            <w:tcW w:w="3240" w:type="dxa"/>
            <w:noWrap w:val="0"/>
            <w:vAlign w:val="center"/>
          </w:tcPr>
          <w:p w14:paraId="2BBC6F3D">
            <w:pPr>
              <w:spacing w:line="560" w:lineRule="exact"/>
              <w:jc w:val="center"/>
              <w:rPr>
                <w:rFonts w:ascii="Times New Roman" w:hAnsi="Times New Roman"/>
                <w:sz w:val="18"/>
                <w:szCs w:val="18"/>
              </w:rPr>
            </w:pPr>
            <w:r>
              <w:rPr>
                <w:rFonts w:ascii="Times New Roman" w:hAnsi="Times New Roman"/>
                <w:sz w:val="18"/>
                <w:szCs w:val="18"/>
              </w:rPr>
              <w:t>昆明经纶商贸有限公司</w:t>
            </w:r>
          </w:p>
        </w:tc>
        <w:tc>
          <w:tcPr>
            <w:tcW w:w="3705" w:type="dxa"/>
            <w:noWrap w:val="0"/>
            <w:vAlign w:val="center"/>
          </w:tcPr>
          <w:p w14:paraId="3ECEAE9E">
            <w:pPr>
              <w:spacing w:line="560" w:lineRule="exact"/>
              <w:jc w:val="center"/>
              <w:rPr>
                <w:rFonts w:ascii="Times New Roman" w:hAnsi="Times New Roman"/>
                <w:sz w:val="18"/>
                <w:szCs w:val="18"/>
              </w:rPr>
            </w:pPr>
            <w:r>
              <w:rPr>
                <w:rFonts w:ascii="Times New Roman" w:hAnsi="Times New Roman"/>
                <w:sz w:val="18"/>
                <w:szCs w:val="18"/>
              </w:rPr>
              <w:t>东郊王大桥副食禽蛋总公司冷冻厂</w:t>
            </w:r>
          </w:p>
        </w:tc>
        <w:tc>
          <w:tcPr>
            <w:tcW w:w="1710" w:type="dxa"/>
            <w:noWrap w:val="0"/>
            <w:vAlign w:val="center"/>
          </w:tcPr>
          <w:p w14:paraId="631D739C">
            <w:pPr>
              <w:spacing w:line="560" w:lineRule="exact"/>
              <w:jc w:val="center"/>
              <w:rPr>
                <w:rFonts w:ascii="Times New Roman" w:hAnsi="Times New Roman"/>
                <w:sz w:val="18"/>
                <w:szCs w:val="18"/>
              </w:rPr>
            </w:pPr>
            <w:r>
              <w:rPr>
                <w:rFonts w:ascii="Times New Roman" w:hAnsi="Times New Roman"/>
                <w:sz w:val="18"/>
                <w:szCs w:val="18"/>
              </w:rPr>
              <w:t>张梅芬</w:t>
            </w:r>
          </w:p>
          <w:p w14:paraId="41C4E7DC">
            <w:pPr>
              <w:spacing w:line="560" w:lineRule="exact"/>
              <w:jc w:val="center"/>
              <w:rPr>
                <w:rFonts w:ascii="Times New Roman" w:hAnsi="Times New Roman"/>
                <w:sz w:val="18"/>
                <w:szCs w:val="18"/>
              </w:rPr>
            </w:pPr>
            <w:r>
              <w:rPr>
                <w:rFonts w:ascii="Times New Roman" w:hAnsi="Times New Roman"/>
                <w:sz w:val="18"/>
                <w:szCs w:val="18"/>
              </w:rPr>
              <w:t>杨帅</w:t>
            </w:r>
          </w:p>
        </w:tc>
        <w:tc>
          <w:tcPr>
            <w:tcW w:w="1995" w:type="dxa"/>
            <w:noWrap w:val="0"/>
            <w:vAlign w:val="center"/>
          </w:tcPr>
          <w:p w14:paraId="4C97D1B0">
            <w:pPr>
              <w:spacing w:line="560" w:lineRule="exact"/>
              <w:jc w:val="center"/>
              <w:rPr>
                <w:rFonts w:ascii="Times New Roman" w:hAnsi="Times New Roman"/>
                <w:sz w:val="18"/>
                <w:szCs w:val="18"/>
              </w:rPr>
            </w:pPr>
            <w:r>
              <w:rPr>
                <w:rFonts w:ascii="Times New Roman" w:hAnsi="Times New Roman"/>
                <w:sz w:val="18"/>
                <w:szCs w:val="18"/>
              </w:rPr>
              <w:t>13987688874</w:t>
            </w:r>
            <w:r>
              <w:rPr>
                <w:rFonts w:ascii="Times New Roman" w:hAnsi="Times New Roman"/>
                <w:sz w:val="18"/>
                <w:szCs w:val="18"/>
              </w:rPr>
              <w:br w:type="textWrapping"/>
            </w:r>
            <w:r>
              <w:rPr>
                <w:rFonts w:ascii="Times New Roman" w:hAnsi="Times New Roman"/>
                <w:sz w:val="18"/>
                <w:szCs w:val="18"/>
              </w:rPr>
              <w:t>13008650260</w:t>
            </w:r>
          </w:p>
        </w:tc>
        <w:tc>
          <w:tcPr>
            <w:tcW w:w="1365" w:type="dxa"/>
            <w:noWrap w:val="0"/>
            <w:vAlign w:val="center"/>
          </w:tcPr>
          <w:p w14:paraId="7FC32075">
            <w:pPr>
              <w:spacing w:line="560" w:lineRule="exact"/>
              <w:jc w:val="center"/>
              <w:rPr>
                <w:rFonts w:ascii="Times New Roman" w:hAnsi="Times New Roman"/>
                <w:sz w:val="18"/>
                <w:szCs w:val="18"/>
              </w:rPr>
            </w:pPr>
            <w:r>
              <w:rPr>
                <w:rFonts w:ascii="Times New Roman" w:hAnsi="Times New Roman"/>
                <w:sz w:val="18"/>
                <w:szCs w:val="18"/>
              </w:rPr>
              <w:t>通过</w:t>
            </w:r>
          </w:p>
        </w:tc>
        <w:tc>
          <w:tcPr>
            <w:tcW w:w="2248" w:type="dxa"/>
            <w:noWrap w:val="0"/>
            <w:vAlign w:val="center"/>
          </w:tcPr>
          <w:p w14:paraId="312F90B7">
            <w:pPr>
              <w:spacing w:line="560" w:lineRule="exact"/>
              <w:jc w:val="center"/>
              <w:rPr>
                <w:rFonts w:ascii="Times New Roman" w:hAnsi="Times New Roman"/>
              </w:rPr>
            </w:pPr>
          </w:p>
        </w:tc>
      </w:tr>
      <w:tr w14:paraId="4BF50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1243" w:type="dxa"/>
            <w:noWrap w:val="0"/>
            <w:vAlign w:val="center"/>
          </w:tcPr>
          <w:p w14:paraId="5454FD36">
            <w:pPr>
              <w:spacing w:line="560" w:lineRule="exact"/>
              <w:jc w:val="center"/>
              <w:rPr>
                <w:rFonts w:ascii="Times New Roman" w:hAnsi="Times New Roman"/>
                <w:b/>
                <w:bCs/>
                <w:sz w:val="18"/>
                <w:szCs w:val="18"/>
              </w:rPr>
            </w:pPr>
            <w:r>
              <w:rPr>
                <w:rFonts w:ascii="Times New Roman" w:hAnsi="Times New Roman"/>
                <w:b/>
                <w:bCs/>
                <w:sz w:val="18"/>
                <w:szCs w:val="18"/>
              </w:rPr>
              <w:t>3</w:t>
            </w:r>
          </w:p>
        </w:tc>
        <w:tc>
          <w:tcPr>
            <w:tcW w:w="3240" w:type="dxa"/>
            <w:noWrap w:val="0"/>
            <w:vAlign w:val="center"/>
          </w:tcPr>
          <w:p w14:paraId="20C71152">
            <w:pPr>
              <w:spacing w:line="560" w:lineRule="exact"/>
              <w:jc w:val="center"/>
              <w:rPr>
                <w:rFonts w:ascii="Times New Roman" w:hAnsi="Times New Roman"/>
                <w:sz w:val="18"/>
                <w:szCs w:val="18"/>
              </w:rPr>
            </w:pPr>
            <w:r>
              <w:rPr>
                <w:rFonts w:ascii="Times New Roman" w:hAnsi="Times New Roman"/>
                <w:sz w:val="18"/>
                <w:szCs w:val="18"/>
              </w:rPr>
              <w:t>昆明市肉类联合加工有限公司</w:t>
            </w:r>
          </w:p>
        </w:tc>
        <w:tc>
          <w:tcPr>
            <w:tcW w:w="3705" w:type="dxa"/>
            <w:noWrap w:val="0"/>
            <w:vAlign w:val="center"/>
          </w:tcPr>
          <w:p w14:paraId="31BDAC47">
            <w:pPr>
              <w:spacing w:line="560" w:lineRule="exact"/>
              <w:jc w:val="center"/>
              <w:rPr>
                <w:rFonts w:ascii="Times New Roman" w:hAnsi="Times New Roman"/>
                <w:sz w:val="18"/>
                <w:szCs w:val="18"/>
              </w:rPr>
            </w:pPr>
            <w:r>
              <w:rPr>
                <w:rFonts w:ascii="Times New Roman" w:hAnsi="Times New Roman"/>
                <w:sz w:val="18"/>
                <w:szCs w:val="18"/>
              </w:rPr>
              <w:t>金马街道办事处凉亭村</w:t>
            </w:r>
          </w:p>
        </w:tc>
        <w:tc>
          <w:tcPr>
            <w:tcW w:w="1710" w:type="dxa"/>
            <w:noWrap w:val="0"/>
            <w:vAlign w:val="center"/>
          </w:tcPr>
          <w:p w14:paraId="65B2A11A">
            <w:pPr>
              <w:spacing w:line="560" w:lineRule="exact"/>
              <w:jc w:val="center"/>
              <w:rPr>
                <w:rFonts w:ascii="Times New Roman" w:hAnsi="Times New Roman"/>
                <w:sz w:val="18"/>
                <w:szCs w:val="18"/>
              </w:rPr>
            </w:pPr>
            <w:r>
              <w:rPr>
                <w:rFonts w:ascii="Times New Roman" w:hAnsi="Times New Roman"/>
                <w:sz w:val="18"/>
                <w:szCs w:val="18"/>
              </w:rPr>
              <w:t>廖海生</w:t>
            </w:r>
          </w:p>
          <w:p w14:paraId="6BAB79BC">
            <w:pPr>
              <w:spacing w:line="560" w:lineRule="exact"/>
              <w:jc w:val="center"/>
              <w:rPr>
                <w:rFonts w:ascii="Times New Roman" w:hAnsi="Times New Roman"/>
                <w:sz w:val="18"/>
                <w:szCs w:val="18"/>
              </w:rPr>
            </w:pPr>
          </w:p>
        </w:tc>
        <w:tc>
          <w:tcPr>
            <w:tcW w:w="1995" w:type="dxa"/>
            <w:noWrap w:val="0"/>
            <w:vAlign w:val="center"/>
          </w:tcPr>
          <w:p w14:paraId="21E6FDBB">
            <w:pPr>
              <w:spacing w:line="560" w:lineRule="exact"/>
              <w:jc w:val="center"/>
              <w:rPr>
                <w:rFonts w:ascii="Times New Roman" w:hAnsi="Times New Roman"/>
                <w:sz w:val="18"/>
                <w:szCs w:val="18"/>
              </w:rPr>
            </w:pPr>
            <w:r>
              <w:rPr>
                <w:rFonts w:ascii="Times New Roman" w:hAnsi="Times New Roman"/>
                <w:sz w:val="18"/>
                <w:szCs w:val="18"/>
              </w:rPr>
              <w:t>13987619996</w:t>
            </w:r>
            <w:r>
              <w:rPr>
                <w:rFonts w:ascii="Times New Roman" w:hAnsi="Times New Roman"/>
                <w:sz w:val="18"/>
                <w:szCs w:val="18"/>
              </w:rPr>
              <w:br w:type="textWrapping"/>
            </w:r>
            <w:r>
              <w:rPr>
                <w:rFonts w:ascii="Times New Roman" w:hAnsi="Times New Roman"/>
                <w:sz w:val="18"/>
                <w:szCs w:val="18"/>
              </w:rPr>
              <w:t>13508809239</w:t>
            </w:r>
          </w:p>
          <w:p w14:paraId="3FAC589F">
            <w:pPr>
              <w:spacing w:line="560" w:lineRule="exact"/>
              <w:jc w:val="center"/>
              <w:rPr>
                <w:rFonts w:ascii="Times New Roman" w:hAnsi="Times New Roman"/>
                <w:sz w:val="18"/>
                <w:szCs w:val="18"/>
              </w:rPr>
            </w:pPr>
            <w:r>
              <w:rPr>
                <w:rFonts w:ascii="Times New Roman" w:hAnsi="Times New Roman"/>
                <w:sz w:val="18"/>
                <w:szCs w:val="18"/>
              </w:rPr>
              <w:t>13888747150</w:t>
            </w:r>
          </w:p>
        </w:tc>
        <w:tc>
          <w:tcPr>
            <w:tcW w:w="1365" w:type="dxa"/>
            <w:noWrap w:val="0"/>
            <w:vAlign w:val="center"/>
          </w:tcPr>
          <w:p w14:paraId="13453DE4">
            <w:pPr>
              <w:spacing w:line="560" w:lineRule="exact"/>
              <w:jc w:val="center"/>
              <w:rPr>
                <w:rFonts w:ascii="Times New Roman" w:hAnsi="Times New Roman"/>
                <w:sz w:val="18"/>
                <w:szCs w:val="18"/>
              </w:rPr>
            </w:pPr>
            <w:r>
              <w:rPr>
                <w:rFonts w:ascii="Times New Roman" w:hAnsi="Times New Roman"/>
                <w:sz w:val="18"/>
                <w:szCs w:val="18"/>
              </w:rPr>
              <w:t>通过</w:t>
            </w:r>
          </w:p>
        </w:tc>
        <w:tc>
          <w:tcPr>
            <w:tcW w:w="2248" w:type="dxa"/>
            <w:noWrap w:val="0"/>
            <w:vAlign w:val="center"/>
          </w:tcPr>
          <w:p w14:paraId="2712E508">
            <w:pPr>
              <w:spacing w:line="560" w:lineRule="exact"/>
              <w:jc w:val="center"/>
              <w:rPr>
                <w:rFonts w:ascii="Times New Roman" w:hAnsi="Times New Roman"/>
              </w:rPr>
            </w:pPr>
          </w:p>
        </w:tc>
      </w:tr>
      <w:tr w14:paraId="0DDB0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3" w:type="dxa"/>
            <w:noWrap w:val="0"/>
            <w:vAlign w:val="center"/>
          </w:tcPr>
          <w:p w14:paraId="3D15587C">
            <w:pPr>
              <w:spacing w:line="560" w:lineRule="exact"/>
              <w:jc w:val="center"/>
              <w:rPr>
                <w:rFonts w:ascii="Times New Roman" w:hAnsi="Times New Roman"/>
                <w:b/>
                <w:bCs/>
                <w:sz w:val="18"/>
                <w:szCs w:val="18"/>
              </w:rPr>
            </w:pPr>
            <w:r>
              <w:rPr>
                <w:rFonts w:ascii="Times New Roman" w:hAnsi="Times New Roman"/>
                <w:b/>
                <w:bCs/>
                <w:sz w:val="18"/>
                <w:szCs w:val="18"/>
              </w:rPr>
              <w:t>4</w:t>
            </w:r>
          </w:p>
        </w:tc>
        <w:tc>
          <w:tcPr>
            <w:tcW w:w="3240" w:type="dxa"/>
            <w:noWrap w:val="0"/>
            <w:vAlign w:val="center"/>
          </w:tcPr>
          <w:p w14:paraId="679AD38E">
            <w:pPr>
              <w:spacing w:line="560" w:lineRule="exact"/>
              <w:jc w:val="center"/>
              <w:rPr>
                <w:rFonts w:ascii="Times New Roman" w:hAnsi="Times New Roman"/>
                <w:sz w:val="18"/>
                <w:szCs w:val="18"/>
              </w:rPr>
            </w:pPr>
            <w:r>
              <w:rPr>
                <w:rFonts w:ascii="Times New Roman" w:hAnsi="Times New Roman"/>
                <w:sz w:val="18"/>
                <w:szCs w:val="18"/>
              </w:rPr>
              <w:t>云南旺马仓储有限公司</w:t>
            </w:r>
          </w:p>
        </w:tc>
        <w:tc>
          <w:tcPr>
            <w:tcW w:w="3705" w:type="dxa"/>
            <w:noWrap w:val="0"/>
            <w:vAlign w:val="center"/>
          </w:tcPr>
          <w:p w14:paraId="7A88ACED">
            <w:pPr>
              <w:spacing w:line="560" w:lineRule="exact"/>
              <w:jc w:val="center"/>
              <w:rPr>
                <w:rFonts w:ascii="Times New Roman" w:hAnsi="Times New Roman"/>
                <w:sz w:val="18"/>
                <w:szCs w:val="18"/>
              </w:rPr>
            </w:pPr>
            <w:r>
              <w:rPr>
                <w:rFonts w:ascii="Times New Roman" w:hAnsi="Times New Roman"/>
                <w:sz w:val="18"/>
                <w:szCs w:val="18"/>
              </w:rPr>
              <w:t>凉亭村283号</w:t>
            </w:r>
          </w:p>
        </w:tc>
        <w:tc>
          <w:tcPr>
            <w:tcW w:w="1710" w:type="dxa"/>
            <w:noWrap w:val="0"/>
            <w:vAlign w:val="center"/>
          </w:tcPr>
          <w:p w14:paraId="2B9C00D2">
            <w:pPr>
              <w:spacing w:line="560" w:lineRule="exact"/>
              <w:jc w:val="center"/>
              <w:rPr>
                <w:rFonts w:ascii="Times New Roman" w:hAnsi="Times New Roman"/>
                <w:sz w:val="18"/>
                <w:szCs w:val="18"/>
              </w:rPr>
            </w:pPr>
            <w:r>
              <w:rPr>
                <w:rFonts w:ascii="Times New Roman" w:hAnsi="Times New Roman"/>
                <w:sz w:val="18"/>
                <w:szCs w:val="18"/>
              </w:rPr>
              <w:t>马耀熔</w:t>
            </w:r>
          </w:p>
          <w:p w14:paraId="63FA1D2B">
            <w:pPr>
              <w:spacing w:line="560" w:lineRule="exact"/>
              <w:jc w:val="center"/>
              <w:rPr>
                <w:rFonts w:ascii="Times New Roman" w:hAnsi="Times New Roman"/>
                <w:sz w:val="18"/>
                <w:szCs w:val="18"/>
              </w:rPr>
            </w:pPr>
            <w:r>
              <w:rPr>
                <w:rFonts w:ascii="Times New Roman" w:hAnsi="Times New Roman"/>
                <w:sz w:val="18"/>
                <w:szCs w:val="18"/>
              </w:rPr>
              <w:t>刀兴春</w:t>
            </w:r>
          </w:p>
        </w:tc>
        <w:tc>
          <w:tcPr>
            <w:tcW w:w="1995" w:type="dxa"/>
            <w:noWrap w:val="0"/>
            <w:vAlign w:val="center"/>
          </w:tcPr>
          <w:p w14:paraId="20EF785F">
            <w:pPr>
              <w:spacing w:line="560" w:lineRule="exact"/>
              <w:jc w:val="center"/>
              <w:rPr>
                <w:rFonts w:ascii="Times New Roman" w:hAnsi="Times New Roman"/>
                <w:sz w:val="18"/>
                <w:szCs w:val="18"/>
              </w:rPr>
            </w:pPr>
            <w:r>
              <w:rPr>
                <w:rFonts w:ascii="Times New Roman" w:hAnsi="Times New Roman"/>
                <w:sz w:val="18"/>
                <w:szCs w:val="18"/>
              </w:rPr>
              <w:t>13769167778</w:t>
            </w:r>
            <w:r>
              <w:rPr>
                <w:rFonts w:ascii="Times New Roman" w:hAnsi="Times New Roman"/>
                <w:sz w:val="18"/>
                <w:szCs w:val="18"/>
              </w:rPr>
              <w:br w:type="textWrapping"/>
            </w:r>
            <w:r>
              <w:rPr>
                <w:rFonts w:ascii="Times New Roman" w:hAnsi="Times New Roman"/>
                <w:sz w:val="18"/>
                <w:szCs w:val="18"/>
              </w:rPr>
              <w:t>18725089493</w:t>
            </w:r>
          </w:p>
        </w:tc>
        <w:tc>
          <w:tcPr>
            <w:tcW w:w="1365" w:type="dxa"/>
            <w:noWrap w:val="0"/>
            <w:vAlign w:val="center"/>
          </w:tcPr>
          <w:p w14:paraId="1038BFCE">
            <w:pPr>
              <w:spacing w:line="560" w:lineRule="exact"/>
              <w:ind w:firstLine="360" w:firstLineChars="200"/>
              <w:jc w:val="left"/>
              <w:rPr>
                <w:rFonts w:ascii="Times New Roman" w:hAnsi="Times New Roman"/>
                <w:sz w:val="18"/>
                <w:szCs w:val="18"/>
              </w:rPr>
            </w:pPr>
            <w:r>
              <w:rPr>
                <w:rFonts w:ascii="Times New Roman" w:hAnsi="Times New Roman"/>
                <w:sz w:val="18"/>
                <w:szCs w:val="18"/>
              </w:rPr>
              <w:t>通过</w:t>
            </w:r>
          </w:p>
        </w:tc>
        <w:tc>
          <w:tcPr>
            <w:tcW w:w="2248" w:type="dxa"/>
            <w:noWrap w:val="0"/>
            <w:vAlign w:val="center"/>
          </w:tcPr>
          <w:p w14:paraId="05924315">
            <w:pPr>
              <w:spacing w:line="560" w:lineRule="exact"/>
              <w:jc w:val="center"/>
              <w:rPr>
                <w:rFonts w:ascii="Times New Roman" w:hAnsi="Times New Roman"/>
              </w:rPr>
            </w:pPr>
          </w:p>
        </w:tc>
      </w:tr>
      <w:tr w14:paraId="45644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1243" w:type="dxa"/>
            <w:noWrap w:val="0"/>
            <w:vAlign w:val="center"/>
          </w:tcPr>
          <w:p w14:paraId="145A34D5">
            <w:pPr>
              <w:spacing w:line="560" w:lineRule="exact"/>
              <w:jc w:val="center"/>
              <w:rPr>
                <w:rFonts w:ascii="Times New Roman" w:hAnsi="Times New Roman"/>
                <w:b/>
                <w:bCs/>
                <w:sz w:val="18"/>
                <w:szCs w:val="18"/>
              </w:rPr>
            </w:pPr>
            <w:r>
              <w:rPr>
                <w:rFonts w:ascii="Times New Roman" w:hAnsi="Times New Roman"/>
                <w:b/>
                <w:bCs/>
                <w:sz w:val="18"/>
                <w:szCs w:val="18"/>
              </w:rPr>
              <w:t>5</w:t>
            </w:r>
          </w:p>
        </w:tc>
        <w:tc>
          <w:tcPr>
            <w:tcW w:w="3240" w:type="dxa"/>
            <w:noWrap w:val="0"/>
            <w:vAlign w:val="center"/>
          </w:tcPr>
          <w:p w14:paraId="3D705B50">
            <w:pPr>
              <w:spacing w:line="560" w:lineRule="exact"/>
              <w:jc w:val="center"/>
              <w:rPr>
                <w:rFonts w:ascii="Times New Roman" w:hAnsi="Times New Roman"/>
                <w:sz w:val="18"/>
                <w:szCs w:val="18"/>
              </w:rPr>
            </w:pPr>
            <w:r>
              <w:rPr>
                <w:rFonts w:ascii="Times New Roman" w:hAnsi="Times New Roman"/>
                <w:sz w:val="18"/>
                <w:szCs w:val="18"/>
              </w:rPr>
              <w:t>昆明昆外储运贸易有限公司</w:t>
            </w:r>
          </w:p>
        </w:tc>
        <w:tc>
          <w:tcPr>
            <w:tcW w:w="3705" w:type="dxa"/>
            <w:noWrap w:val="0"/>
            <w:vAlign w:val="center"/>
          </w:tcPr>
          <w:p w14:paraId="6D7CD30B">
            <w:pPr>
              <w:spacing w:line="560" w:lineRule="exact"/>
              <w:jc w:val="center"/>
              <w:rPr>
                <w:rFonts w:ascii="Times New Roman" w:hAnsi="Times New Roman"/>
                <w:sz w:val="18"/>
                <w:szCs w:val="18"/>
              </w:rPr>
            </w:pPr>
            <w:r>
              <w:rPr>
                <w:rFonts w:ascii="Times New Roman" w:hAnsi="Times New Roman"/>
                <w:sz w:val="18"/>
                <w:szCs w:val="18"/>
              </w:rPr>
              <w:t>东三环</w:t>
            </w:r>
          </w:p>
        </w:tc>
        <w:tc>
          <w:tcPr>
            <w:tcW w:w="1710" w:type="dxa"/>
            <w:noWrap w:val="0"/>
            <w:vAlign w:val="center"/>
          </w:tcPr>
          <w:p w14:paraId="3BB56BB3">
            <w:pPr>
              <w:spacing w:line="560" w:lineRule="exact"/>
              <w:jc w:val="center"/>
              <w:rPr>
                <w:rFonts w:ascii="Times New Roman" w:hAnsi="Times New Roman"/>
                <w:sz w:val="18"/>
                <w:szCs w:val="18"/>
              </w:rPr>
            </w:pPr>
            <w:r>
              <w:rPr>
                <w:rFonts w:ascii="Times New Roman" w:hAnsi="Times New Roman"/>
                <w:sz w:val="18"/>
                <w:szCs w:val="18"/>
              </w:rPr>
              <w:t>王敏</w:t>
            </w:r>
          </w:p>
        </w:tc>
        <w:tc>
          <w:tcPr>
            <w:tcW w:w="1995" w:type="dxa"/>
            <w:noWrap w:val="0"/>
            <w:vAlign w:val="center"/>
          </w:tcPr>
          <w:p w14:paraId="49B06841">
            <w:pPr>
              <w:spacing w:line="560" w:lineRule="exact"/>
              <w:jc w:val="center"/>
              <w:rPr>
                <w:rFonts w:ascii="Times New Roman" w:hAnsi="Times New Roman"/>
                <w:sz w:val="18"/>
                <w:szCs w:val="18"/>
              </w:rPr>
            </w:pPr>
            <w:r>
              <w:rPr>
                <w:rFonts w:ascii="Times New Roman" w:hAnsi="Times New Roman"/>
                <w:sz w:val="18"/>
                <w:szCs w:val="18"/>
              </w:rPr>
              <w:t>13577059740</w:t>
            </w:r>
          </w:p>
          <w:p w14:paraId="4A9709D3">
            <w:pPr>
              <w:spacing w:line="560" w:lineRule="exact"/>
              <w:jc w:val="center"/>
              <w:rPr>
                <w:rFonts w:ascii="Times New Roman" w:hAnsi="Times New Roman"/>
                <w:sz w:val="18"/>
                <w:szCs w:val="18"/>
              </w:rPr>
            </w:pPr>
            <w:r>
              <w:rPr>
                <w:rFonts w:ascii="Times New Roman" w:hAnsi="Times New Roman"/>
                <w:sz w:val="18"/>
                <w:szCs w:val="18"/>
              </w:rPr>
              <w:t>13529033855</w:t>
            </w:r>
          </w:p>
        </w:tc>
        <w:tc>
          <w:tcPr>
            <w:tcW w:w="1365" w:type="dxa"/>
            <w:noWrap w:val="0"/>
            <w:vAlign w:val="center"/>
          </w:tcPr>
          <w:p w14:paraId="02CDD8F2">
            <w:pPr>
              <w:spacing w:line="560" w:lineRule="exact"/>
              <w:jc w:val="center"/>
              <w:rPr>
                <w:rFonts w:ascii="Times New Roman" w:hAnsi="Times New Roman"/>
                <w:sz w:val="18"/>
                <w:szCs w:val="18"/>
              </w:rPr>
            </w:pPr>
            <w:r>
              <w:rPr>
                <w:rFonts w:ascii="Times New Roman" w:hAnsi="Times New Roman"/>
                <w:sz w:val="18"/>
                <w:szCs w:val="18"/>
              </w:rPr>
              <w:t>通过</w:t>
            </w:r>
          </w:p>
          <w:p w14:paraId="4F104A53">
            <w:pPr>
              <w:spacing w:line="560" w:lineRule="exact"/>
              <w:jc w:val="center"/>
              <w:rPr>
                <w:rFonts w:ascii="Times New Roman" w:hAnsi="Times New Roman"/>
                <w:sz w:val="18"/>
                <w:szCs w:val="18"/>
              </w:rPr>
            </w:pPr>
          </w:p>
        </w:tc>
        <w:tc>
          <w:tcPr>
            <w:tcW w:w="2248" w:type="dxa"/>
            <w:noWrap w:val="0"/>
            <w:vAlign w:val="center"/>
          </w:tcPr>
          <w:p w14:paraId="64C7B7B7">
            <w:pPr>
              <w:spacing w:line="560" w:lineRule="exact"/>
              <w:jc w:val="center"/>
              <w:rPr>
                <w:rFonts w:ascii="Times New Roman" w:hAnsi="Times New Roman"/>
              </w:rPr>
            </w:pPr>
          </w:p>
        </w:tc>
      </w:tr>
      <w:tr w14:paraId="52C36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1243" w:type="dxa"/>
            <w:noWrap w:val="0"/>
            <w:vAlign w:val="center"/>
          </w:tcPr>
          <w:p w14:paraId="1CBF03F4">
            <w:pPr>
              <w:spacing w:line="560" w:lineRule="exact"/>
              <w:jc w:val="center"/>
              <w:rPr>
                <w:rFonts w:ascii="Times New Roman" w:hAnsi="Times New Roman"/>
                <w:b/>
                <w:bCs/>
                <w:sz w:val="18"/>
                <w:szCs w:val="18"/>
              </w:rPr>
            </w:pPr>
            <w:r>
              <w:rPr>
                <w:rFonts w:ascii="Times New Roman" w:hAnsi="Times New Roman"/>
                <w:b/>
                <w:bCs/>
                <w:sz w:val="18"/>
                <w:szCs w:val="18"/>
              </w:rPr>
              <w:t>6</w:t>
            </w:r>
          </w:p>
        </w:tc>
        <w:tc>
          <w:tcPr>
            <w:tcW w:w="3240" w:type="dxa"/>
            <w:noWrap w:val="0"/>
            <w:vAlign w:val="center"/>
          </w:tcPr>
          <w:p w14:paraId="27E29CFB">
            <w:pPr>
              <w:spacing w:line="560" w:lineRule="exact"/>
              <w:jc w:val="center"/>
              <w:rPr>
                <w:rFonts w:ascii="Times New Roman" w:hAnsi="Times New Roman"/>
                <w:sz w:val="18"/>
                <w:szCs w:val="18"/>
              </w:rPr>
            </w:pPr>
            <w:r>
              <w:rPr>
                <w:rFonts w:ascii="Times New Roman" w:hAnsi="Times New Roman"/>
                <w:sz w:val="18"/>
                <w:szCs w:val="18"/>
              </w:rPr>
              <w:t>昆明市土产日用品有限公司</w:t>
            </w:r>
          </w:p>
        </w:tc>
        <w:tc>
          <w:tcPr>
            <w:tcW w:w="3705" w:type="dxa"/>
            <w:noWrap w:val="0"/>
            <w:vAlign w:val="center"/>
          </w:tcPr>
          <w:p w14:paraId="2189DB25">
            <w:pPr>
              <w:spacing w:line="560" w:lineRule="exact"/>
              <w:jc w:val="center"/>
              <w:rPr>
                <w:rFonts w:ascii="Times New Roman" w:hAnsi="Times New Roman"/>
                <w:sz w:val="18"/>
                <w:szCs w:val="18"/>
              </w:rPr>
            </w:pPr>
            <w:r>
              <w:rPr>
                <w:rFonts w:ascii="Times New Roman" w:hAnsi="Times New Roman"/>
                <w:sz w:val="18"/>
                <w:szCs w:val="18"/>
              </w:rPr>
              <w:t>凉亭归十路（市土产公司仓库）</w:t>
            </w:r>
          </w:p>
        </w:tc>
        <w:tc>
          <w:tcPr>
            <w:tcW w:w="1710" w:type="dxa"/>
            <w:noWrap w:val="0"/>
            <w:vAlign w:val="center"/>
          </w:tcPr>
          <w:p w14:paraId="69D1EF31">
            <w:pPr>
              <w:spacing w:line="560" w:lineRule="exact"/>
              <w:jc w:val="center"/>
              <w:rPr>
                <w:rFonts w:ascii="Times New Roman" w:hAnsi="Times New Roman"/>
                <w:sz w:val="18"/>
                <w:szCs w:val="18"/>
              </w:rPr>
            </w:pPr>
            <w:r>
              <w:rPr>
                <w:rFonts w:ascii="Times New Roman" w:hAnsi="Times New Roman"/>
                <w:sz w:val="18"/>
                <w:szCs w:val="18"/>
              </w:rPr>
              <w:t>范详林</w:t>
            </w:r>
          </w:p>
          <w:p w14:paraId="524C1528">
            <w:pPr>
              <w:spacing w:line="560" w:lineRule="exact"/>
              <w:jc w:val="center"/>
              <w:rPr>
                <w:rFonts w:ascii="Times New Roman" w:hAnsi="Times New Roman"/>
                <w:sz w:val="18"/>
                <w:szCs w:val="18"/>
              </w:rPr>
            </w:pPr>
            <w:r>
              <w:rPr>
                <w:rFonts w:ascii="Times New Roman" w:hAnsi="Times New Roman"/>
                <w:sz w:val="18"/>
                <w:szCs w:val="18"/>
              </w:rPr>
              <w:t>李经理</w:t>
            </w:r>
          </w:p>
        </w:tc>
        <w:tc>
          <w:tcPr>
            <w:tcW w:w="1995" w:type="dxa"/>
            <w:noWrap w:val="0"/>
            <w:vAlign w:val="center"/>
          </w:tcPr>
          <w:p w14:paraId="249CA6B1">
            <w:pPr>
              <w:spacing w:line="560" w:lineRule="exact"/>
              <w:jc w:val="center"/>
              <w:rPr>
                <w:rFonts w:ascii="Times New Roman" w:hAnsi="Times New Roman"/>
                <w:sz w:val="18"/>
                <w:szCs w:val="18"/>
              </w:rPr>
            </w:pPr>
            <w:r>
              <w:rPr>
                <w:rFonts w:ascii="Times New Roman" w:hAnsi="Times New Roman"/>
                <w:sz w:val="18"/>
                <w:szCs w:val="18"/>
              </w:rPr>
              <w:t>13529186673</w:t>
            </w:r>
            <w:r>
              <w:rPr>
                <w:rFonts w:ascii="Times New Roman" w:hAnsi="Times New Roman"/>
                <w:sz w:val="18"/>
                <w:szCs w:val="18"/>
              </w:rPr>
              <w:br w:type="textWrapping"/>
            </w:r>
            <w:r>
              <w:rPr>
                <w:rFonts w:ascii="Times New Roman" w:hAnsi="Times New Roman"/>
                <w:sz w:val="18"/>
                <w:szCs w:val="18"/>
              </w:rPr>
              <w:t>18687161344</w:t>
            </w:r>
          </w:p>
          <w:p w14:paraId="2A2298C5">
            <w:pPr>
              <w:spacing w:line="560" w:lineRule="exact"/>
              <w:jc w:val="center"/>
              <w:rPr>
                <w:rFonts w:ascii="Times New Roman" w:hAnsi="Times New Roman"/>
                <w:sz w:val="18"/>
                <w:szCs w:val="18"/>
              </w:rPr>
            </w:pPr>
          </w:p>
        </w:tc>
        <w:tc>
          <w:tcPr>
            <w:tcW w:w="1365" w:type="dxa"/>
            <w:noWrap w:val="0"/>
            <w:vAlign w:val="center"/>
          </w:tcPr>
          <w:p w14:paraId="76B64E7E">
            <w:pPr>
              <w:spacing w:line="560" w:lineRule="exact"/>
              <w:jc w:val="center"/>
              <w:rPr>
                <w:rFonts w:ascii="Times New Roman" w:hAnsi="Times New Roman"/>
                <w:sz w:val="18"/>
                <w:szCs w:val="18"/>
              </w:rPr>
            </w:pPr>
            <w:r>
              <w:rPr>
                <w:rFonts w:ascii="Times New Roman" w:hAnsi="Times New Roman"/>
                <w:sz w:val="18"/>
                <w:szCs w:val="18"/>
              </w:rPr>
              <w:t>通过</w:t>
            </w:r>
          </w:p>
          <w:p w14:paraId="4A4DD0B9">
            <w:pPr>
              <w:spacing w:line="560" w:lineRule="exact"/>
              <w:jc w:val="center"/>
              <w:rPr>
                <w:rFonts w:ascii="Times New Roman" w:hAnsi="Times New Roman"/>
                <w:sz w:val="18"/>
                <w:szCs w:val="18"/>
              </w:rPr>
            </w:pPr>
          </w:p>
        </w:tc>
        <w:tc>
          <w:tcPr>
            <w:tcW w:w="2248" w:type="dxa"/>
            <w:noWrap w:val="0"/>
            <w:vAlign w:val="center"/>
          </w:tcPr>
          <w:p w14:paraId="37EAFFFC">
            <w:pPr>
              <w:spacing w:line="560" w:lineRule="exact"/>
              <w:jc w:val="center"/>
              <w:rPr>
                <w:rFonts w:ascii="Times New Roman" w:hAnsi="Times New Roman"/>
              </w:rPr>
            </w:pPr>
          </w:p>
        </w:tc>
      </w:tr>
      <w:tr w14:paraId="30B0A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1243" w:type="dxa"/>
            <w:noWrap w:val="0"/>
            <w:vAlign w:val="center"/>
          </w:tcPr>
          <w:p w14:paraId="787AB779">
            <w:pPr>
              <w:spacing w:line="560" w:lineRule="exact"/>
              <w:jc w:val="center"/>
              <w:rPr>
                <w:rFonts w:ascii="Times New Roman" w:hAnsi="Times New Roman"/>
                <w:b/>
                <w:bCs/>
                <w:sz w:val="18"/>
                <w:szCs w:val="18"/>
              </w:rPr>
            </w:pPr>
            <w:r>
              <w:rPr>
                <w:rFonts w:ascii="Times New Roman" w:hAnsi="Times New Roman"/>
                <w:b/>
                <w:bCs/>
                <w:sz w:val="18"/>
                <w:szCs w:val="18"/>
              </w:rPr>
              <w:t>7</w:t>
            </w:r>
          </w:p>
        </w:tc>
        <w:tc>
          <w:tcPr>
            <w:tcW w:w="3240" w:type="dxa"/>
            <w:noWrap w:val="0"/>
            <w:vAlign w:val="center"/>
          </w:tcPr>
          <w:p w14:paraId="52D1DB03">
            <w:pPr>
              <w:spacing w:line="560" w:lineRule="exact"/>
              <w:jc w:val="center"/>
              <w:rPr>
                <w:rFonts w:ascii="Times New Roman" w:hAnsi="Times New Roman"/>
                <w:sz w:val="18"/>
                <w:szCs w:val="18"/>
              </w:rPr>
            </w:pPr>
            <w:r>
              <w:rPr>
                <w:rFonts w:ascii="Times New Roman" w:hAnsi="Times New Roman"/>
                <w:sz w:val="18"/>
                <w:szCs w:val="18"/>
              </w:rPr>
              <w:t>昆明滇隆水产贸易有限责任公司</w:t>
            </w:r>
          </w:p>
        </w:tc>
        <w:tc>
          <w:tcPr>
            <w:tcW w:w="3705" w:type="dxa"/>
            <w:noWrap w:val="0"/>
            <w:vAlign w:val="center"/>
          </w:tcPr>
          <w:p w14:paraId="290AD3E3">
            <w:pPr>
              <w:spacing w:line="560" w:lineRule="exact"/>
              <w:jc w:val="center"/>
              <w:rPr>
                <w:rFonts w:ascii="Times New Roman" w:hAnsi="Times New Roman"/>
                <w:sz w:val="18"/>
                <w:szCs w:val="18"/>
              </w:rPr>
            </w:pPr>
            <w:r>
              <w:rPr>
                <w:rFonts w:ascii="Times New Roman" w:hAnsi="Times New Roman"/>
                <w:sz w:val="18"/>
                <w:szCs w:val="18"/>
              </w:rPr>
              <w:t>金马街道办事处小羊方旺村186号</w:t>
            </w:r>
          </w:p>
        </w:tc>
        <w:tc>
          <w:tcPr>
            <w:tcW w:w="1710" w:type="dxa"/>
            <w:noWrap w:val="0"/>
            <w:vAlign w:val="center"/>
          </w:tcPr>
          <w:p w14:paraId="285DEB0D">
            <w:pPr>
              <w:spacing w:line="560" w:lineRule="exact"/>
              <w:jc w:val="center"/>
              <w:rPr>
                <w:rFonts w:ascii="Times New Roman" w:hAnsi="Times New Roman"/>
                <w:sz w:val="18"/>
                <w:szCs w:val="18"/>
              </w:rPr>
            </w:pPr>
            <w:r>
              <w:rPr>
                <w:rFonts w:ascii="Times New Roman" w:hAnsi="Times New Roman"/>
                <w:sz w:val="18"/>
                <w:szCs w:val="18"/>
              </w:rPr>
              <w:t>王洪</w:t>
            </w:r>
          </w:p>
          <w:p w14:paraId="28ECACB3">
            <w:pPr>
              <w:spacing w:line="560" w:lineRule="exact"/>
              <w:jc w:val="center"/>
              <w:rPr>
                <w:rFonts w:ascii="Times New Roman" w:hAnsi="Times New Roman"/>
                <w:sz w:val="18"/>
                <w:szCs w:val="18"/>
              </w:rPr>
            </w:pPr>
            <w:r>
              <w:rPr>
                <w:rFonts w:ascii="Times New Roman" w:hAnsi="Times New Roman"/>
                <w:sz w:val="18"/>
                <w:szCs w:val="18"/>
              </w:rPr>
              <w:t>华虎全</w:t>
            </w:r>
          </w:p>
        </w:tc>
        <w:tc>
          <w:tcPr>
            <w:tcW w:w="1995" w:type="dxa"/>
            <w:noWrap w:val="0"/>
            <w:vAlign w:val="center"/>
          </w:tcPr>
          <w:p w14:paraId="440AB7CD">
            <w:pPr>
              <w:spacing w:line="560" w:lineRule="exact"/>
              <w:jc w:val="center"/>
              <w:rPr>
                <w:rFonts w:ascii="Times New Roman" w:hAnsi="Times New Roman"/>
                <w:sz w:val="18"/>
                <w:szCs w:val="18"/>
              </w:rPr>
            </w:pPr>
            <w:r>
              <w:rPr>
                <w:rFonts w:ascii="Times New Roman" w:hAnsi="Times New Roman"/>
                <w:sz w:val="18"/>
                <w:szCs w:val="18"/>
              </w:rPr>
              <w:t>13708436981</w:t>
            </w:r>
            <w:r>
              <w:rPr>
                <w:rFonts w:ascii="Times New Roman" w:hAnsi="Times New Roman"/>
                <w:sz w:val="18"/>
                <w:szCs w:val="18"/>
              </w:rPr>
              <w:br w:type="textWrapping"/>
            </w:r>
            <w:r>
              <w:rPr>
                <w:rFonts w:ascii="Times New Roman" w:hAnsi="Times New Roman"/>
                <w:sz w:val="18"/>
                <w:szCs w:val="18"/>
              </w:rPr>
              <w:t>13708408707</w:t>
            </w:r>
          </w:p>
        </w:tc>
        <w:tc>
          <w:tcPr>
            <w:tcW w:w="1365" w:type="dxa"/>
            <w:noWrap w:val="0"/>
            <w:vAlign w:val="center"/>
          </w:tcPr>
          <w:p w14:paraId="5D702FA6">
            <w:pPr>
              <w:spacing w:line="560" w:lineRule="exact"/>
              <w:jc w:val="center"/>
              <w:rPr>
                <w:rFonts w:ascii="Times New Roman" w:hAnsi="Times New Roman"/>
                <w:sz w:val="18"/>
                <w:szCs w:val="18"/>
              </w:rPr>
            </w:pPr>
            <w:r>
              <w:rPr>
                <w:rFonts w:ascii="Times New Roman" w:hAnsi="Times New Roman"/>
                <w:sz w:val="18"/>
                <w:szCs w:val="18"/>
              </w:rPr>
              <w:t>通过</w:t>
            </w:r>
          </w:p>
          <w:p w14:paraId="6DC80375">
            <w:pPr>
              <w:spacing w:line="560" w:lineRule="exact"/>
              <w:jc w:val="center"/>
              <w:rPr>
                <w:rFonts w:ascii="Times New Roman" w:hAnsi="Times New Roman"/>
                <w:sz w:val="18"/>
                <w:szCs w:val="18"/>
              </w:rPr>
            </w:pPr>
          </w:p>
        </w:tc>
        <w:tc>
          <w:tcPr>
            <w:tcW w:w="2248" w:type="dxa"/>
            <w:noWrap w:val="0"/>
            <w:vAlign w:val="center"/>
          </w:tcPr>
          <w:p w14:paraId="4163EDA9">
            <w:pPr>
              <w:spacing w:line="560" w:lineRule="exact"/>
              <w:jc w:val="center"/>
              <w:rPr>
                <w:rFonts w:ascii="Times New Roman" w:hAnsi="Times New Roman"/>
              </w:rPr>
            </w:pPr>
          </w:p>
        </w:tc>
      </w:tr>
      <w:tr w14:paraId="14441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1243" w:type="dxa"/>
            <w:noWrap w:val="0"/>
            <w:vAlign w:val="center"/>
          </w:tcPr>
          <w:p w14:paraId="46B5E38F">
            <w:pPr>
              <w:spacing w:line="560" w:lineRule="exact"/>
              <w:jc w:val="center"/>
              <w:rPr>
                <w:rFonts w:ascii="Times New Roman" w:hAnsi="Times New Roman"/>
                <w:b/>
                <w:bCs/>
                <w:sz w:val="18"/>
                <w:szCs w:val="18"/>
              </w:rPr>
            </w:pPr>
            <w:r>
              <w:rPr>
                <w:rFonts w:ascii="Times New Roman" w:hAnsi="Times New Roman"/>
                <w:b/>
                <w:bCs/>
                <w:sz w:val="18"/>
                <w:szCs w:val="18"/>
              </w:rPr>
              <w:t>8</w:t>
            </w:r>
          </w:p>
        </w:tc>
        <w:tc>
          <w:tcPr>
            <w:tcW w:w="3240" w:type="dxa"/>
            <w:noWrap w:val="0"/>
            <w:vAlign w:val="center"/>
          </w:tcPr>
          <w:p w14:paraId="1E5DA7B1">
            <w:pPr>
              <w:spacing w:line="560" w:lineRule="exact"/>
              <w:jc w:val="center"/>
              <w:rPr>
                <w:rFonts w:ascii="Times New Roman" w:hAnsi="Times New Roman"/>
                <w:sz w:val="18"/>
                <w:szCs w:val="18"/>
              </w:rPr>
            </w:pPr>
            <w:r>
              <w:rPr>
                <w:rFonts w:ascii="Times New Roman" w:hAnsi="Times New Roman"/>
                <w:sz w:val="18"/>
                <w:szCs w:val="18"/>
              </w:rPr>
              <w:t>昆明志成货运有限公司</w:t>
            </w:r>
          </w:p>
        </w:tc>
        <w:tc>
          <w:tcPr>
            <w:tcW w:w="3705" w:type="dxa"/>
            <w:noWrap w:val="0"/>
            <w:vAlign w:val="center"/>
          </w:tcPr>
          <w:p w14:paraId="7B8C4740">
            <w:pPr>
              <w:spacing w:line="560" w:lineRule="exact"/>
              <w:jc w:val="center"/>
              <w:rPr>
                <w:rFonts w:ascii="Times New Roman" w:hAnsi="Times New Roman"/>
                <w:sz w:val="18"/>
                <w:szCs w:val="18"/>
              </w:rPr>
            </w:pPr>
            <w:r>
              <w:rPr>
                <w:rFonts w:ascii="Times New Roman" w:hAnsi="Times New Roman"/>
                <w:sz w:val="18"/>
                <w:szCs w:val="18"/>
              </w:rPr>
              <w:t>凉亭村（金马路）</w:t>
            </w:r>
          </w:p>
        </w:tc>
        <w:tc>
          <w:tcPr>
            <w:tcW w:w="1710" w:type="dxa"/>
            <w:noWrap w:val="0"/>
            <w:vAlign w:val="center"/>
          </w:tcPr>
          <w:p w14:paraId="1BA8EBA2">
            <w:pPr>
              <w:spacing w:line="560" w:lineRule="exact"/>
              <w:jc w:val="center"/>
              <w:rPr>
                <w:rFonts w:ascii="Times New Roman" w:hAnsi="Times New Roman"/>
                <w:sz w:val="18"/>
                <w:szCs w:val="18"/>
              </w:rPr>
            </w:pPr>
            <w:r>
              <w:rPr>
                <w:rFonts w:ascii="Times New Roman" w:hAnsi="Times New Roman"/>
                <w:sz w:val="18"/>
                <w:szCs w:val="18"/>
              </w:rPr>
              <w:t>杨志刚</w:t>
            </w:r>
          </w:p>
          <w:p w14:paraId="30EA86C3">
            <w:pPr>
              <w:spacing w:line="560" w:lineRule="exact"/>
              <w:jc w:val="center"/>
              <w:rPr>
                <w:rFonts w:ascii="Times New Roman" w:hAnsi="Times New Roman"/>
                <w:sz w:val="18"/>
                <w:szCs w:val="18"/>
              </w:rPr>
            </w:pPr>
            <w:r>
              <w:rPr>
                <w:rFonts w:ascii="Times New Roman" w:hAnsi="Times New Roman"/>
                <w:sz w:val="18"/>
                <w:szCs w:val="18"/>
              </w:rPr>
              <w:t>王勇</w:t>
            </w:r>
          </w:p>
        </w:tc>
        <w:tc>
          <w:tcPr>
            <w:tcW w:w="1995" w:type="dxa"/>
            <w:noWrap w:val="0"/>
            <w:vAlign w:val="center"/>
          </w:tcPr>
          <w:p w14:paraId="2A8D1E15">
            <w:pPr>
              <w:spacing w:line="560" w:lineRule="exact"/>
              <w:jc w:val="center"/>
              <w:rPr>
                <w:rFonts w:ascii="Times New Roman" w:hAnsi="Times New Roman"/>
                <w:sz w:val="18"/>
                <w:szCs w:val="18"/>
              </w:rPr>
            </w:pPr>
            <w:r>
              <w:rPr>
                <w:rFonts w:ascii="Times New Roman" w:hAnsi="Times New Roman"/>
                <w:sz w:val="18"/>
                <w:szCs w:val="18"/>
              </w:rPr>
              <w:t>13888644352</w:t>
            </w:r>
            <w:r>
              <w:rPr>
                <w:rFonts w:ascii="Times New Roman" w:hAnsi="Times New Roman"/>
                <w:sz w:val="18"/>
                <w:szCs w:val="18"/>
              </w:rPr>
              <w:br w:type="textWrapping"/>
            </w:r>
          </w:p>
        </w:tc>
        <w:tc>
          <w:tcPr>
            <w:tcW w:w="1365" w:type="dxa"/>
            <w:noWrap w:val="0"/>
            <w:vAlign w:val="center"/>
          </w:tcPr>
          <w:p w14:paraId="23755F0E">
            <w:pPr>
              <w:spacing w:line="560" w:lineRule="exact"/>
              <w:jc w:val="center"/>
              <w:rPr>
                <w:rFonts w:ascii="Times New Roman" w:hAnsi="Times New Roman"/>
                <w:sz w:val="18"/>
                <w:szCs w:val="18"/>
              </w:rPr>
            </w:pPr>
            <w:r>
              <w:rPr>
                <w:rFonts w:ascii="Times New Roman" w:hAnsi="Times New Roman"/>
                <w:sz w:val="18"/>
                <w:szCs w:val="18"/>
              </w:rPr>
              <w:t>未通过</w:t>
            </w:r>
          </w:p>
        </w:tc>
        <w:tc>
          <w:tcPr>
            <w:tcW w:w="2248" w:type="dxa"/>
            <w:noWrap w:val="0"/>
            <w:vAlign w:val="center"/>
          </w:tcPr>
          <w:p w14:paraId="30C05469">
            <w:pPr>
              <w:spacing w:line="560" w:lineRule="exact"/>
              <w:jc w:val="center"/>
              <w:rPr>
                <w:rFonts w:ascii="Times New Roman" w:hAnsi="Times New Roman"/>
                <w:sz w:val="18"/>
                <w:szCs w:val="18"/>
              </w:rPr>
            </w:pPr>
            <w:r>
              <w:rPr>
                <w:rFonts w:ascii="Times New Roman" w:hAnsi="Times New Roman"/>
                <w:sz w:val="15"/>
                <w:szCs w:val="15"/>
              </w:rPr>
              <w:t>未做《重大危险源评价报告》，未进行重大危险源备案</w:t>
            </w:r>
          </w:p>
        </w:tc>
      </w:tr>
    </w:tbl>
    <w:p w14:paraId="6E8E3EC5">
      <w:pPr>
        <w:pStyle w:val="6"/>
        <w:shd w:val="clear" w:color="auto" w:fill="FFFFFF"/>
        <w:spacing w:beforeAutospacing="0" w:afterAutospacing="0" w:line="560" w:lineRule="exact"/>
        <w:jc w:val="both"/>
        <w:rPr>
          <w:rFonts w:ascii="Times New Roman" w:hAnsi="Times New Roman" w:cs="Times New Roman"/>
        </w:rPr>
        <w:sectPr>
          <w:headerReference r:id="rId9" w:type="default"/>
          <w:footerReference r:id="rId10" w:type="default"/>
          <w:pgSz w:w="16838" w:h="11906" w:orient="landscape"/>
          <w:pgMar w:top="1800" w:right="1440" w:bottom="1800" w:left="1440" w:header="851" w:footer="992" w:gutter="0"/>
          <w:cols w:space="720" w:num="1"/>
          <w:docGrid w:type="lines" w:linePitch="312" w:charSpace="0"/>
        </w:sectPr>
      </w:pPr>
    </w:p>
    <w:p w14:paraId="22641988">
      <w:pPr>
        <w:pStyle w:val="6"/>
        <w:shd w:val="clear" w:color="auto" w:fill="FFFFFF"/>
        <w:spacing w:beforeAutospacing="0" w:afterAutospacing="0" w:line="560" w:lineRule="exact"/>
        <w:ind w:left="1320" w:hanging="1320" w:hangingChars="300"/>
        <w:jc w:val="center"/>
        <w:rPr>
          <w:rFonts w:ascii="Times New Roman" w:hAnsi="Times New Roman" w:eastAsia="方正小标宋_GBK" w:cs="Times New Roman"/>
          <w:sz w:val="44"/>
          <w:szCs w:val="44"/>
          <w:shd w:val="clear" w:color="auto" w:fill="FFFFFF"/>
        </w:rPr>
      </w:pPr>
      <w:r>
        <w:rPr>
          <w:rFonts w:ascii="Times New Roman" w:hAnsi="Times New Roman" w:eastAsia="方正小标宋_GBK" w:cs="Times New Roman"/>
          <w:sz w:val="44"/>
          <w:szCs w:val="44"/>
          <w:shd w:val="clear" w:color="auto" w:fill="FFFFFF"/>
        </w:rPr>
        <w:t>官渡区烟花爆竹事故应急预案</w:t>
      </w:r>
    </w:p>
    <w:p w14:paraId="062D11CC">
      <w:pPr>
        <w:pStyle w:val="6"/>
        <w:shd w:val="clear" w:color="auto" w:fill="FFFFFF"/>
        <w:spacing w:beforeAutospacing="0" w:afterAutospacing="0" w:line="560" w:lineRule="exact"/>
        <w:ind w:firstLine="320" w:firstLineChars="100"/>
        <w:jc w:val="both"/>
        <w:rPr>
          <w:rFonts w:ascii="Times New Roman" w:hAnsi="Times New Roman" w:eastAsia="仿宋_GB2312" w:cs="Times New Roman"/>
          <w:sz w:val="32"/>
          <w:szCs w:val="32"/>
        </w:rPr>
      </w:pPr>
    </w:p>
    <w:p w14:paraId="5EE6A18A">
      <w:pPr>
        <w:spacing w:line="560" w:lineRule="exact"/>
        <w:ind w:firstLine="640" w:firstLineChars="200"/>
        <w:rPr>
          <w:rFonts w:ascii="Times New Roman" w:hAnsi="Times New Roman" w:eastAsia="黑体"/>
          <w:bCs/>
          <w:sz w:val="32"/>
          <w:szCs w:val="32"/>
          <w:shd w:val="clear" w:color="auto" w:fill="FFFFFF"/>
        </w:rPr>
      </w:pPr>
      <w:r>
        <w:rPr>
          <w:rFonts w:ascii="Times New Roman" w:hAnsi="Times New Roman" w:eastAsia="黑体"/>
          <w:bCs/>
          <w:sz w:val="32"/>
          <w:szCs w:val="32"/>
          <w:shd w:val="clear" w:color="auto" w:fill="FFFFFF"/>
        </w:rPr>
        <w:t>1总则</w:t>
      </w:r>
    </w:p>
    <w:p w14:paraId="600B471D">
      <w:pPr>
        <w:spacing w:line="560" w:lineRule="exact"/>
        <w:ind w:firstLine="640" w:firstLineChars="200"/>
        <w:rPr>
          <w:rFonts w:ascii="Times New Roman" w:hAnsi="Times New Roman" w:eastAsia="楷体_GB2312"/>
          <w:bCs/>
          <w:sz w:val="32"/>
          <w:szCs w:val="32"/>
          <w:shd w:val="clear" w:color="auto" w:fill="FFFFFF"/>
        </w:rPr>
      </w:pPr>
      <w:r>
        <w:rPr>
          <w:rFonts w:ascii="Times New Roman" w:hAnsi="Times New Roman" w:eastAsia="楷体_GB2312"/>
          <w:bCs/>
          <w:sz w:val="32"/>
          <w:szCs w:val="32"/>
          <w:shd w:val="clear" w:color="auto" w:fill="FFFFFF"/>
        </w:rPr>
        <w:t>1.1编制目的</w:t>
      </w:r>
    </w:p>
    <w:p w14:paraId="03442453">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shd w:val="clear" w:color="auto" w:fill="FFFFFF"/>
        </w:rPr>
        <w:t>为及时、妥善应对官渡区</w:t>
      </w:r>
      <w:r>
        <w:rPr>
          <w:rFonts w:ascii="Times New Roman" w:hAnsi="Times New Roman" w:eastAsia="仿宋_GB2312"/>
          <w:sz w:val="32"/>
          <w:szCs w:val="32"/>
        </w:rPr>
        <w:t>烟花爆竹事故</w:t>
      </w:r>
      <w:r>
        <w:rPr>
          <w:rFonts w:ascii="Times New Roman" w:hAnsi="Times New Roman" w:eastAsia="仿宋_GB2312"/>
          <w:sz w:val="32"/>
          <w:szCs w:val="32"/>
          <w:shd w:val="clear" w:color="auto" w:fill="FFFFFF"/>
        </w:rPr>
        <w:t>的应急救援工作，</w:t>
      </w:r>
      <w:r>
        <w:rPr>
          <w:rFonts w:ascii="Times New Roman" w:hAnsi="Times New Roman" w:eastAsia="仿宋_GB2312"/>
          <w:sz w:val="32"/>
          <w:szCs w:val="32"/>
        </w:rPr>
        <w:t>提高对烟花爆竹事故的应对能力</w:t>
      </w:r>
      <w:r>
        <w:rPr>
          <w:rFonts w:ascii="Times New Roman" w:hAnsi="Times New Roman" w:eastAsia="仿宋_GB2312"/>
          <w:sz w:val="32"/>
          <w:szCs w:val="32"/>
          <w:shd w:val="clear" w:color="auto" w:fill="FFFFFF"/>
        </w:rPr>
        <w:t>，</w:t>
      </w:r>
      <w:r>
        <w:rPr>
          <w:rFonts w:ascii="Times New Roman" w:hAnsi="Times New Roman" w:eastAsia="仿宋_GB2312"/>
          <w:sz w:val="32"/>
          <w:szCs w:val="32"/>
        </w:rPr>
        <w:t>最大程度地预防和减少突发烟花爆竹事故及其造成的损害，保障公众生命和国家财产安全，保证正常社会秩序，维护社会稳定，促进社会发展，确保在发生突发烟花爆竹事故时，采取有效措施控制事故，制定本预案。</w:t>
      </w:r>
    </w:p>
    <w:p w14:paraId="3B3C4B21">
      <w:pPr>
        <w:spacing w:line="560" w:lineRule="exact"/>
        <w:ind w:firstLine="640" w:firstLineChars="200"/>
        <w:rPr>
          <w:rFonts w:ascii="Times New Roman" w:hAnsi="Times New Roman" w:eastAsia="楷体_GB2312"/>
          <w:bCs/>
          <w:sz w:val="32"/>
          <w:szCs w:val="32"/>
          <w:shd w:val="clear" w:color="auto" w:fill="FFFFFF"/>
        </w:rPr>
      </w:pPr>
      <w:r>
        <w:rPr>
          <w:rFonts w:ascii="Times New Roman" w:hAnsi="Times New Roman" w:eastAsia="楷体_GB2312"/>
          <w:bCs/>
          <w:sz w:val="32"/>
          <w:szCs w:val="32"/>
          <w:shd w:val="clear" w:color="auto" w:fill="FFFFFF"/>
        </w:rPr>
        <w:t>1.2编制依据</w:t>
      </w:r>
    </w:p>
    <w:p w14:paraId="046F5C2D">
      <w:pPr>
        <w:spacing w:line="560" w:lineRule="exact"/>
        <w:ind w:firstLine="640" w:firstLineChars="200"/>
        <w:rPr>
          <w:rFonts w:ascii="Times New Roman" w:hAnsi="Times New Roman" w:eastAsia="仿宋_GB2312"/>
          <w:sz w:val="32"/>
          <w:szCs w:val="32"/>
          <w:shd w:val="clear" w:color="auto" w:fill="FFFFFF"/>
        </w:rPr>
      </w:pPr>
      <w:r>
        <w:rPr>
          <w:rFonts w:ascii="Times New Roman" w:hAnsi="Times New Roman" w:eastAsia="仿宋_GB2312"/>
          <w:sz w:val="32"/>
          <w:szCs w:val="32"/>
        </w:rPr>
        <w:t>《中华人民共和国安全生产法》、《中华人民共和国消防法》、《中华人民共和国突发事件应对法》、《生产安全事故报告和调查处理条例》、《危险化学品安全管理条例》、《烟花爆竹安全管理条例》、《烟花爆竹经营许可实施办法》、《云南省突发事件应急预案管理办法》、《官渡区经营燃放烟花爆竹安全管理规定》、《官渡区突发事件应急预案管理规范》和《昆明市烟花爆竹事故应急预案》</w:t>
      </w:r>
      <w:r>
        <w:rPr>
          <w:rFonts w:ascii="Times New Roman" w:hAnsi="Times New Roman" w:eastAsia="仿宋_GB2312"/>
          <w:sz w:val="32"/>
          <w:szCs w:val="32"/>
          <w:shd w:val="clear" w:color="auto" w:fill="FFFFFF"/>
        </w:rPr>
        <w:t>等。</w:t>
      </w:r>
    </w:p>
    <w:p w14:paraId="3E0D93C4">
      <w:pPr>
        <w:spacing w:line="560" w:lineRule="exact"/>
        <w:ind w:firstLine="627" w:firstLineChars="196"/>
        <w:rPr>
          <w:rFonts w:ascii="Times New Roman" w:hAnsi="Times New Roman" w:eastAsia="楷体_GB2312"/>
          <w:bCs/>
          <w:sz w:val="32"/>
          <w:szCs w:val="32"/>
          <w:shd w:val="clear" w:color="auto" w:fill="FFFFFF"/>
        </w:rPr>
      </w:pPr>
      <w:r>
        <w:rPr>
          <w:rFonts w:ascii="Times New Roman" w:hAnsi="Times New Roman" w:eastAsia="楷体_GB2312"/>
          <w:bCs/>
          <w:sz w:val="32"/>
          <w:szCs w:val="32"/>
          <w:shd w:val="clear" w:color="auto" w:fill="FFFFFF"/>
        </w:rPr>
        <w:t>1.3工作原则</w:t>
      </w:r>
    </w:p>
    <w:p w14:paraId="471B8B87">
      <w:pPr>
        <w:spacing w:line="560" w:lineRule="exact"/>
        <w:ind w:firstLine="627" w:firstLineChars="196"/>
        <w:rPr>
          <w:rFonts w:ascii="Times New Roman" w:hAnsi="Times New Roman" w:eastAsia="仿宋_GB2312"/>
          <w:sz w:val="32"/>
          <w:szCs w:val="32"/>
        </w:rPr>
      </w:pPr>
      <w:r>
        <w:rPr>
          <w:rFonts w:ascii="Times New Roman" w:hAnsi="Times New Roman" w:eastAsia="仿宋_GB2312"/>
          <w:sz w:val="32"/>
          <w:szCs w:val="32"/>
        </w:rPr>
        <w:t>以人为本、预防为主，统一指挥、分级负责，条块结合、区域为主，单位自救和社会救援相结合。</w:t>
      </w:r>
    </w:p>
    <w:p w14:paraId="53BD5F46">
      <w:pPr>
        <w:spacing w:line="560" w:lineRule="exact"/>
        <w:ind w:firstLine="627" w:firstLineChars="196"/>
        <w:rPr>
          <w:rFonts w:ascii="Times New Roman" w:hAnsi="Times New Roman" w:eastAsia="楷体_GB2312"/>
          <w:bCs/>
          <w:sz w:val="32"/>
          <w:szCs w:val="32"/>
          <w:shd w:val="clear" w:color="auto" w:fill="FFFFFF"/>
        </w:rPr>
      </w:pPr>
      <w:r>
        <w:rPr>
          <w:rFonts w:ascii="Times New Roman" w:hAnsi="Times New Roman" w:eastAsia="楷体_GB2312"/>
          <w:bCs/>
          <w:sz w:val="32"/>
          <w:szCs w:val="32"/>
          <w:shd w:val="clear" w:color="auto" w:fill="FFFFFF"/>
        </w:rPr>
        <w:t>1.4适用范围</w:t>
      </w:r>
    </w:p>
    <w:p w14:paraId="17F717D2">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本预案适用于官渡区行政区域内储存、销售、运输过程中发生的一般、较重、严重、特别严重的烟花爆竹事故。</w:t>
      </w:r>
    </w:p>
    <w:p w14:paraId="338949CE">
      <w:pPr>
        <w:spacing w:line="560" w:lineRule="exact"/>
        <w:ind w:firstLine="640" w:firstLineChars="200"/>
        <w:rPr>
          <w:rFonts w:ascii="Times New Roman" w:hAnsi="Times New Roman" w:eastAsia="黑体"/>
          <w:sz w:val="32"/>
          <w:szCs w:val="32"/>
        </w:rPr>
      </w:pPr>
      <w:r>
        <w:rPr>
          <w:rFonts w:ascii="Times New Roman" w:hAnsi="Times New Roman" w:eastAsia="黑体"/>
          <w:sz w:val="32"/>
          <w:szCs w:val="32"/>
        </w:rPr>
        <w:t>2组织体系</w:t>
      </w:r>
    </w:p>
    <w:p w14:paraId="239680B5">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在发生烟花爆竹事故时官渡区安全生产委员会自动转为区烟花爆竹事故应急指挥部（以下简称应急指挥部），并迅速成立区烟花爆竹应急现场救援指挥部（以下简称现场指挥部），负责统一组织和指挥全区的烟花爆竹重大事故救援工作。</w:t>
      </w:r>
    </w:p>
    <w:p w14:paraId="46FD3140">
      <w:pPr>
        <w:spacing w:line="560" w:lineRule="exact"/>
        <w:ind w:firstLine="627" w:firstLineChars="196"/>
        <w:rPr>
          <w:rFonts w:ascii="Times New Roman" w:hAnsi="Times New Roman" w:eastAsia="楷体_GB2312"/>
          <w:bCs/>
          <w:sz w:val="32"/>
          <w:szCs w:val="32"/>
          <w:shd w:val="clear" w:color="auto" w:fill="FFFFFF"/>
        </w:rPr>
      </w:pPr>
      <w:r>
        <w:rPr>
          <w:rFonts w:ascii="Times New Roman" w:hAnsi="Times New Roman" w:eastAsia="楷体_GB2312"/>
          <w:bCs/>
          <w:sz w:val="32"/>
          <w:szCs w:val="32"/>
          <w:shd w:val="clear" w:color="auto" w:fill="FFFFFF"/>
        </w:rPr>
        <w:t>2.1指挥机构及其职责</w:t>
      </w:r>
    </w:p>
    <w:p w14:paraId="00D25FF9">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应急指挥部是处置本区行政区域内发生烟花爆竹事故的领导机构。其主要职责是：</w:t>
      </w:r>
    </w:p>
    <w:p w14:paraId="4F519E50">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（1）负责授权各职能部门实施应急救援需要的所有工作，统一规划应急力量和资源，组织检查应急预案的编制、审查、备案工作；</w:t>
      </w:r>
    </w:p>
    <w:p w14:paraId="038F93E2">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（2）组织检查应急救援机构的应急准备工作情况，组织指挥应急演练和培训；</w:t>
      </w:r>
    </w:p>
    <w:p w14:paraId="4FE64B93">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（3）组建并管理各类事件应急救援专家组；</w:t>
      </w:r>
    </w:p>
    <w:p w14:paraId="65C9374B">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（4）甄别烟花爆竹事故的等级，及时发布预警信息，保持应急体系正常联络；</w:t>
      </w:r>
    </w:p>
    <w:p w14:paraId="29E2421C">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（5）组织应急救援；</w:t>
      </w:r>
    </w:p>
    <w:p w14:paraId="5B794366">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（6）做好善后及灾后恢复工作。</w:t>
      </w:r>
    </w:p>
    <w:p w14:paraId="64DD67F3">
      <w:pPr>
        <w:spacing w:line="560" w:lineRule="exact"/>
        <w:ind w:firstLine="640" w:firstLineChars="200"/>
        <w:rPr>
          <w:rFonts w:ascii="Times New Roman" w:hAnsi="Times New Roman" w:eastAsia="楷体_GB2312"/>
          <w:bCs/>
          <w:sz w:val="32"/>
          <w:szCs w:val="32"/>
          <w:shd w:val="clear" w:color="auto" w:fill="FFFFFF"/>
        </w:rPr>
      </w:pPr>
      <w:r>
        <w:rPr>
          <w:rFonts w:ascii="Times New Roman" w:hAnsi="Times New Roman" w:eastAsia="楷体_GB2312"/>
          <w:bCs/>
          <w:sz w:val="32"/>
          <w:szCs w:val="32"/>
          <w:shd w:val="clear" w:color="auto" w:fill="FFFFFF"/>
        </w:rPr>
        <w:t>2.2总指挥和副总指挥及其职责</w:t>
      </w:r>
    </w:p>
    <w:p w14:paraId="00BED604">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应急指挥部总指挥由负责分管应急管理工作的副区长担任，负责本区烟花爆竹事故应急处置的全面工作。</w:t>
      </w:r>
    </w:p>
    <w:p w14:paraId="7A1A2B5A">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应急指挥部副总指挥由区应急局局长、市公安局官渡分局分管副局长担任，负责协助总指挥做好各项应急工作，协调各成员单位参与烟花爆竹事故抢险救援以及督查检查责任制落实工作。</w:t>
      </w:r>
    </w:p>
    <w:p w14:paraId="43A58D3F">
      <w:pPr>
        <w:spacing w:line="560" w:lineRule="exact"/>
        <w:ind w:firstLine="640" w:firstLineChars="200"/>
        <w:rPr>
          <w:rFonts w:ascii="Times New Roman" w:hAnsi="Times New Roman" w:eastAsia="楷体_GB2312"/>
          <w:bCs/>
          <w:sz w:val="32"/>
          <w:szCs w:val="32"/>
          <w:shd w:val="clear" w:color="auto" w:fill="FFFFFF"/>
        </w:rPr>
      </w:pPr>
      <w:r>
        <w:rPr>
          <w:rFonts w:ascii="Times New Roman" w:hAnsi="Times New Roman" w:eastAsia="楷体_GB2312"/>
          <w:bCs/>
          <w:sz w:val="32"/>
          <w:szCs w:val="32"/>
          <w:shd w:val="clear" w:color="auto" w:fill="FFFFFF"/>
        </w:rPr>
        <w:t>2.3应急机构及职责</w:t>
      </w:r>
    </w:p>
    <w:p w14:paraId="4C78389F">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应急指挥部下设办公室在区应急局，办公室主任由区应急局分管副局长担任，负责组织、协调、指导、检查本区烟花爆竹事故的预防和应对工作，主要职责是：</w:t>
      </w:r>
    </w:p>
    <w:p w14:paraId="789456D1">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（1）组织落实应急指挥部的决定，协调和调动成员单位应对烟花爆竹事故有关工作；</w:t>
      </w:r>
    </w:p>
    <w:p w14:paraId="7026365F">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（2）组织制定、修订本区烟花爆竹事故应急预案，指导街道制定和修订烟花爆竹事故应急预案；</w:t>
      </w:r>
    </w:p>
    <w:p w14:paraId="2DE8F647">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（3）负责本区应对烟花爆竹事故的宣传教育和培训；</w:t>
      </w:r>
    </w:p>
    <w:p w14:paraId="41F200A1">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（4）负责收集和汇总本区烟花爆竹事故信息，并及时向应急指挥部报告；</w:t>
      </w:r>
    </w:p>
    <w:p w14:paraId="3832CE32">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（5）负责本区烟花爆竹事故应急救援演练工作；</w:t>
      </w:r>
    </w:p>
    <w:p w14:paraId="4EC2C155">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（6）负责本区烟花爆竹安全隐患的排查整治和应急资源的管理工作；</w:t>
      </w:r>
    </w:p>
    <w:p w14:paraId="64E7F020">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（7）负责本区烟花爆竹事故专家组的日常管理工作。</w:t>
      </w:r>
    </w:p>
    <w:p w14:paraId="2290D6EB">
      <w:pPr>
        <w:spacing w:line="560" w:lineRule="exact"/>
        <w:ind w:firstLine="627" w:firstLineChars="196"/>
        <w:rPr>
          <w:rFonts w:ascii="Times New Roman" w:hAnsi="Times New Roman" w:eastAsia="楷体_GB2312"/>
          <w:bCs/>
          <w:sz w:val="32"/>
          <w:szCs w:val="32"/>
          <w:shd w:val="clear" w:color="auto" w:fill="FFFFFF"/>
        </w:rPr>
      </w:pPr>
      <w:r>
        <w:rPr>
          <w:rFonts w:ascii="Times New Roman" w:hAnsi="Times New Roman" w:eastAsia="楷体_GB2312"/>
          <w:bCs/>
          <w:sz w:val="32"/>
          <w:szCs w:val="32"/>
          <w:shd w:val="clear" w:color="auto" w:fill="FFFFFF"/>
        </w:rPr>
        <w:t>2.4现场指挥部及其职责</w:t>
      </w:r>
    </w:p>
    <w:p w14:paraId="159015ED">
      <w:pPr>
        <w:spacing w:line="560" w:lineRule="exact"/>
        <w:ind w:firstLine="627" w:firstLineChars="196"/>
        <w:rPr>
          <w:rFonts w:ascii="Times New Roman" w:hAnsi="Times New Roman" w:eastAsia="仿宋_GB2312"/>
          <w:sz w:val="32"/>
          <w:szCs w:val="32"/>
        </w:rPr>
      </w:pPr>
      <w:r>
        <w:rPr>
          <w:rFonts w:ascii="Times New Roman" w:hAnsi="Times New Roman" w:eastAsia="仿宋_GB2312"/>
          <w:sz w:val="32"/>
          <w:szCs w:val="32"/>
        </w:rPr>
        <w:t>现场指挥部负责组织、指挥、协调烟花爆竹事故现场救援工作，其主要职责是：</w:t>
      </w:r>
    </w:p>
    <w:p w14:paraId="2951D67D">
      <w:pPr>
        <w:spacing w:line="560" w:lineRule="exact"/>
        <w:ind w:firstLine="627" w:firstLineChars="196"/>
        <w:rPr>
          <w:rFonts w:ascii="Times New Roman" w:hAnsi="Times New Roman" w:eastAsia="仿宋_GB2312"/>
          <w:sz w:val="32"/>
          <w:szCs w:val="32"/>
        </w:rPr>
      </w:pPr>
      <w:r>
        <w:rPr>
          <w:rFonts w:ascii="Times New Roman" w:hAnsi="Times New Roman" w:eastAsia="仿宋_GB2312"/>
          <w:sz w:val="32"/>
          <w:szCs w:val="32"/>
        </w:rPr>
        <w:t>（1）执行应急指挥部、应急指挥部办公室的命令和指示；</w:t>
      </w:r>
    </w:p>
    <w:p w14:paraId="704A99D5">
      <w:pPr>
        <w:spacing w:line="560" w:lineRule="exact"/>
        <w:ind w:firstLine="627" w:firstLineChars="196"/>
        <w:rPr>
          <w:rFonts w:ascii="Times New Roman" w:hAnsi="Times New Roman" w:eastAsia="仿宋_GB2312"/>
          <w:sz w:val="32"/>
          <w:szCs w:val="32"/>
        </w:rPr>
      </w:pPr>
      <w:r>
        <w:rPr>
          <w:rFonts w:ascii="Times New Roman" w:hAnsi="Times New Roman" w:eastAsia="仿宋_GB2312"/>
          <w:sz w:val="32"/>
          <w:szCs w:val="32"/>
        </w:rPr>
        <w:t>（2）指挥、协调现场应急救援工作；</w:t>
      </w:r>
    </w:p>
    <w:p w14:paraId="446580B5">
      <w:pPr>
        <w:spacing w:line="560" w:lineRule="exact"/>
        <w:ind w:firstLine="627" w:firstLineChars="196"/>
        <w:rPr>
          <w:rFonts w:ascii="Times New Roman" w:hAnsi="Times New Roman" w:eastAsia="仿宋_GB2312"/>
          <w:sz w:val="32"/>
          <w:szCs w:val="32"/>
        </w:rPr>
      </w:pPr>
      <w:r>
        <w:rPr>
          <w:rFonts w:ascii="Times New Roman" w:hAnsi="Times New Roman" w:eastAsia="仿宋_GB2312"/>
          <w:sz w:val="32"/>
          <w:szCs w:val="32"/>
        </w:rPr>
        <w:t>（3）制定、实施救援方案，组织现场人员进行抢救；</w:t>
      </w:r>
    </w:p>
    <w:p w14:paraId="217AF8AF">
      <w:pPr>
        <w:spacing w:line="560" w:lineRule="exact"/>
        <w:ind w:firstLine="627" w:firstLineChars="196"/>
        <w:rPr>
          <w:rFonts w:ascii="Times New Roman" w:hAnsi="Times New Roman" w:eastAsia="仿宋_GB2312"/>
          <w:sz w:val="32"/>
          <w:szCs w:val="32"/>
        </w:rPr>
      </w:pPr>
      <w:r>
        <w:rPr>
          <w:rFonts w:ascii="Times New Roman" w:hAnsi="Times New Roman" w:eastAsia="仿宋_GB2312"/>
          <w:sz w:val="32"/>
          <w:szCs w:val="32"/>
        </w:rPr>
        <w:t>（4）组织确定救援现场的范围，协调实施必要的交通管制和强制措施；</w:t>
      </w:r>
    </w:p>
    <w:p w14:paraId="794625D7">
      <w:pPr>
        <w:spacing w:line="560" w:lineRule="exact"/>
        <w:ind w:firstLine="627" w:firstLineChars="196"/>
        <w:rPr>
          <w:rFonts w:ascii="Times New Roman" w:hAnsi="Times New Roman" w:eastAsia="仿宋_GB2312"/>
          <w:sz w:val="32"/>
          <w:szCs w:val="32"/>
        </w:rPr>
      </w:pPr>
      <w:r>
        <w:rPr>
          <w:rFonts w:ascii="Times New Roman" w:hAnsi="Times New Roman" w:eastAsia="仿宋_GB2312"/>
          <w:sz w:val="32"/>
          <w:szCs w:val="32"/>
        </w:rPr>
        <w:t>（5）负责发布和解除应急救援命令和信号；</w:t>
      </w:r>
    </w:p>
    <w:p w14:paraId="1FCA1B89">
      <w:pPr>
        <w:spacing w:line="560" w:lineRule="exact"/>
        <w:ind w:firstLine="627" w:firstLineChars="196"/>
        <w:rPr>
          <w:rFonts w:ascii="Times New Roman" w:hAnsi="Times New Roman" w:eastAsia="仿宋_GB2312"/>
          <w:sz w:val="32"/>
          <w:szCs w:val="32"/>
        </w:rPr>
      </w:pPr>
      <w:r>
        <w:rPr>
          <w:rFonts w:ascii="Times New Roman" w:hAnsi="Times New Roman" w:eastAsia="仿宋_GB2312"/>
          <w:sz w:val="32"/>
          <w:szCs w:val="32"/>
        </w:rPr>
        <w:t>（6）及时反馈现场信息，核实伤亡情况和经济损失，向应急指挥部提供决策依据；</w:t>
      </w:r>
    </w:p>
    <w:p w14:paraId="69A273C4">
      <w:pPr>
        <w:spacing w:line="560" w:lineRule="exact"/>
        <w:ind w:firstLine="627" w:firstLineChars="196"/>
        <w:rPr>
          <w:rFonts w:ascii="Times New Roman" w:hAnsi="Times New Roman" w:eastAsia="仿宋_GB2312"/>
          <w:sz w:val="32"/>
          <w:szCs w:val="32"/>
        </w:rPr>
      </w:pPr>
      <w:r>
        <w:rPr>
          <w:rFonts w:ascii="Times New Roman" w:hAnsi="Times New Roman" w:eastAsia="仿宋_GB2312"/>
          <w:sz w:val="32"/>
          <w:szCs w:val="32"/>
        </w:rPr>
        <w:t>（7）根据现场救援需求，协调有关部门紧急调度水、电、车辆、通信等应急救援装备和物资。必要时由应急指挥部办公室向上级部门请示，在人员、技术、物资等方面给予支持和配合；</w:t>
      </w:r>
    </w:p>
    <w:p w14:paraId="1576A34D">
      <w:pPr>
        <w:spacing w:line="560" w:lineRule="exact"/>
        <w:ind w:firstLine="627" w:firstLineChars="196"/>
        <w:rPr>
          <w:rFonts w:ascii="Times New Roman" w:hAnsi="Times New Roman" w:eastAsia="仿宋_GB2312"/>
          <w:sz w:val="32"/>
          <w:szCs w:val="32"/>
        </w:rPr>
      </w:pPr>
      <w:r>
        <w:rPr>
          <w:rFonts w:ascii="Times New Roman" w:hAnsi="Times New Roman" w:eastAsia="仿宋_GB2312"/>
          <w:sz w:val="32"/>
          <w:szCs w:val="32"/>
        </w:rPr>
        <w:t>（8）组织事故调查，善后处理等有关事宜；</w:t>
      </w:r>
    </w:p>
    <w:p w14:paraId="1247D5E1">
      <w:pPr>
        <w:spacing w:line="560" w:lineRule="exact"/>
        <w:ind w:firstLine="627" w:firstLineChars="196"/>
        <w:rPr>
          <w:rFonts w:ascii="Times New Roman" w:hAnsi="Times New Roman" w:eastAsia="仿宋_GB2312"/>
          <w:sz w:val="32"/>
          <w:szCs w:val="32"/>
        </w:rPr>
      </w:pPr>
      <w:r>
        <w:rPr>
          <w:rFonts w:ascii="Times New Roman" w:hAnsi="Times New Roman" w:eastAsia="仿宋_GB2312"/>
          <w:sz w:val="32"/>
          <w:szCs w:val="32"/>
        </w:rPr>
        <w:t>（9）掌握和报告重要情况，并及时向应急指挥部办公室和有关部门通报事件处置情况。</w:t>
      </w:r>
    </w:p>
    <w:p w14:paraId="54EF964B">
      <w:pPr>
        <w:spacing w:line="560" w:lineRule="exact"/>
        <w:ind w:firstLine="627" w:firstLineChars="196"/>
        <w:rPr>
          <w:rFonts w:ascii="Times New Roman" w:hAnsi="Times New Roman" w:eastAsia="楷体_GB2312"/>
          <w:bCs/>
          <w:sz w:val="32"/>
          <w:szCs w:val="32"/>
          <w:shd w:val="clear" w:color="auto" w:fill="FFFFFF"/>
        </w:rPr>
      </w:pPr>
      <w:r>
        <w:rPr>
          <w:rFonts w:ascii="Times New Roman" w:hAnsi="Times New Roman" w:eastAsia="楷体_GB2312"/>
          <w:bCs/>
          <w:sz w:val="32"/>
          <w:szCs w:val="32"/>
          <w:shd w:val="clear" w:color="auto" w:fill="FFFFFF"/>
        </w:rPr>
        <w:t>2.5成员单位及其职责</w:t>
      </w:r>
    </w:p>
    <w:p w14:paraId="77D5BFEB">
      <w:pPr>
        <w:spacing w:line="560" w:lineRule="exact"/>
        <w:ind w:firstLine="627" w:firstLineChars="196"/>
        <w:rPr>
          <w:rFonts w:ascii="Times New Roman" w:hAnsi="Times New Roman" w:eastAsia="仿宋_GB2312"/>
          <w:sz w:val="32"/>
          <w:szCs w:val="32"/>
        </w:rPr>
      </w:pPr>
      <w:r>
        <w:rPr>
          <w:rFonts w:ascii="Times New Roman" w:hAnsi="Times New Roman" w:eastAsia="仿宋_GB2312"/>
          <w:sz w:val="32"/>
          <w:szCs w:val="32"/>
        </w:rPr>
        <w:t>现场指挥部由</w:t>
      </w:r>
      <w:r>
        <w:rPr>
          <w:rFonts w:ascii="Times New Roman" w:hAnsi="Times New Roman" w:eastAsia="仿宋_GB2312"/>
          <w:snapToGrid w:val="0"/>
          <w:sz w:val="32"/>
          <w:szCs w:val="32"/>
        </w:rPr>
        <w:t>区融媒体中心、</w:t>
      </w:r>
      <w:r>
        <w:rPr>
          <w:rFonts w:ascii="Times New Roman" w:hAnsi="Times New Roman" w:eastAsia="仿宋_GB2312"/>
          <w:sz w:val="32"/>
          <w:szCs w:val="32"/>
        </w:rPr>
        <w:t>区应急局、区发展改革局、市公安局官渡分局、市交警三大队、区消防救援大队、</w:t>
      </w:r>
      <w:r>
        <w:rPr>
          <w:rFonts w:ascii="Times New Roman" w:hAnsi="Times New Roman" w:eastAsia="仿宋_GB2312"/>
          <w:snapToGrid w:val="0"/>
          <w:sz w:val="32"/>
          <w:szCs w:val="32"/>
        </w:rPr>
        <w:t>区商务投资促进局、</w:t>
      </w:r>
      <w:r>
        <w:rPr>
          <w:rFonts w:ascii="Times New Roman" w:hAnsi="Times New Roman" w:eastAsia="仿宋_GB2312"/>
          <w:sz w:val="32"/>
          <w:szCs w:val="32"/>
        </w:rPr>
        <w:t>区市场监管局</w:t>
      </w:r>
      <w:r>
        <w:rPr>
          <w:rFonts w:ascii="Times New Roman" w:hAnsi="Times New Roman" w:eastAsia="仿宋_GB2312"/>
          <w:snapToGrid w:val="0"/>
          <w:sz w:val="32"/>
          <w:szCs w:val="32"/>
        </w:rPr>
        <w:t>、</w:t>
      </w:r>
      <w:r>
        <w:rPr>
          <w:rFonts w:ascii="Times New Roman" w:hAnsi="Times New Roman" w:eastAsia="仿宋_GB2312"/>
          <w:sz w:val="32"/>
          <w:szCs w:val="32"/>
        </w:rPr>
        <w:t>区民政局、区教育体育局、市生态环境局官渡分局、区住房城乡建设局、区运管分局、区运管分局、区水务局、区文化和旅游局、区卫生健康局、区城市管理局、</w:t>
      </w:r>
      <w:r>
        <w:rPr>
          <w:rFonts w:ascii="Times New Roman" w:hAnsi="Times New Roman" w:eastAsia="仿宋_GB2312"/>
          <w:sz w:val="32"/>
          <w:szCs w:val="28"/>
        </w:rPr>
        <w:t>昆明市官渡区气象局</w:t>
      </w:r>
      <w:r>
        <w:rPr>
          <w:rFonts w:ascii="Times New Roman" w:hAnsi="Times New Roman" w:eastAsia="仿宋_GB2312"/>
          <w:sz w:val="32"/>
          <w:szCs w:val="32"/>
        </w:rPr>
        <w:t>和街道办事处等组成。</w:t>
      </w:r>
    </w:p>
    <w:p w14:paraId="3A4088A8">
      <w:pPr>
        <w:spacing w:line="560" w:lineRule="exact"/>
        <w:ind w:firstLine="627" w:firstLineChars="196"/>
        <w:rPr>
          <w:rFonts w:ascii="Times New Roman" w:hAnsi="Times New Roman" w:eastAsia="仿宋_GB2312"/>
          <w:snapToGrid w:val="0"/>
          <w:sz w:val="32"/>
          <w:szCs w:val="32"/>
        </w:rPr>
      </w:pPr>
      <w:r>
        <w:rPr>
          <w:rFonts w:ascii="Times New Roman" w:hAnsi="Times New Roman" w:eastAsia="仿宋_GB2312"/>
          <w:snapToGrid w:val="0"/>
          <w:sz w:val="32"/>
          <w:szCs w:val="32"/>
        </w:rPr>
        <w:t>现场总指挥由应急指挥部指定，现场指挥部涉及重大事项应先向应急指挥部报告后处置，情况紧急可边报告边处置，进入救援现场的成员单位必须无条件服从现场指挥部指挥。</w:t>
      </w:r>
    </w:p>
    <w:p w14:paraId="0144E552">
      <w:pPr>
        <w:spacing w:line="560" w:lineRule="exact"/>
        <w:ind w:firstLine="627" w:firstLineChars="196"/>
        <w:rPr>
          <w:rFonts w:ascii="Times New Roman" w:hAnsi="Times New Roman" w:eastAsia="楷体_GB2312"/>
          <w:bCs/>
          <w:sz w:val="32"/>
          <w:szCs w:val="32"/>
          <w:shd w:val="clear" w:color="auto" w:fill="FFFFFF"/>
        </w:rPr>
      </w:pPr>
      <w:r>
        <w:rPr>
          <w:rFonts w:ascii="Times New Roman" w:hAnsi="Times New Roman" w:eastAsia="楷体_GB2312"/>
          <w:bCs/>
          <w:sz w:val="32"/>
          <w:szCs w:val="32"/>
          <w:shd w:val="clear" w:color="auto" w:fill="FFFFFF"/>
        </w:rPr>
        <w:t>2.6现场应急工作组及其职责</w:t>
      </w:r>
    </w:p>
    <w:p w14:paraId="2CCE683E">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根据应急指挥部的命令和现场发生的事故情况，现场指挥部可下设现场专项工作小组，负责相应的现场救援处置工作。</w:t>
      </w:r>
    </w:p>
    <w:p w14:paraId="40E048CC">
      <w:pPr>
        <w:spacing w:line="560" w:lineRule="exact"/>
        <w:ind w:firstLine="640" w:firstLineChars="200"/>
        <w:rPr>
          <w:rFonts w:ascii="Times New Roman" w:hAnsi="Times New Roman" w:eastAsia="仿宋_GB2312"/>
          <w:sz w:val="32"/>
          <w:szCs w:val="32"/>
          <w:shd w:val="clear" w:color="auto" w:fill="FFFFFF"/>
        </w:rPr>
      </w:pPr>
      <w:r>
        <w:rPr>
          <w:rFonts w:ascii="Times New Roman" w:hAnsi="Times New Roman" w:eastAsia="仿宋_GB2312"/>
          <w:sz w:val="32"/>
          <w:szCs w:val="32"/>
        </w:rPr>
        <w:t>（1）综合协调组。由区应急局牵头，负责现场指挥的全面工作。</w:t>
      </w:r>
      <w:r>
        <w:rPr>
          <w:rFonts w:ascii="Times New Roman" w:hAnsi="Times New Roman" w:eastAsia="仿宋_GB2312"/>
          <w:sz w:val="32"/>
          <w:szCs w:val="32"/>
          <w:shd w:val="clear" w:color="auto" w:fill="FFFFFF"/>
        </w:rPr>
        <w:t>主要负责接收、核实、汇总、上报突发事件信息，协调事发地有关单位做好先期处置工作；传达并督促落实各级领导对事件处置的要求，根据现场救援需求联动有关部门、资源、队伍参与应急救援，确保救援行动有序开展。</w:t>
      </w:r>
    </w:p>
    <w:p w14:paraId="42FAB55D">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危险源控制组。由市公安局官渡分局牵头，负责在紧急状态下的现场抢险作业，尽快测定出事故的危害地区，检测危害程度，及时控制危险源，该组由市公安局官渡分局、区卫生健康局、专业抢险队伍、企业义务消防抢险队伍和专家组成。</w:t>
      </w:r>
    </w:p>
    <w:p w14:paraId="4E5DC0E8">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医疗救护组。由区卫生健康局牵头，指定具有相应能力的医院组成，负责在现场附近的安全区域内设立临时医疗救护点，医疗机构应根据伤害和中毒的特点实施抢救，对受伤人员进行现场分类和紧急救治，并护送重伤人员至医院进一步治疗，为现场救援指挥部提供医学咨询，必要时对救援人员进行医学监护。</w:t>
      </w:r>
    </w:p>
    <w:p w14:paraId="03441699">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（4）灭火救援组。由区消防救援大队牵头，专业抢险队伍、企业义务消防抢险队伍组成。负责现场灭火、现场伤员的搜救、事故后对被污染区域的洗消工作。</w:t>
      </w:r>
    </w:p>
    <w:p w14:paraId="21311059">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（5）安全疏散组。由市公安局官渡分局牵头，区城市管理局和事发地街道办事处有关部门人员组成。负责对现场及周围人员进行防护指导、人员疏散及周围物资转移等工作。</w:t>
      </w:r>
    </w:p>
    <w:p w14:paraId="6A9EE5CE">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（6）安全警戒组。由市公安局官渡分局牵头，区城市管理局负责布置安全警戒，禁止无关人员和车辆进入危险区域，在人员疏散区域进行治安巡逻。</w:t>
      </w:r>
    </w:p>
    <w:p w14:paraId="333168B3">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7）物资供应组。由区应急局牵头，区发展改革局配合做好救灾物资储备工作，并根据区应急局的动用指令按程序组织调出。区商务投资促进局负责组织抢险物资的供应，区运管分局负责组织车辆运输抢险物资。</w:t>
      </w:r>
    </w:p>
    <w:p w14:paraId="39384648">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（8）环境监测组。由</w:t>
      </w:r>
      <w:r>
        <w:rPr>
          <w:rFonts w:ascii="Times New Roman" w:hAnsi="Times New Roman" w:eastAsia="仿宋_GB2312"/>
          <w:snapToGrid w:val="0"/>
          <w:sz w:val="32"/>
          <w:szCs w:val="32"/>
        </w:rPr>
        <w:t>市生态环境局官渡分局牵头，</w:t>
      </w:r>
      <w:r>
        <w:rPr>
          <w:rFonts w:ascii="Times New Roman" w:hAnsi="Times New Roman" w:eastAsia="仿宋_GB2312"/>
          <w:sz w:val="32"/>
          <w:szCs w:val="32"/>
        </w:rPr>
        <w:t>负责对大气、水体、土壤等进行环境即时监测，确定污染区域范围，对事故造成的环境影响进行评估，制定环境修复方案并组织实施。</w:t>
      </w:r>
    </w:p>
    <w:p w14:paraId="21260EA4">
      <w:pPr>
        <w:spacing w:line="560" w:lineRule="exact"/>
        <w:ind w:firstLine="640" w:firstLineChars="200"/>
        <w:rPr>
          <w:rFonts w:ascii="Times New Roman" w:hAnsi="Times New Roman" w:eastAsia="仿宋_GB2312"/>
          <w:snapToGrid w:val="0"/>
          <w:sz w:val="32"/>
          <w:szCs w:val="32"/>
        </w:rPr>
      </w:pPr>
      <w:r>
        <w:rPr>
          <w:rFonts w:ascii="Times New Roman" w:hAnsi="Times New Roman" w:eastAsia="仿宋_GB2312"/>
          <w:sz w:val="32"/>
          <w:szCs w:val="32"/>
        </w:rPr>
        <w:t>（9）社会救援组。由事发地街道办事处牵头，区商务投资促进局、区民政局、区市场监管局</w:t>
      </w:r>
      <w:r>
        <w:rPr>
          <w:rFonts w:ascii="Times New Roman" w:hAnsi="Times New Roman" w:eastAsia="仿宋_GB2312"/>
          <w:snapToGrid w:val="0"/>
          <w:sz w:val="32"/>
          <w:szCs w:val="32"/>
        </w:rPr>
        <w:t>、区教育体育局、区</w:t>
      </w:r>
      <w:r>
        <w:rPr>
          <w:rFonts w:hint="eastAsia" w:ascii="Times New Roman" w:hAnsi="Times New Roman" w:eastAsia="仿宋_GB2312"/>
          <w:snapToGrid w:val="0"/>
          <w:sz w:val="32"/>
          <w:szCs w:val="32"/>
          <w:lang w:eastAsia="zh-CN"/>
        </w:rPr>
        <w:t>文化和旅游局</w:t>
      </w:r>
      <w:bookmarkStart w:id="40" w:name="_GoBack"/>
      <w:bookmarkEnd w:id="40"/>
      <w:r>
        <w:rPr>
          <w:rFonts w:ascii="Times New Roman" w:hAnsi="Times New Roman" w:eastAsia="仿宋_GB2312"/>
          <w:snapToGrid w:val="0"/>
          <w:sz w:val="32"/>
          <w:szCs w:val="32"/>
        </w:rPr>
        <w:t>、区住房城乡建设局、区水务局、</w:t>
      </w:r>
      <w:r>
        <w:rPr>
          <w:rFonts w:ascii="Times New Roman" w:hAnsi="Times New Roman" w:eastAsia="仿宋_GB2312"/>
          <w:sz w:val="32"/>
          <w:szCs w:val="28"/>
        </w:rPr>
        <w:t>昆明市官渡区气象局</w:t>
      </w:r>
      <w:r>
        <w:rPr>
          <w:rFonts w:ascii="Times New Roman" w:hAnsi="Times New Roman" w:eastAsia="仿宋_GB2312"/>
          <w:snapToGrid w:val="0"/>
          <w:sz w:val="32"/>
          <w:szCs w:val="32"/>
        </w:rPr>
        <w:t>等成员单位负责对附近企业、学校、居民区内人员进行紧急疏散，并做好水、电、气应急抢险和现场保障。</w:t>
      </w:r>
    </w:p>
    <w:p w14:paraId="3DB4EF9B">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（10）专家咨询组。由区应急局牵头，协调有关专家组负责对事故应急救援提出应急救援方案和安全措施，为现场指挥救援工作提供技术咨询。</w:t>
      </w:r>
    </w:p>
    <w:p w14:paraId="78E0BDFF">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11）善后处理组。由事发地街道办事处牵头，处理遇难者遗体、遗物等；对事故中伤亡人员亲属的安抚接待；处理事故伤亡人员的抚恤、安置，依照有关政策做好善后处理等工作；负责救援过程中的各项所需资金；现场指挥部交办的其他工作。</w:t>
      </w:r>
    </w:p>
    <w:p w14:paraId="5C1D84D8">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（12）宣传报道组。由</w:t>
      </w:r>
      <w:r>
        <w:rPr>
          <w:rFonts w:ascii="Times New Roman" w:hAnsi="Times New Roman" w:eastAsia="仿宋_GB2312"/>
          <w:snapToGrid w:val="0"/>
          <w:sz w:val="32"/>
          <w:szCs w:val="32"/>
        </w:rPr>
        <w:t>区融媒体中心</w:t>
      </w:r>
      <w:r>
        <w:rPr>
          <w:rFonts w:ascii="Times New Roman" w:hAnsi="Times New Roman" w:eastAsia="仿宋_GB2312"/>
          <w:sz w:val="32"/>
          <w:szCs w:val="32"/>
        </w:rPr>
        <w:t>负责烟花爆竹事故救灾工作的宣传报道，按规定发布事故有关信息，回答新闻媒体提问。</w:t>
      </w:r>
    </w:p>
    <w:p w14:paraId="0A646B02">
      <w:pPr>
        <w:spacing w:line="560" w:lineRule="exact"/>
        <w:ind w:firstLine="640" w:firstLineChars="200"/>
        <w:rPr>
          <w:rFonts w:ascii="Times New Roman" w:hAnsi="Times New Roman" w:eastAsia="黑体"/>
          <w:sz w:val="32"/>
          <w:szCs w:val="32"/>
        </w:rPr>
      </w:pPr>
      <w:r>
        <w:rPr>
          <w:rFonts w:ascii="Times New Roman" w:hAnsi="Times New Roman" w:eastAsia="黑体"/>
          <w:sz w:val="32"/>
          <w:szCs w:val="32"/>
        </w:rPr>
        <w:t>3预测、预警</w:t>
      </w:r>
    </w:p>
    <w:p w14:paraId="56B35CAE">
      <w:pPr>
        <w:spacing w:line="560" w:lineRule="exact"/>
        <w:ind w:firstLine="640" w:firstLineChars="200"/>
        <w:rPr>
          <w:rFonts w:ascii="Times New Roman" w:hAnsi="Times New Roman" w:eastAsia="楷体_GB2312"/>
          <w:bCs/>
          <w:sz w:val="32"/>
          <w:szCs w:val="32"/>
          <w:shd w:val="clear" w:color="auto" w:fill="FFFFFF"/>
        </w:rPr>
      </w:pPr>
      <w:r>
        <w:rPr>
          <w:rFonts w:ascii="Times New Roman" w:hAnsi="Times New Roman" w:eastAsia="楷体_GB2312"/>
          <w:bCs/>
          <w:sz w:val="32"/>
          <w:szCs w:val="32"/>
          <w:shd w:val="clear" w:color="auto" w:fill="FFFFFF"/>
        </w:rPr>
        <w:t xml:space="preserve">3.1预测、预警 </w:t>
      </w:r>
    </w:p>
    <w:p w14:paraId="2EE8BABD">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区应急局与各烟花爆竹经营单位建立信息联系，对事故风险的信息做到早发现、早报告、早处置。</w:t>
      </w:r>
    </w:p>
    <w:p w14:paraId="753A9C5F">
      <w:pPr>
        <w:spacing w:line="560" w:lineRule="exact"/>
        <w:ind w:firstLine="640" w:firstLineChars="200"/>
        <w:rPr>
          <w:rFonts w:ascii="Times New Roman" w:hAnsi="Times New Roman" w:eastAsia="楷体_GB2312"/>
          <w:bCs/>
          <w:sz w:val="32"/>
          <w:szCs w:val="32"/>
          <w:shd w:val="clear" w:color="auto" w:fill="FFFFFF"/>
        </w:rPr>
      </w:pPr>
      <w:r>
        <w:rPr>
          <w:rFonts w:ascii="Times New Roman" w:hAnsi="Times New Roman" w:eastAsia="楷体_GB2312"/>
          <w:bCs/>
          <w:sz w:val="32"/>
          <w:szCs w:val="32"/>
          <w:shd w:val="clear" w:color="auto" w:fill="FFFFFF"/>
        </w:rPr>
        <w:t>3.2预警级别和发布</w:t>
      </w:r>
    </w:p>
    <w:p w14:paraId="6F1112FF">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根据预测分析结果、危害程度、紧急程度和发展趋势，一般划分为四级：</w:t>
      </w:r>
      <w:r>
        <w:rPr>
          <w:rFonts w:ascii="Times New Roman" w:hAnsi="Times New Roman"/>
          <w:sz w:val="32"/>
          <w:szCs w:val="32"/>
        </w:rPr>
        <w:t>Ⅰ</w:t>
      </w:r>
      <w:r>
        <w:rPr>
          <w:rFonts w:ascii="Times New Roman" w:hAnsi="Times New Roman" w:eastAsia="仿宋_GB2312"/>
          <w:sz w:val="32"/>
          <w:szCs w:val="32"/>
        </w:rPr>
        <w:t>级（特大）、</w:t>
      </w:r>
      <w:r>
        <w:rPr>
          <w:rFonts w:ascii="Times New Roman" w:hAnsi="Times New Roman"/>
          <w:sz w:val="32"/>
          <w:szCs w:val="32"/>
        </w:rPr>
        <w:t>Ⅱ</w:t>
      </w:r>
      <w:r>
        <w:rPr>
          <w:rFonts w:ascii="Times New Roman" w:hAnsi="Times New Roman" w:eastAsia="仿宋_GB2312"/>
          <w:sz w:val="32"/>
          <w:szCs w:val="32"/>
        </w:rPr>
        <w:t>级（重大）、</w:t>
      </w:r>
      <w:r>
        <w:rPr>
          <w:rFonts w:ascii="Times New Roman" w:hAnsi="Times New Roman"/>
          <w:sz w:val="32"/>
          <w:szCs w:val="32"/>
        </w:rPr>
        <w:t>Ⅲ</w:t>
      </w:r>
      <w:r>
        <w:rPr>
          <w:rFonts w:ascii="Times New Roman" w:hAnsi="Times New Roman" w:eastAsia="仿宋_GB2312"/>
          <w:sz w:val="32"/>
          <w:szCs w:val="32"/>
        </w:rPr>
        <w:t>级（较大）和</w:t>
      </w:r>
      <w:r>
        <w:rPr>
          <w:rFonts w:ascii="Times New Roman" w:hAnsi="Times New Roman"/>
          <w:sz w:val="32"/>
          <w:szCs w:val="32"/>
        </w:rPr>
        <w:t>Ⅳ</w:t>
      </w:r>
      <w:r>
        <w:rPr>
          <w:rFonts w:ascii="Times New Roman" w:hAnsi="Times New Roman" w:eastAsia="仿宋_GB2312"/>
          <w:sz w:val="32"/>
          <w:szCs w:val="32"/>
        </w:rPr>
        <w:t>级（一般），并依次用红色、橙色、黄色和蓝色表示。</w:t>
      </w:r>
    </w:p>
    <w:p w14:paraId="444E6DEA">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指挥部决定预警信息的发布、调整和解除，由</w:t>
      </w:r>
      <w:r>
        <w:rPr>
          <w:rFonts w:ascii="Times New Roman" w:hAnsi="Times New Roman" w:eastAsia="仿宋_GB2312"/>
          <w:snapToGrid w:val="0"/>
          <w:sz w:val="32"/>
          <w:szCs w:val="32"/>
        </w:rPr>
        <w:t>区融媒体中心</w:t>
      </w:r>
      <w:r>
        <w:rPr>
          <w:rFonts w:ascii="Times New Roman" w:hAnsi="Times New Roman" w:eastAsia="仿宋_GB2312"/>
          <w:sz w:val="32"/>
          <w:szCs w:val="32"/>
        </w:rPr>
        <w:t>统一向新闻媒体和社会发布，可通过广播、电视、报纸、通信、信息网络、警报器、宣传车或组织人员逐户通知等方式进行，对老、幼、病、残、孕等特殊人群以及学校等特殊场所和警报盲区采取有针对性的公告方式。</w:t>
      </w:r>
    </w:p>
    <w:p w14:paraId="644D8F9A">
      <w:pPr>
        <w:spacing w:line="560" w:lineRule="exact"/>
        <w:ind w:firstLine="640" w:firstLineChars="200"/>
        <w:rPr>
          <w:rFonts w:ascii="Times New Roman" w:hAnsi="Times New Roman" w:eastAsia="仿宋_GB2312"/>
          <w:sz w:val="32"/>
          <w:szCs w:val="32"/>
        </w:rPr>
      </w:pPr>
      <w:r>
        <w:rPr>
          <w:rFonts w:ascii="Times New Roman" w:hAnsi="Times New Roman" w:eastAsia="仿宋_GB2312"/>
          <w:snapToGrid w:val="0"/>
          <w:sz w:val="32"/>
          <w:szCs w:val="32"/>
        </w:rPr>
        <w:t>区融媒体中心</w:t>
      </w:r>
      <w:r>
        <w:rPr>
          <w:rFonts w:ascii="Times New Roman" w:hAnsi="Times New Roman" w:eastAsia="仿宋_GB2312"/>
          <w:sz w:val="32"/>
          <w:szCs w:val="32"/>
        </w:rPr>
        <w:t>负责官渡区人民政府向社会公开发布信息的拟定、组织、协调和管理，并负责协调做好境内外媒体记者的管理和沟通工作。</w:t>
      </w:r>
    </w:p>
    <w:p w14:paraId="280436D6">
      <w:pPr>
        <w:spacing w:line="560" w:lineRule="exact"/>
        <w:ind w:firstLine="640" w:firstLineChars="200"/>
        <w:rPr>
          <w:rFonts w:ascii="Times New Roman" w:hAnsi="Times New Roman" w:eastAsia="仿宋_GB2312"/>
          <w:sz w:val="32"/>
          <w:szCs w:val="32"/>
        </w:rPr>
      </w:pPr>
      <w:r>
        <w:rPr>
          <w:rFonts w:ascii="Times New Roman" w:hAnsi="Times New Roman" w:eastAsia="仿宋_GB2312"/>
          <w:snapToGrid w:val="0"/>
          <w:sz w:val="32"/>
          <w:szCs w:val="32"/>
        </w:rPr>
        <w:t>区融媒体中心</w:t>
      </w:r>
      <w:r>
        <w:rPr>
          <w:rFonts w:ascii="Times New Roman" w:hAnsi="Times New Roman" w:eastAsia="仿宋_GB2312"/>
          <w:sz w:val="32"/>
          <w:szCs w:val="32"/>
        </w:rPr>
        <w:t>应根据事故性质、危害程度及时向应急指挥部提出召开新闻发布会的建议，并做好有关筹办工作。新闻发布会原则上确定为官渡区人民政府发布信息和区级有关部门发布信息两个级次；根据事故的实际情况，由应急指挥部或</w:t>
      </w:r>
      <w:r>
        <w:rPr>
          <w:rFonts w:ascii="Times New Roman" w:hAnsi="Times New Roman" w:eastAsia="仿宋_GB2312"/>
          <w:snapToGrid w:val="0"/>
          <w:sz w:val="32"/>
          <w:szCs w:val="32"/>
        </w:rPr>
        <w:t>区融媒体中心</w:t>
      </w:r>
      <w:r>
        <w:rPr>
          <w:rFonts w:ascii="Times New Roman" w:hAnsi="Times New Roman" w:eastAsia="仿宋_GB2312"/>
          <w:sz w:val="32"/>
          <w:szCs w:val="32"/>
        </w:rPr>
        <w:t>确定新闻发布会级次。</w:t>
      </w:r>
    </w:p>
    <w:p w14:paraId="2551088B">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应急指挥部设发言人，发言人由应急指挥部确定。</w:t>
      </w:r>
    </w:p>
    <w:p w14:paraId="70E3784E">
      <w:pPr>
        <w:spacing w:line="560" w:lineRule="exact"/>
        <w:ind w:firstLine="640" w:firstLineChars="200"/>
        <w:rPr>
          <w:rFonts w:ascii="Times New Roman" w:hAnsi="Times New Roman" w:eastAsia="楷体_GB2312"/>
          <w:bCs/>
          <w:sz w:val="32"/>
          <w:szCs w:val="32"/>
          <w:shd w:val="clear" w:color="auto" w:fill="FFFFFF"/>
        </w:rPr>
      </w:pPr>
      <w:r>
        <w:rPr>
          <w:rFonts w:ascii="Times New Roman" w:hAnsi="Times New Roman" w:eastAsia="楷体_GB2312"/>
          <w:bCs/>
          <w:sz w:val="32"/>
          <w:szCs w:val="32"/>
          <w:shd w:val="clear" w:color="auto" w:fill="FFFFFF"/>
        </w:rPr>
        <w:t xml:space="preserve">3.3信息报告 </w:t>
      </w:r>
    </w:p>
    <w:p w14:paraId="68E29379">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事故信息应逐级上报，任何部门、单位和个人都不得瞒报、缓报、谎报烟花爆竹事故信息，重特大事故可越级上报。</w:t>
      </w:r>
    </w:p>
    <w:p w14:paraId="1631086D">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发生烟花爆竹事故后，事故单位必须立即报区应急局，区应急局应在半小时内报告市应急局和区委、区政府，同时抄报区级有关部门。</w:t>
      </w:r>
    </w:p>
    <w:p w14:paraId="51B274B5">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报告的主要内容包括：事故发生的单位、时间、地点；事故的性质、类型；事故的简要经过和现场伤亡情况；事故发生的初步原因；事故造成环境污染的情况及对周边的影响；报告人姓名、联系电话；其他与事故有关情况。</w:t>
      </w:r>
    </w:p>
    <w:p w14:paraId="2C8416F5">
      <w:pPr>
        <w:spacing w:line="560" w:lineRule="exact"/>
        <w:ind w:firstLine="640" w:firstLineChars="200"/>
        <w:rPr>
          <w:rFonts w:ascii="Times New Roman" w:hAnsi="Times New Roman" w:eastAsia="黑体"/>
          <w:sz w:val="32"/>
          <w:szCs w:val="32"/>
        </w:rPr>
      </w:pPr>
      <w:r>
        <w:rPr>
          <w:rFonts w:ascii="Times New Roman" w:hAnsi="Times New Roman" w:eastAsia="黑体"/>
          <w:sz w:val="32"/>
          <w:szCs w:val="32"/>
        </w:rPr>
        <w:t>4应急响应</w:t>
      </w:r>
    </w:p>
    <w:p w14:paraId="64DC7815">
      <w:pPr>
        <w:spacing w:line="560" w:lineRule="exact"/>
        <w:ind w:firstLine="640" w:firstLineChars="200"/>
        <w:rPr>
          <w:rFonts w:ascii="Times New Roman" w:hAnsi="Times New Roman" w:eastAsia="楷体_GB2312"/>
          <w:bCs/>
          <w:sz w:val="32"/>
          <w:szCs w:val="32"/>
          <w:shd w:val="clear" w:color="auto" w:fill="FFFFFF"/>
        </w:rPr>
      </w:pPr>
      <w:r>
        <w:rPr>
          <w:rFonts w:ascii="Times New Roman" w:hAnsi="Times New Roman" w:eastAsia="楷体_GB2312"/>
          <w:bCs/>
          <w:sz w:val="32"/>
          <w:szCs w:val="32"/>
          <w:shd w:val="clear" w:color="auto" w:fill="FFFFFF"/>
        </w:rPr>
        <w:t>4.1分级响应</w:t>
      </w:r>
    </w:p>
    <w:p w14:paraId="35AA3A87">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事故发生后，按照“统一指挥、属地管理、专业处置”的要求，根据预警的级别响应，启动相应级别的预案。</w:t>
      </w:r>
    </w:p>
    <w:p w14:paraId="41BD06B1">
      <w:pPr>
        <w:spacing w:line="560" w:lineRule="exact"/>
        <w:ind w:firstLine="640" w:firstLineChars="200"/>
        <w:rPr>
          <w:rFonts w:ascii="Times New Roman" w:hAnsi="Times New Roman" w:eastAsia="仿宋_GB2312"/>
          <w:sz w:val="32"/>
          <w:szCs w:val="32"/>
        </w:rPr>
      </w:pPr>
      <w:r>
        <w:rPr>
          <w:rFonts w:ascii="Times New Roman" w:hAnsi="Times New Roman"/>
          <w:sz w:val="32"/>
          <w:szCs w:val="32"/>
        </w:rPr>
        <w:t>Ⅰ</w:t>
      </w:r>
      <w:r>
        <w:rPr>
          <w:rFonts w:ascii="Times New Roman" w:hAnsi="Times New Roman" w:eastAsia="仿宋_GB2312"/>
          <w:sz w:val="32"/>
          <w:szCs w:val="32"/>
        </w:rPr>
        <w:t>级应急响应：适用于处置特大烟花爆竹事故，由国务院启动；</w:t>
      </w:r>
      <w:r>
        <w:rPr>
          <w:rFonts w:ascii="Times New Roman" w:hAnsi="Times New Roman"/>
          <w:sz w:val="32"/>
          <w:szCs w:val="32"/>
        </w:rPr>
        <w:t>Ⅱ</w:t>
      </w:r>
      <w:r>
        <w:rPr>
          <w:rFonts w:ascii="Times New Roman" w:hAnsi="Times New Roman" w:eastAsia="仿宋_GB2312"/>
          <w:sz w:val="32"/>
          <w:szCs w:val="32"/>
        </w:rPr>
        <w:t>级应急响应：适用于处置重大烟花爆竹事故，由省应急厅启动；</w:t>
      </w:r>
      <w:r>
        <w:rPr>
          <w:rFonts w:ascii="Times New Roman" w:hAnsi="Times New Roman"/>
          <w:sz w:val="32"/>
          <w:szCs w:val="32"/>
        </w:rPr>
        <w:t>Ⅲ</w:t>
      </w:r>
      <w:r>
        <w:rPr>
          <w:rFonts w:ascii="Times New Roman" w:hAnsi="Times New Roman" w:eastAsia="仿宋_GB2312"/>
          <w:sz w:val="32"/>
          <w:szCs w:val="32"/>
        </w:rPr>
        <w:t>级应急响应：适用于处置较大烟花爆竹事故，由市应急局启动。在启动</w:t>
      </w:r>
      <w:r>
        <w:rPr>
          <w:rFonts w:ascii="Times New Roman" w:hAnsi="Times New Roman"/>
          <w:sz w:val="32"/>
          <w:szCs w:val="32"/>
        </w:rPr>
        <w:t>Ⅰ</w:t>
      </w:r>
      <w:r>
        <w:rPr>
          <w:rFonts w:ascii="Times New Roman" w:hAnsi="Times New Roman" w:eastAsia="仿宋_GB2312"/>
          <w:sz w:val="32"/>
          <w:szCs w:val="32"/>
        </w:rPr>
        <w:t>级、</w:t>
      </w:r>
      <w:r>
        <w:rPr>
          <w:rFonts w:ascii="Times New Roman" w:hAnsi="Times New Roman"/>
          <w:sz w:val="32"/>
          <w:szCs w:val="32"/>
        </w:rPr>
        <w:t>Ⅱ</w:t>
      </w:r>
      <w:r>
        <w:rPr>
          <w:rFonts w:ascii="Times New Roman" w:hAnsi="Times New Roman" w:eastAsia="仿宋_GB2312"/>
          <w:sz w:val="32"/>
          <w:szCs w:val="32"/>
        </w:rPr>
        <w:t>级、</w:t>
      </w:r>
      <w:r>
        <w:rPr>
          <w:rFonts w:ascii="Times New Roman" w:hAnsi="Times New Roman"/>
          <w:sz w:val="32"/>
          <w:szCs w:val="32"/>
        </w:rPr>
        <w:t>Ⅲ</w:t>
      </w:r>
      <w:r>
        <w:rPr>
          <w:rFonts w:ascii="Times New Roman" w:hAnsi="Times New Roman" w:eastAsia="仿宋_GB2312"/>
          <w:sz w:val="32"/>
          <w:szCs w:val="32"/>
        </w:rPr>
        <w:t>级应急响应前，区应急局在上级应急部门领导下负责前期应急处置措施。</w:t>
      </w:r>
    </w:p>
    <w:p w14:paraId="4913DB7E">
      <w:pPr>
        <w:spacing w:line="560" w:lineRule="exact"/>
        <w:ind w:firstLine="640" w:firstLineChars="200"/>
        <w:rPr>
          <w:rFonts w:ascii="Times New Roman" w:hAnsi="Times New Roman" w:eastAsia="仿宋_GB2312"/>
          <w:sz w:val="32"/>
          <w:szCs w:val="32"/>
        </w:rPr>
      </w:pPr>
      <w:r>
        <w:rPr>
          <w:rFonts w:ascii="Times New Roman" w:hAnsi="Times New Roman"/>
          <w:sz w:val="32"/>
          <w:szCs w:val="32"/>
        </w:rPr>
        <w:t>Ⅳ</w:t>
      </w:r>
      <w:r>
        <w:rPr>
          <w:rFonts w:ascii="Times New Roman" w:hAnsi="Times New Roman" w:eastAsia="仿宋_GB2312"/>
          <w:sz w:val="32"/>
          <w:szCs w:val="32"/>
        </w:rPr>
        <w:t>级应急响应：适用于处置一般烟花爆竹事故。由区应急局根据实际情况决定启动</w:t>
      </w:r>
      <w:r>
        <w:rPr>
          <w:rFonts w:ascii="Times New Roman" w:hAnsi="Times New Roman"/>
          <w:sz w:val="32"/>
          <w:szCs w:val="32"/>
        </w:rPr>
        <w:t>Ⅳ</w:t>
      </w:r>
      <w:r>
        <w:rPr>
          <w:rFonts w:ascii="Times New Roman" w:hAnsi="Times New Roman" w:eastAsia="仿宋_GB2312"/>
          <w:sz w:val="32"/>
          <w:szCs w:val="32"/>
        </w:rPr>
        <w:t>级应急响应，</w:t>
      </w:r>
      <w:r>
        <w:rPr>
          <w:rFonts w:ascii="Times New Roman" w:hAnsi="Times New Roman"/>
          <w:sz w:val="32"/>
          <w:szCs w:val="32"/>
        </w:rPr>
        <w:t>Ⅳ</w:t>
      </w:r>
      <w:r>
        <w:rPr>
          <w:rFonts w:ascii="Times New Roman" w:hAnsi="Times New Roman" w:eastAsia="仿宋_GB2312"/>
          <w:sz w:val="32"/>
          <w:szCs w:val="32"/>
        </w:rPr>
        <w:t>级应急预案由区应急局负责制定并实施，由区政府分管副区长任总指挥。。</w:t>
      </w:r>
      <w:r>
        <w:rPr>
          <w:rFonts w:ascii="Times New Roman" w:hAnsi="Times New Roman"/>
          <w:sz w:val="32"/>
          <w:szCs w:val="32"/>
        </w:rPr>
        <w:t>Ⅳ</w:t>
      </w:r>
      <w:r>
        <w:rPr>
          <w:rFonts w:ascii="Times New Roman" w:hAnsi="Times New Roman" w:eastAsia="仿宋_GB2312"/>
          <w:sz w:val="32"/>
          <w:szCs w:val="32"/>
        </w:rPr>
        <w:t>级应急救援措施难以控制事态时，区应急局应及时请求市应急局启动</w:t>
      </w:r>
      <w:r>
        <w:rPr>
          <w:rFonts w:ascii="Times New Roman" w:hAnsi="Times New Roman"/>
          <w:sz w:val="32"/>
          <w:szCs w:val="32"/>
        </w:rPr>
        <w:t>Ⅲ</w:t>
      </w:r>
      <w:r>
        <w:rPr>
          <w:rFonts w:ascii="Times New Roman" w:hAnsi="Times New Roman" w:eastAsia="仿宋_GB2312"/>
          <w:sz w:val="32"/>
          <w:szCs w:val="32"/>
        </w:rPr>
        <w:t>级应急响应。</w:t>
      </w:r>
    </w:p>
    <w:p w14:paraId="2EAFFF86">
      <w:pPr>
        <w:spacing w:line="560" w:lineRule="exact"/>
        <w:ind w:firstLine="627" w:firstLineChars="196"/>
        <w:rPr>
          <w:rFonts w:ascii="Times New Roman" w:hAnsi="Times New Roman" w:eastAsia="楷体_GB2312"/>
          <w:bCs/>
          <w:sz w:val="32"/>
          <w:szCs w:val="32"/>
          <w:shd w:val="clear" w:color="auto" w:fill="FFFFFF"/>
        </w:rPr>
      </w:pPr>
      <w:r>
        <w:rPr>
          <w:rFonts w:ascii="Times New Roman" w:hAnsi="Times New Roman" w:eastAsia="楷体_GB2312"/>
          <w:bCs/>
          <w:sz w:val="32"/>
          <w:szCs w:val="32"/>
          <w:shd w:val="clear" w:color="auto" w:fill="FFFFFF"/>
        </w:rPr>
        <w:t>4.2应急措施</w:t>
      </w:r>
    </w:p>
    <w:p w14:paraId="06787470">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事故发生后，区应急局、事故单位和先期到达的应急救援队伍必须迅速、有效地实施先期处置，组织职工、群众和有关人员开展自救、互救；控制事态发展，防止次生、衍生事故（事件）发生；保护现场不被破坏，妥善保护现场重要痕迹、物证。</w:t>
      </w:r>
    </w:p>
    <w:p w14:paraId="0999AF50">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现场应急救援指挥部成立后，指挥部立即组织专家召开情况碰头会，研究、形成救援方案，组成各应急救援组，指挥、调集快速反应力量，与事发地街道办事处和事故单位密切配合，共同实施抢险救援和紧急处置行动。 </w:t>
      </w:r>
    </w:p>
    <w:p w14:paraId="375E7867">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灭火救援组在指挥部领导下迅速调动应急队伍进行抢险救援，防止事故蔓延扩大；协调、调集相应的安全防护装备，指挥现场应急救援人员根据需要携带相应的专业防护装备，采取安全防护措施；指挥消防队伍进行灭火；组织抢险增援队伍做好抢险增援准备；及时准确向指挥部报告抢险救援进展情况。</w:t>
      </w:r>
    </w:p>
    <w:p w14:paraId="381DB6B7">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环境监测组对气象情况进行即时监测，确定事发时及未来气象情况，准确测定风向、风速，为指挥部提供决策依据。</w:t>
      </w:r>
    </w:p>
    <w:p w14:paraId="2D690A5F">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安全警戒组根据救援需要，对事故现场进行道路交通和治安管制，开设应急救援特别通道和警戒线。确保救灾物资、器材和人员运送及时到位，满足应急处置工作需要；维护现场治安，防止事故现场人为破坏和其他突发事件发生；确保周边群众人身安全，为应急抢险提供交通治安保障；配合应急疏散组紧急疏散周边居民。</w:t>
      </w:r>
    </w:p>
    <w:p w14:paraId="2AEF23CB">
      <w:pPr>
        <w:spacing w:line="560" w:lineRule="exact"/>
        <w:ind w:firstLine="640" w:firstLineChars="200"/>
        <w:rPr>
          <w:rFonts w:ascii="Times New Roman" w:hAnsi="Times New Roman" w:eastAsia="方正仿宋_GBK"/>
          <w:sz w:val="32"/>
          <w:szCs w:val="32"/>
        </w:rPr>
      </w:pPr>
      <w:r>
        <w:rPr>
          <w:rFonts w:ascii="Times New Roman" w:hAnsi="Times New Roman" w:eastAsia="仿宋_GB2312"/>
          <w:sz w:val="32"/>
          <w:szCs w:val="32"/>
        </w:rPr>
        <w:t>医疗救护组与区卫生健康局组织开展紧急医疗救护和现场卫生处置工作；协调有关专业医疗救护机构和专科医院派出有关专家、提供药品和救治装备进行支援；事发地疾病控制中心根据事故类型，按照专业规程进行现场防疫工作；协调血站做好受伤人员的供血。</w:t>
      </w:r>
    </w:p>
    <w:p w14:paraId="661FD7E5">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安全疏散组与事发地街道办事处负责应急状态下群众疏散、转移和安置；确定疏散地点，组织群众朝逆风向疏散地集中；为疏散人员进行防护指导，转移重要物资；做好疏散群众稳定工作。</w:t>
      </w:r>
    </w:p>
    <w:p w14:paraId="17DC80FA">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宣传报道组按照有关规定，通过新闻媒体统一向社会发布。 </w:t>
      </w:r>
    </w:p>
    <w:p w14:paraId="2D482E70">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当烟花爆竹事故有扩大、发展并难以控制的趋势时，指挥部迅速做出扩大应急决策，并采取扩大应急救援措施。一方面调整各种应急救援力量投入抢险和保障工作；另一方面向上一级政府和有关单位提出救援和扩大应急请求。</w:t>
      </w:r>
    </w:p>
    <w:p w14:paraId="7F45C2E3">
      <w:pPr>
        <w:spacing w:line="560" w:lineRule="exact"/>
        <w:ind w:firstLine="640" w:firstLineChars="200"/>
        <w:rPr>
          <w:rFonts w:ascii="Times New Roman" w:hAnsi="Times New Roman" w:eastAsia="楷体_GB2312"/>
          <w:bCs/>
          <w:sz w:val="32"/>
          <w:szCs w:val="32"/>
        </w:rPr>
      </w:pPr>
      <w:r>
        <w:rPr>
          <w:rFonts w:ascii="Times New Roman" w:hAnsi="Times New Roman" w:eastAsia="楷体_GB2312"/>
          <w:bCs/>
          <w:sz w:val="32"/>
          <w:szCs w:val="32"/>
        </w:rPr>
        <w:t xml:space="preserve">4.3应急结束 </w:t>
      </w:r>
    </w:p>
    <w:p w14:paraId="5F6C54BE">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当遇险人员得救，事故现场得以控制，环境符合有关标准，导致次生、衍生事故隐患消除后，应急指挥部宣布应急处置工作结束，应急救援队伍撤离现场。</w:t>
      </w:r>
    </w:p>
    <w:p w14:paraId="15C7A435">
      <w:pPr>
        <w:spacing w:line="560" w:lineRule="exact"/>
        <w:ind w:firstLine="640" w:firstLineChars="200"/>
        <w:rPr>
          <w:rFonts w:ascii="Times New Roman" w:hAnsi="Times New Roman" w:eastAsia="黑体"/>
          <w:sz w:val="32"/>
          <w:szCs w:val="32"/>
        </w:rPr>
      </w:pPr>
      <w:r>
        <w:rPr>
          <w:rFonts w:ascii="Times New Roman" w:hAnsi="Times New Roman" w:eastAsia="黑体"/>
          <w:sz w:val="32"/>
          <w:szCs w:val="32"/>
        </w:rPr>
        <w:t xml:space="preserve">5善后处理 </w:t>
      </w:r>
    </w:p>
    <w:p w14:paraId="03EC0CA4">
      <w:pPr>
        <w:spacing w:line="560" w:lineRule="exact"/>
        <w:ind w:firstLine="640" w:firstLineChars="200"/>
        <w:rPr>
          <w:rFonts w:ascii="Times New Roman" w:hAnsi="Times New Roman" w:eastAsia="楷体_GB2312"/>
          <w:bCs/>
          <w:sz w:val="32"/>
          <w:szCs w:val="32"/>
        </w:rPr>
      </w:pPr>
      <w:r>
        <w:rPr>
          <w:rFonts w:ascii="Times New Roman" w:hAnsi="Times New Roman" w:eastAsia="楷体_GB2312"/>
          <w:bCs/>
          <w:sz w:val="32"/>
          <w:szCs w:val="32"/>
        </w:rPr>
        <w:t>5.1善后处置</w:t>
      </w:r>
    </w:p>
    <w:p w14:paraId="30E17D3B">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事发地街道党工委、办事处会同区总工会、区民政局负责组织事故的善后处置工作，包括人员安置、临时救助、补偿，征用物资补偿，灾后重建，污染物收集、清理与处理等事项，尽快消除事故影响，妥善安置和慰问受害及受影响人员，保证社会稳定，尽快恢复正常秩序。 </w:t>
      </w:r>
    </w:p>
    <w:p w14:paraId="2ED9626B">
      <w:pPr>
        <w:spacing w:line="560" w:lineRule="exact"/>
        <w:ind w:firstLine="640" w:firstLineChars="200"/>
        <w:rPr>
          <w:rFonts w:ascii="Times New Roman" w:hAnsi="Times New Roman" w:eastAsia="楷体_GB2312"/>
          <w:bCs/>
          <w:sz w:val="32"/>
          <w:szCs w:val="32"/>
        </w:rPr>
      </w:pPr>
      <w:r>
        <w:rPr>
          <w:rFonts w:ascii="Times New Roman" w:hAnsi="Times New Roman" w:eastAsia="楷体_GB2312"/>
          <w:bCs/>
          <w:sz w:val="32"/>
          <w:szCs w:val="32"/>
        </w:rPr>
        <w:t>5.2保险与理赔</w:t>
      </w:r>
    </w:p>
    <w:p w14:paraId="60665C23">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烟花爆竹事故发生后，保险机构及时开展救援人员保险受理、受灾单位和个人的保险理赔工作。 </w:t>
      </w:r>
    </w:p>
    <w:p w14:paraId="09173FD6">
      <w:pPr>
        <w:spacing w:line="560" w:lineRule="exact"/>
        <w:ind w:firstLine="640" w:firstLineChars="200"/>
        <w:rPr>
          <w:rFonts w:ascii="Times New Roman" w:hAnsi="Times New Roman" w:eastAsia="楷体_GB2312"/>
          <w:bCs/>
          <w:sz w:val="32"/>
          <w:szCs w:val="32"/>
        </w:rPr>
      </w:pPr>
      <w:r>
        <w:rPr>
          <w:rFonts w:ascii="Times New Roman" w:hAnsi="Times New Roman" w:eastAsia="楷体_GB2312"/>
          <w:bCs/>
          <w:sz w:val="32"/>
          <w:szCs w:val="32"/>
        </w:rPr>
        <w:t>5.3事故调查</w:t>
      </w:r>
    </w:p>
    <w:p w14:paraId="28479075">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烟花爆竹事故按照《生产安全事故报告和调查处理条例》进行调查处理。</w:t>
      </w:r>
    </w:p>
    <w:p w14:paraId="733B21A9">
      <w:pPr>
        <w:spacing w:line="560" w:lineRule="exact"/>
        <w:ind w:firstLine="640" w:firstLineChars="200"/>
        <w:rPr>
          <w:rFonts w:ascii="Times New Roman" w:hAnsi="Times New Roman" w:eastAsia="黑体"/>
          <w:sz w:val="32"/>
          <w:szCs w:val="32"/>
        </w:rPr>
      </w:pPr>
      <w:r>
        <w:rPr>
          <w:rFonts w:ascii="Times New Roman" w:hAnsi="Times New Roman" w:eastAsia="黑体"/>
          <w:sz w:val="32"/>
          <w:szCs w:val="32"/>
        </w:rPr>
        <w:t xml:space="preserve">6应急保障 </w:t>
      </w:r>
    </w:p>
    <w:p w14:paraId="34C51061">
      <w:pPr>
        <w:spacing w:line="560" w:lineRule="exact"/>
        <w:ind w:firstLine="640" w:firstLineChars="200"/>
        <w:rPr>
          <w:rFonts w:ascii="Times New Roman" w:hAnsi="Times New Roman" w:eastAsia="楷体_GB2312"/>
          <w:bCs/>
          <w:sz w:val="32"/>
          <w:szCs w:val="32"/>
        </w:rPr>
      </w:pPr>
      <w:r>
        <w:rPr>
          <w:rFonts w:ascii="Times New Roman" w:hAnsi="Times New Roman" w:eastAsia="楷体_GB2312"/>
          <w:bCs/>
          <w:sz w:val="32"/>
          <w:szCs w:val="32"/>
        </w:rPr>
        <w:t xml:space="preserve">6.1信息保障 </w:t>
      </w:r>
    </w:p>
    <w:p w14:paraId="4A3B9040">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建立完善烟花爆竹事故应急救援综合信息管理制度和危险化学品事故信息报告制度，完善救援力量和救援资源信息库，强化应急机构之间信息资源共享，为指挥决策提供有关信息保障。 </w:t>
      </w:r>
    </w:p>
    <w:p w14:paraId="794E1F23">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烟花爆竹企业和有关部门负责本企业、本部门有关信息收集、分析和处理，定期向区应急局报送有关信息，重要信息和变更信息要及时报送。 </w:t>
      </w:r>
    </w:p>
    <w:p w14:paraId="757C4D36">
      <w:pPr>
        <w:spacing w:line="560" w:lineRule="exact"/>
        <w:ind w:firstLine="640" w:firstLineChars="200"/>
        <w:rPr>
          <w:rFonts w:ascii="Times New Roman" w:hAnsi="Times New Roman" w:eastAsia="楷体_GB2312"/>
          <w:bCs/>
          <w:sz w:val="32"/>
          <w:szCs w:val="32"/>
        </w:rPr>
      </w:pPr>
      <w:r>
        <w:rPr>
          <w:rFonts w:ascii="Times New Roman" w:hAnsi="Times New Roman" w:eastAsia="楷体_GB2312"/>
          <w:bCs/>
          <w:sz w:val="32"/>
          <w:szCs w:val="32"/>
        </w:rPr>
        <w:t xml:space="preserve">6.2现场抢险装备器材保障 </w:t>
      </w:r>
    </w:p>
    <w:p w14:paraId="3EC72E0D">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按照平战结合的原则，建立和完善全区各专业应急救援队伍装备和器材，企业要根据实际情况和需要配备必要的应急救援装备。建立应急抢险装备信息数据库，准确和高效地提供应急装备器材保障。</w:t>
      </w:r>
    </w:p>
    <w:p w14:paraId="0BA4A968">
      <w:pPr>
        <w:spacing w:line="560" w:lineRule="exact"/>
        <w:ind w:firstLine="640" w:firstLineChars="200"/>
        <w:rPr>
          <w:rFonts w:ascii="Times New Roman" w:hAnsi="Times New Roman" w:eastAsia="楷体_GB2312"/>
          <w:bCs/>
          <w:sz w:val="32"/>
          <w:szCs w:val="32"/>
        </w:rPr>
      </w:pPr>
      <w:r>
        <w:rPr>
          <w:rFonts w:ascii="Times New Roman" w:hAnsi="Times New Roman" w:eastAsia="楷体_GB2312"/>
          <w:bCs/>
          <w:sz w:val="32"/>
          <w:szCs w:val="32"/>
        </w:rPr>
        <w:t>6.3 应急队伍保障</w:t>
      </w:r>
    </w:p>
    <w:p w14:paraId="49F54355">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全区烟花爆竹事故应急救援队伍主要以各级消防救援力量为主，如事故产生有毒气体，则由官渡区灾害事故紧急救援队危化救援分队配合消防救援队伍进行专业处置。</w:t>
      </w:r>
    </w:p>
    <w:p w14:paraId="736DC8FC">
      <w:pPr>
        <w:spacing w:line="560" w:lineRule="exact"/>
        <w:ind w:firstLine="640" w:firstLineChars="200"/>
        <w:rPr>
          <w:rFonts w:ascii="Times New Roman" w:hAnsi="Times New Roman" w:eastAsia="楷体_GB2312"/>
          <w:bCs/>
          <w:sz w:val="32"/>
          <w:szCs w:val="32"/>
        </w:rPr>
      </w:pPr>
      <w:r>
        <w:rPr>
          <w:rFonts w:ascii="Times New Roman" w:hAnsi="Times New Roman" w:eastAsia="楷体_GB2312"/>
          <w:bCs/>
          <w:sz w:val="32"/>
          <w:szCs w:val="32"/>
        </w:rPr>
        <w:t xml:space="preserve">6.4交通运输保障 </w:t>
      </w:r>
    </w:p>
    <w:p w14:paraId="0A393DEE">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交通运输部门根据救援需要，保证应急交通工具优先安排、优先调度、优先放行，确保救灾物资、器材和人员运送及时到位，道路受损时应迅速组织抢修。</w:t>
      </w:r>
    </w:p>
    <w:p w14:paraId="25B845D1">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市交警三大队依法对事故现场进行道路交通管制，根据需要开设应急救援特别通道，保证应急救援工作的顺利进行。</w:t>
      </w:r>
    </w:p>
    <w:p w14:paraId="499409E2">
      <w:pPr>
        <w:spacing w:line="560" w:lineRule="exact"/>
        <w:ind w:firstLine="640" w:firstLineChars="200"/>
        <w:rPr>
          <w:rFonts w:ascii="Times New Roman" w:hAnsi="Times New Roman" w:eastAsia="楷体_GB2312"/>
          <w:bCs/>
          <w:sz w:val="32"/>
          <w:szCs w:val="32"/>
        </w:rPr>
      </w:pPr>
      <w:r>
        <w:rPr>
          <w:rFonts w:ascii="Times New Roman" w:hAnsi="Times New Roman" w:eastAsia="楷体_GB2312"/>
          <w:bCs/>
          <w:sz w:val="32"/>
          <w:szCs w:val="32"/>
        </w:rPr>
        <w:t>6.5医疗卫生保障</w:t>
      </w:r>
    </w:p>
    <w:p w14:paraId="262CBF9D">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卫生部门负责组建医疗卫生应急专业队伍，配备相应的医疗救治药品、技术、设备和人员，负责在事故现场附近的安全区域内设立临时医疗救护点，对受伤人员进行紧急救治并护送重伤人员至医院进一步治疗。</w:t>
      </w:r>
    </w:p>
    <w:p w14:paraId="223E8004">
      <w:pPr>
        <w:spacing w:line="560" w:lineRule="exact"/>
        <w:ind w:firstLine="640" w:firstLineChars="200"/>
        <w:rPr>
          <w:rFonts w:ascii="Times New Roman" w:hAnsi="Times New Roman" w:eastAsia="楷体_GB2312"/>
          <w:bCs/>
          <w:sz w:val="32"/>
          <w:szCs w:val="32"/>
        </w:rPr>
      </w:pPr>
      <w:r>
        <w:rPr>
          <w:rFonts w:ascii="Times New Roman" w:hAnsi="Times New Roman" w:eastAsia="楷体_GB2312"/>
          <w:bCs/>
          <w:sz w:val="32"/>
          <w:szCs w:val="32"/>
        </w:rPr>
        <w:t>6.6治安保障</w:t>
      </w:r>
    </w:p>
    <w:p w14:paraId="34A96EE3">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公安部门和事发地街道办事处负责治安保障，在事故现场周围设立警戒区和警戒哨，做好现场控制、交通管制、维护公共秩序，维护事故地区的社会稳定。</w:t>
      </w:r>
    </w:p>
    <w:p w14:paraId="2C19DC0D">
      <w:pPr>
        <w:spacing w:line="560" w:lineRule="exact"/>
        <w:ind w:firstLine="640" w:firstLineChars="200"/>
        <w:rPr>
          <w:rFonts w:ascii="Times New Roman" w:hAnsi="Times New Roman" w:eastAsia="楷体_GB2312"/>
          <w:bCs/>
          <w:sz w:val="32"/>
          <w:szCs w:val="32"/>
        </w:rPr>
      </w:pPr>
      <w:r>
        <w:rPr>
          <w:rFonts w:ascii="Times New Roman" w:hAnsi="Times New Roman" w:eastAsia="楷体_GB2312"/>
          <w:bCs/>
          <w:sz w:val="32"/>
          <w:szCs w:val="32"/>
        </w:rPr>
        <w:t xml:space="preserve">6.7物资保障 </w:t>
      </w:r>
    </w:p>
    <w:p w14:paraId="03BD5902">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应急物资部门建立应急救援设施、设备、救治药品和医疗器械等储备制度，储备必要的应急物资和装备。 </w:t>
      </w:r>
    </w:p>
    <w:p w14:paraId="234146A2">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区应急局根据实际情况，负责监督应急物资的储备情况、掌握应急物资的生产加工能力及储备情况。建立与其他地区物资调剂供应的渠道，以备物资短缺时，可以迅速调入。</w:t>
      </w:r>
    </w:p>
    <w:p w14:paraId="24739104">
      <w:pPr>
        <w:spacing w:line="560" w:lineRule="exact"/>
        <w:ind w:firstLine="640" w:firstLineChars="200"/>
        <w:rPr>
          <w:rFonts w:ascii="Times New Roman" w:hAnsi="Times New Roman" w:eastAsia="楷体_GB2312"/>
          <w:bCs/>
          <w:sz w:val="32"/>
          <w:szCs w:val="32"/>
        </w:rPr>
      </w:pPr>
      <w:r>
        <w:rPr>
          <w:rFonts w:ascii="Times New Roman" w:hAnsi="Times New Roman" w:eastAsia="楷体_GB2312"/>
          <w:bCs/>
          <w:sz w:val="32"/>
          <w:szCs w:val="32"/>
        </w:rPr>
        <w:t>6.8资金保障</w:t>
      </w:r>
    </w:p>
    <w:p w14:paraId="62DF30B4">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烟花爆竹企业应当做好事故应急救援必要的资金准备。事故应急救援资金首先由事故责任单位承担，事故责任单位暂时无力承担的，由事发地街道办事处协调解决。</w:t>
      </w:r>
    </w:p>
    <w:p w14:paraId="66083C88">
      <w:pPr>
        <w:spacing w:line="560" w:lineRule="exact"/>
        <w:ind w:firstLine="640" w:firstLineChars="200"/>
        <w:rPr>
          <w:rFonts w:ascii="Times New Roman" w:hAnsi="Times New Roman" w:eastAsia="楷体_GB2312"/>
          <w:bCs/>
          <w:sz w:val="32"/>
          <w:szCs w:val="32"/>
        </w:rPr>
      </w:pPr>
      <w:r>
        <w:rPr>
          <w:rFonts w:ascii="Times New Roman" w:hAnsi="Times New Roman" w:eastAsia="楷体_GB2312"/>
          <w:bCs/>
          <w:sz w:val="32"/>
          <w:szCs w:val="32"/>
        </w:rPr>
        <w:t xml:space="preserve">6.9技术储备与保障 </w:t>
      </w:r>
    </w:p>
    <w:p w14:paraId="2719F04F">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区应急局设立应急救援专家组，为应急救援提供技术支持和保障，并充分利用安全生产技术支撑的专家和机构，研究应急救援重大问题，开发应急技术和装备。</w:t>
      </w:r>
    </w:p>
    <w:p w14:paraId="3564681C">
      <w:pPr>
        <w:spacing w:line="560" w:lineRule="exact"/>
        <w:ind w:firstLine="640" w:firstLineChars="200"/>
        <w:rPr>
          <w:rFonts w:ascii="Times New Roman" w:hAnsi="Times New Roman" w:eastAsia="黑体"/>
          <w:sz w:val="32"/>
          <w:szCs w:val="32"/>
        </w:rPr>
      </w:pPr>
      <w:r>
        <w:rPr>
          <w:rFonts w:ascii="Times New Roman" w:hAnsi="Times New Roman" w:eastAsia="黑体"/>
          <w:sz w:val="32"/>
          <w:szCs w:val="32"/>
        </w:rPr>
        <w:t>7宣传教育、培训和演练</w:t>
      </w:r>
    </w:p>
    <w:p w14:paraId="39802F01">
      <w:pPr>
        <w:spacing w:line="560" w:lineRule="exact"/>
        <w:ind w:firstLine="640" w:firstLineChars="200"/>
        <w:rPr>
          <w:rFonts w:ascii="Times New Roman" w:hAnsi="Times New Roman" w:eastAsia="楷体_GB2312"/>
          <w:sz w:val="32"/>
          <w:szCs w:val="32"/>
        </w:rPr>
      </w:pPr>
      <w:r>
        <w:rPr>
          <w:rFonts w:ascii="Times New Roman" w:hAnsi="Times New Roman" w:eastAsia="楷体_GB2312"/>
          <w:sz w:val="32"/>
          <w:szCs w:val="32"/>
        </w:rPr>
        <w:t>7.1宣传教育</w:t>
      </w:r>
    </w:p>
    <w:p w14:paraId="13DDB1AE">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区应急局要定期会同有关部门做好本预案的宣传教育工作。</w:t>
      </w:r>
    </w:p>
    <w:p w14:paraId="7B99EC2B">
      <w:pPr>
        <w:spacing w:line="560" w:lineRule="exact"/>
        <w:ind w:firstLine="640" w:firstLineChars="200"/>
        <w:rPr>
          <w:rFonts w:ascii="Times New Roman" w:hAnsi="Times New Roman" w:eastAsia="楷体_GB2312"/>
          <w:sz w:val="32"/>
          <w:szCs w:val="32"/>
        </w:rPr>
      </w:pPr>
      <w:r>
        <w:rPr>
          <w:rFonts w:ascii="Times New Roman" w:hAnsi="Times New Roman" w:eastAsia="楷体_GB2312"/>
          <w:sz w:val="32"/>
          <w:szCs w:val="32"/>
        </w:rPr>
        <w:t>7.2培训和演练</w:t>
      </w:r>
    </w:p>
    <w:p w14:paraId="252D4293">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烟花爆竹生产经营企业和职能部门领导、应急管理和救援人员要参加上岗前和常识性培训。</w:t>
      </w:r>
    </w:p>
    <w:p w14:paraId="6A955DA3">
      <w:pPr>
        <w:spacing w:line="560" w:lineRule="exact"/>
        <w:ind w:firstLine="640" w:firstLineChars="200"/>
        <w:rPr>
          <w:rFonts w:ascii="Times New Roman" w:hAnsi="Times New Roman" w:eastAsia="黑体"/>
          <w:sz w:val="32"/>
          <w:szCs w:val="32"/>
        </w:rPr>
      </w:pPr>
      <w:r>
        <w:rPr>
          <w:rFonts w:ascii="Times New Roman" w:hAnsi="Times New Roman" w:eastAsia="黑体"/>
          <w:sz w:val="32"/>
          <w:szCs w:val="32"/>
        </w:rPr>
        <w:t>8附则</w:t>
      </w:r>
    </w:p>
    <w:p w14:paraId="12861473">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本预案自发布之日起实施。</w:t>
      </w:r>
    </w:p>
    <w:p w14:paraId="30AFBA1C">
      <w:pPr>
        <w:spacing w:line="560" w:lineRule="exact"/>
        <w:rPr>
          <w:rFonts w:ascii="Times New Roman" w:hAnsi="Times New Roman"/>
        </w:rPr>
      </w:pPr>
    </w:p>
    <w:p w14:paraId="6FE5AA46">
      <w:pPr>
        <w:spacing w:line="560" w:lineRule="exact"/>
        <w:rPr>
          <w:rFonts w:ascii="Times New Roman" w:hAnsi="Times New Roman"/>
        </w:rPr>
        <w:sectPr>
          <w:headerReference r:id="rId13" w:type="first"/>
          <w:footerReference r:id="rId16" w:type="first"/>
          <w:headerReference r:id="rId11" w:type="default"/>
          <w:footerReference r:id="rId14" w:type="default"/>
          <w:headerReference r:id="rId12" w:type="even"/>
          <w:footerReference r:id="rId15" w:type="even"/>
          <w:pgSz w:w="11906" w:h="16838"/>
          <w:pgMar w:top="1440" w:right="1800" w:bottom="1440" w:left="1800" w:header="851" w:footer="992" w:gutter="0"/>
          <w:cols w:space="720" w:num="1"/>
          <w:docGrid w:type="lines" w:linePitch="312" w:charSpace="0"/>
        </w:sectPr>
      </w:pPr>
    </w:p>
    <w:p w14:paraId="08083231">
      <w:pPr>
        <w:widowControl/>
        <w:tabs>
          <w:tab w:val="left" w:pos="1009"/>
          <w:tab w:val="center" w:pos="5375"/>
        </w:tabs>
        <w:spacing w:line="560" w:lineRule="exact"/>
        <w:jc w:val="left"/>
        <w:textAlignment w:val="center"/>
        <w:rPr>
          <w:rFonts w:ascii="Times New Roman" w:hAnsi="Times New Roman"/>
          <w:b/>
          <w:color w:val="000000"/>
          <w:kern w:val="0"/>
          <w:sz w:val="40"/>
          <w:szCs w:val="40"/>
          <w:lang w:bidi="ar"/>
        </w:rPr>
        <w:sectPr>
          <w:pgSz w:w="11906" w:h="16838"/>
          <w:pgMar w:top="1440" w:right="1800" w:bottom="1440" w:left="1800" w:header="851" w:footer="992" w:gutter="0"/>
          <w:cols w:space="720" w:num="1"/>
          <w:docGrid w:type="lines" w:linePitch="312" w:charSpace="0"/>
        </w:sectPr>
      </w:pPr>
    </w:p>
    <w:tbl>
      <w:tblPr>
        <w:tblStyle w:val="7"/>
        <w:tblW w:w="0" w:type="auto"/>
        <w:tblInd w:w="0" w:type="dxa"/>
        <w:tblLayout w:type="fixed"/>
        <w:tblCellMar>
          <w:top w:w="0" w:type="dxa"/>
          <w:left w:w="0" w:type="dxa"/>
          <w:bottom w:w="0" w:type="dxa"/>
          <w:right w:w="0" w:type="dxa"/>
        </w:tblCellMar>
      </w:tblPr>
      <w:tblGrid>
        <w:gridCol w:w="753"/>
        <w:gridCol w:w="855"/>
        <w:gridCol w:w="780"/>
        <w:gridCol w:w="3000"/>
        <w:gridCol w:w="915"/>
        <w:gridCol w:w="3012"/>
        <w:gridCol w:w="1335"/>
      </w:tblGrid>
      <w:tr w14:paraId="4538299C">
        <w:tblPrEx>
          <w:tblCellMar>
            <w:top w:w="0" w:type="dxa"/>
            <w:left w:w="0" w:type="dxa"/>
            <w:bottom w:w="0" w:type="dxa"/>
            <w:right w:w="0" w:type="dxa"/>
          </w:tblCellMar>
        </w:tblPrEx>
        <w:trPr>
          <w:trHeight w:val="915" w:hRule="atLeast"/>
        </w:trPr>
        <w:tc>
          <w:tcPr>
            <w:tcW w:w="10650" w:type="dxa"/>
            <w:gridSpan w:val="7"/>
            <w:tcBorders>
              <w:top w:val="nil"/>
              <w:left w:val="nil"/>
              <w:bottom w:val="nil"/>
              <w:right w:val="nil"/>
            </w:tcBorders>
            <w:noWrap/>
            <w:tcMar>
              <w:top w:w="15" w:type="dxa"/>
              <w:left w:w="15" w:type="dxa"/>
              <w:right w:w="15" w:type="dxa"/>
            </w:tcMar>
            <w:vAlign w:val="center"/>
          </w:tcPr>
          <w:p w14:paraId="232B56CB">
            <w:pPr>
              <w:widowControl/>
              <w:tabs>
                <w:tab w:val="left" w:pos="1009"/>
                <w:tab w:val="center" w:pos="5375"/>
              </w:tabs>
              <w:spacing w:line="560" w:lineRule="exact"/>
              <w:jc w:val="left"/>
              <w:textAlignment w:val="center"/>
              <w:rPr>
                <w:rFonts w:ascii="Times New Roman" w:hAnsi="Times New Roman"/>
                <w:b/>
                <w:color w:val="000000"/>
                <w:kern w:val="0"/>
                <w:sz w:val="40"/>
                <w:szCs w:val="40"/>
                <w:lang w:bidi="ar"/>
              </w:rPr>
            </w:pPr>
            <w:r>
              <w:rPr>
                <w:rFonts w:ascii="Times New Roman" w:hAnsi="Times New Roman"/>
                <w:b/>
                <w:color w:val="000000"/>
                <w:kern w:val="0"/>
                <w:sz w:val="40"/>
                <w:szCs w:val="40"/>
                <w:lang w:bidi="ar"/>
              </w:rPr>
              <w:t>附件：</w:t>
            </w:r>
          </w:p>
          <w:p w14:paraId="4A49DA39">
            <w:pPr>
              <w:widowControl/>
              <w:tabs>
                <w:tab w:val="left" w:pos="1009"/>
                <w:tab w:val="center" w:pos="5375"/>
              </w:tabs>
              <w:spacing w:line="560" w:lineRule="exact"/>
              <w:jc w:val="left"/>
              <w:textAlignment w:val="center"/>
              <w:rPr>
                <w:rFonts w:ascii="Times New Roman" w:hAnsi="Times New Roman"/>
                <w:b/>
                <w:color w:val="000000"/>
                <w:sz w:val="40"/>
                <w:szCs w:val="40"/>
              </w:rPr>
            </w:pPr>
            <w:r>
              <w:rPr>
                <w:rFonts w:ascii="Times New Roman" w:hAnsi="Times New Roman"/>
                <w:b/>
                <w:color w:val="000000"/>
                <w:kern w:val="0"/>
                <w:sz w:val="40"/>
                <w:szCs w:val="40"/>
                <w:lang w:bidi="ar"/>
              </w:rPr>
              <w:tab/>
            </w:r>
            <w:r>
              <w:rPr>
                <w:rFonts w:ascii="Times New Roman" w:hAnsi="Times New Roman"/>
                <w:b/>
                <w:color w:val="000000"/>
                <w:kern w:val="0"/>
                <w:sz w:val="40"/>
                <w:szCs w:val="40"/>
                <w:lang w:bidi="ar"/>
              </w:rPr>
              <w:tab/>
            </w:r>
            <w:r>
              <w:rPr>
                <w:rFonts w:ascii="Times New Roman" w:hAnsi="Times New Roman"/>
                <w:b/>
                <w:color w:val="000000"/>
                <w:kern w:val="0"/>
                <w:sz w:val="40"/>
                <w:szCs w:val="40"/>
                <w:lang w:bidi="ar"/>
              </w:rPr>
              <w:t>官渡区烟花爆竹短期零售店（点）统计表</w:t>
            </w:r>
          </w:p>
        </w:tc>
      </w:tr>
      <w:tr w14:paraId="42C102B7">
        <w:tblPrEx>
          <w:tblCellMar>
            <w:top w:w="0" w:type="dxa"/>
            <w:left w:w="0" w:type="dxa"/>
            <w:bottom w:w="0" w:type="dxa"/>
            <w:right w:w="0" w:type="dxa"/>
          </w:tblCellMar>
        </w:tblPrEx>
        <w:trPr>
          <w:trHeight w:val="840" w:hRule="atLeast"/>
        </w:trPr>
        <w:tc>
          <w:tcPr>
            <w:tcW w:w="7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1BE0399">
            <w:pPr>
              <w:widowControl/>
              <w:spacing w:line="560" w:lineRule="exact"/>
              <w:jc w:val="center"/>
              <w:textAlignment w:val="center"/>
              <w:rPr>
                <w:rFonts w:ascii="Times New Roman" w:hAnsi="Times New Roman" w:eastAsia="黑体"/>
                <w:b/>
                <w:color w:val="000000"/>
                <w:sz w:val="24"/>
              </w:rPr>
            </w:pPr>
            <w:r>
              <w:rPr>
                <w:rFonts w:ascii="Times New Roman" w:hAnsi="Times New Roman" w:eastAsia="黑体"/>
                <w:b/>
                <w:color w:val="000000"/>
                <w:kern w:val="0"/>
                <w:sz w:val="24"/>
                <w:lang w:bidi="ar"/>
              </w:rPr>
              <w:t>总序号</w:t>
            </w:r>
          </w:p>
        </w:tc>
        <w:tc>
          <w:tcPr>
            <w:tcW w:w="8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D788508">
            <w:pPr>
              <w:widowControl/>
              <w:spacing w:line="560" w:lineRule="exact"/>
              <w:jc w:val="center"/>
              <w:textAlignment w:val="center"/>
              <w:rPr>
                <w:rFonts w:ascii="Times New Roman" w:hAnsi="Times New Roman" w:eastAsia="黑体"/>
                <w:b/>
                <w:color w:val="000000"/>
                <w:sz w:val="24"/>
              </w:rPr>
            </w:pPr>
            <w:r>
              <w:rPr>
                <w:rFonts w:ascii="Times New Roman" w:hAnsi="Times New Roman" w:eastAsia="黑体"/>
                <w:b/>
                <w:color w:val="000000"/>
                <w:kern w:val="0"/>
                <w:sz w:val="24"/>
                <w:lang w:bidi="ar"/>
              </w:rPr>
              <w:t>县市区</w:t>
            </w:r>
          </w:p>
        </w:tc>
        <w:tc>
          <w:tcPr>
            <w:tcW w:w="7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3E08801">
            <w:pPr>
              <w:widowControl/>
              <w:spacing w:line="560" w:lineRule="exact"/>
              <w:jc w:val="center"/>
              <w:textAlignment w:val="center"/>
              <w:rPr>
                <w:rFonts w:ascii="Times New Roman" w:hAnsi="Times New Roman" w:eastAsia="黑体"/>
                <w:b/>
                <w:color w:val="000000"/>
                <w:sz w:val="24"/>
              </w:rPr>
            </w:pPr>
            <w:r>
              <w:rPr>
                <w:rFonts w:ascii="Times New Roman" w:hAnsi="Times New Roman" w:eastAsia="黑体"/>
                <w:b/>
                <w:color w:val="000000"/>
                <w:kern w:val="0"/>
                <w:sz w:val="24"/>
                <w:lang w:bidi="ar"/>
              </w:rPr>
              <w:t>分序号</w:t>
            </w:r>
          </w:p>
        </w:tc>
        <w:tc>
          <w:tcPr>
            <w:tcW w:w="30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EDC74B">
            <w:pPr>
              <w:widowControl/>
              <w:spacing w:line="560" w:lineRule="exact"/>
              <w:jc w:val="center"/>
              <w:textAlignment w:val="center"/>
              <w:rPr>
                <w:rFonts w:ascii="Times New Roman" w:hAnsi="Times New Roman" w:eastAsia="黑体"/>
                <w:b/>
                <w:color w:val="000000"/>
                <w:sz w:val="24"/>
              </w:rPr>
            </w:pPr>
            <w:r>
              <w:rPr>
                <w:rFonts w:ascii="Times New Roman" w:hAnsi="Times New Roman" w:eastAsia="黑体"/>
                <w:b/>
                <w:color w:val="000000"/>
                <w:kern w:val="0"/>
                <w:sz w:val="24"/>
                <w:lang w:bidi="ar"/>
              </w:rPr>
              <w:t>单位名称</w:t>
            </w:r>
          </w:p>
        </w:tc>
        <w:tc>
          <w:tcPr>
            <w:tcW w:w="9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B38114">
            <w:pPr>
              <w:widowControl/>
              <w:spacing w:line="560" w:lineRule="exact"/>
              <w:jc w:val="center"/>
              <w:textAlignment w:val="center"/>
              <w:rPr>
                <w:rFonts w:ascii="Times New Roman" w:hAnsi="Times New Roman" w:eastAsia="黑体"/>
                <w:b/>
                <w:color w:val="000000"/>
                <w:sz w:val="24"/>
              </w:rPr>
            </w:pPr>
            <w:r>
              <w:rPr>
                <w:rFonts w:ascii="Times New Roman" w:hAnsi="Times New Roman" w:eastAsia="黑体"/>
                <w:b/>
                <w:color w:val="000000"/>
                <w:kern w:val="0"/>
                <w:sz w:val="24"/>
                <w:lang w:bidi="ar"/>
              </w:rPr>
              <w:t>负责人</w:t>
            </w:r>
          </w:p>
        </w:tc>
        <w:tc>
          <w:tcPr>
            <w:tcW w:w="30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E2C2D5">
            <w:pPr>
              <w:widowControl/>
              <w:spacing w:line="560" w:lineRule="exact"/>
              <w:jc w:val="center"/>
              <w:textAlignment w:val="center"/>
              <w:rPr>
                <w:rFonts w:ascii="Times New Roman" w:hAnsi="Times New Roman" w:eastAsia="黑体"/>
                <w:b/>
                <w:color w:val="000000"/>
                <w:sz w:val="24"/>
              </w:rPr>
            </w:pPr>
            <w:r>
              <w:rPr>
                <w:rFonts w:ascii="Times New Roman" w:hAnsi="Times New Roman" w:eastAsia="黑体"/>
                <w:b/>
                <w:color w:val="000000"/>
                <w:kern w:val="0"/>
                <w:sz w:val="24"/>
                <w:lang w:bidi="ar"/>
              </w:rPr>
              <w:t>经营点</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905F45">
            <w:pPr>
              <w:widowControl/>
              <w:spacing w:line="560" w:lineRule="exact"/>
              <w:jc w:val="center"/>
              <w:textAlignment w:val="center"/>
              <w:rPr>
                <w:rFonts w:ascii="Times New Roman" w:hAnsi="Times New Roman" w:eastAsia="黑体"/>
                <w:b/>
                <w:color w:val="000000"/>
                <w:sz w:val="24"/>
              </w:rPr>
            </w:pPr>
            <w:r>
              <w:rPr>
                <w:rFonts w:ascii="Times New Roman" w:hAnsi="Times New Roman" w:eastAsia="黑体"/>
                <w:b/>
                <w:color w:val="000000"/>
                <w:kern w:val="0"/>
                <w:sz w:val="24"/>
                <w:lang w:bidi="ar"/>
              </w:rPr>
              <w:t>联系电话</w:t>
            </w:r>
          </w:p>
        </w:tc>
      </w:tr>
      <w:tr w14:paraId="08B69BEE">
        <w:tblPrEx>
          <w:tblCellMar>
            <w:top w:w="0" w:type="dxa"/>
            <w:left w:w="0" w:type="dxa"/>
            <w:bottom w:w="0" w:type="dxa"/>
            <w:right w:w="0" w:type="dxa"/>
          </w:tblCellMar>
        </w:tblPrEx>
        <w:trPr>
          <w:trHeight w:val="840" w:hRule="atLeast"/>
        </w:trPr>
        <w:tc>
          <w:tcPr>
            <w:tcW w:w="75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C375AA7">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B2BEBA0">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官渡区</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53D3056">
            <w:pPr>
              <w:widowControl/>
              <w:spacing w:line="560" w:lineRule="exact"/>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lang w:bidi="ar"/>
              </w:rPr>
              <w:t>1</w:t>
            </w:r>
          </w:p>
        </w:tc>
        <w:tc>
          <w:tcPr>
            <w:tcW w:w="3000" w:type="dxa"/>
            <w:tcBorders>
              <w:top w:val="nil"/>
              <w:left w:val="nil"/>
              <w:bottom w:val="single" w:color="000000" w:sz="8" w:space="0"/>
              <w:right w:val="single" w:color="000000" w:sz="8" w:space="0"/>
            </w:tcBorders>
            <w:shd w:val="clear" w:color="auto" w:fill="FFFFFF"/>
            <w:noWrap w:val="0"/>
            <w:tcMar>
              <w:top w:w="15" w:type="dxa"/>
              <w:left w:w="15" w:type="dxa"/>
              <w:right w:w="15" w:type="dxa"/>
            </w:tcMar>
            <w:vAlign w:val="center"/>
          </w:tcPr>
          <w:p w14:paraId="431FB60D">
            <w:pPr>
              <w:widowControl/>
              <w:spacing w:line="560" w:lineRule="exact"/>
              <w:jc w:val="left"/>
              <w:textAlignment w:val="center"/>
              <w:rPr>
                <w:rFonts w:ascii="Times New Roman" w:hAnsi="Times New Roman"/>
                <w:color w:val="000000"/>
              </w:rPr>
            </w:pPr>
            <w:r>
              <w:rPr>
                <w:rFonts w:ascii="Times New Roman" w:hAnsi="Times New Roman"/>
                <w:color w:val="000000"/>
                <w:kern w:val="0"/>
                <w:lang w:bidi="ar"/>
              </w:rPr>
              <w:t>官渡区代荣刚文具店</w:t>
            </w:r>
          </w:p>
        </w:tc>
        <w:tc>
          <w:tcPr>
            <w:tcW w:w="915" w:type="dxa"/>
            <w:tcBorders>
              <w:top w:val="nil"/>
              <w:left w:val="nil"/>
              <w:bottom w:val="single" w:color="000000" w:sz="8" w:space="0"/>
              <w:right w:val="single" w:color="000000" w:sz="8" w:space="0"/>
            </w:tcBorders>
            <w:shd w:val="clear" w:color="auto" w:fill="FFFFFF"/>
            <w:noWrap/>
            <w:tcMar>
              <w:top w:w="15" w:type="dxa"/>
              <w:left w:w="15" w:type="dxa"/>
              <w:right w:w="15" w:type="dxa"/>
            </w:tcMar>
            <w:vAlign w:val="center"/>
          </w:tcPr>
          <w:p w14:paraId="0B3BD4DB">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代荣刚</w:t>
            </w:r>
          </w:p>
        </w:tc>
        <w:tc>
          <w:tcPr>
            <w:tcW w:w="301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54E3799">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付家营路与古渡路交叉口北十字路口</w:t>
            </w:r>
          </w:p>
        </w:tc>
        <w:tc>
          <w:tcPr>
            <w:tcW w:w="133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B6FADB8">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13888189831</w:t>
            </w:r>
          </w:p>
        </w:tc>
      </w:tr>
      <w:tr w14:paraId="1B0ADA37">
        <w:tblPrEx>
          <w:tblCellMar>
            <w:top w:w="0" w:type="dxa"/>
            <w:left w:w="0" w:type="dxa"/>
            <w:bottom w:w="0" w:type="dxa"/>
            <w:right w:w="0" w:type="dxa"/>
          </w:tblCellMar>
        </w:tblPrEx>
        <w:trPr>
          <w:trHeight w:val="855" w:hRule="atLeast"/>
        </w:trPr>
        <w:tc>
          <w:tcPr>
            <w:tcW w:w="75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7303DB0">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2</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8F16C5A">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官渡区</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48BA021">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2</w:t>
            </w:r>
          </w:p>
        </w:tc>
        <w:tc>
          <w:tcPr>
            <w:tcW w:w="3000" w:type="dxa"/>
            <w:tcBorders>
              <w:top w:val="nil"/>
              <w:left w:val="nil"/>
              <w:bottom w:val="single" w:color="000000" w:sz="8" w:space="0"/>
              <w:right w:val="single" w:color="000000" w:sz="8" w:space="0"/>
            </w:tcBorders>
            <w:shd w:val="clear" w:color="auto" w:fill="FFFFFF"/>
            <w:noWrap w:val="0"/>
            <w:tcMar>
              <w:top w:w="15" w:type="dxa"/>
              <w:left w:w="15" w:type="dxa"/>
              <w:right w:w="15" w:type="dxa"/>
            </w:tcMar>
            <w:vAlign w:val="center"/>
          </w:tcPr>
          <w:p w14:paraId="57DC77FD">
            <w:pPr>
              <w:widowControl/>
              <w:spacing w:line="560" w:lineRule="exact"/>
              <w:jc w:val="left"/>
              <w:textAlignment w:val="center"/>
              <w:rPr>
                <w:rFonts w:ascii="Times New Roman" w:hAnsi="Times New Roman"/>
                <w:color w:val="000000"/>
              </w:rPr>
            </w:pPr>
            <w:r>
              <w:rPr>
                <w:rFonts w:ascii="Times New Roman" w:hAnsi="Times New Roman"/>
                <w:color w:val="000000"/>
                <w:kern w:val="0"/>
                <w:lang w:bidi="ar"/>
              </w:rPr>
              <w:t>昆明市官渡区剑心文具店</w:t>
            </w:r>
          </w:p>
        </w:tc>
        <w:tc>
          <w:tcPr>
            <w:tcW w:w="915" w:type="dxa"/>
            <w:tcBorders>
              <w:top w:val="nil"/>
              <w:left w:val="nil"/>
              <w:bottom w:val="single" w:color="000000" w:sz="8" w:space="0"/>
              <w:right w:val="single" w:color="000000" w:sz="8" w:space="0"/>
            </w:tcBorders>
            <w:shd w:val="clear" w:color="auto" w:fill="FFFFFF"/>
            <w:noWrap/>
            <w:tcMar>
              <w:top w:w="15" w:type="dxa"/>
              <w:left w:w="15" w:type="dxa"/>
              <w:right w:w="15" w:type="dxa"/>
            </w:tcMar>
            <w:vAlign w:val="center"/>
          </w:tcPr>
          <w:p w14:paraId="31DD2F63">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赵祖剑</w:t>
            </w:r>
          </w:p>
        </w:tc>
        <w:tc>
          <w:tcPr>
            <w:tcW w:w="301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D95DCAB">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昆明市官渡区世纪城如意公园东口小广场</w:t>
            </w:r>
          </w:p>
        </w:tc>
        <w:tc>
          <w:tcPr>
            <w:tcW w:w="133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33A3A12">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18206769396</w:t>
            </w:r>
          </w:p>
        </w:tc>
      </w:tr>
      <w:tr w14:paraId="2BE2E59C">
        <w:tblPrEx>
          <w:tblCellMar>
            <w:top w:w="0" w:type="dxa"/>
            <w:left w:w="0" w:type="dxa"/>
            <w:bottom w:w="0" w:type="dxa"/>
            <w:right w:w="0" w:type="dxa"/>
          </w:tblCellMar>
        </w:tblPrEx>
        <w:trPr>
          <w:trHeight w:val="555" w:hRule="atLeast"/>
        </w:trPr>
        <w:tc>
          <w:tcPr>
            <w:tcW w:w="75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716C089">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3</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6C44E96">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官渡区</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A208F11">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3</w:t>
            </w:r>
          </w:p>
        </w:tc>
        <w:tc>
          <w:tcPr>
            <w:tcW w:w="3000" w:type="dxa"/>
            <w:tcBorders>
              <w:top w:val="nil"/>
              <w:left w:val="nil"/>
              <w:bottom w:val="single" w:color="000000" w:sz="8" w:space="0"/>
              <w:right w:val="single" w:color="000000" w:sz="8" w:space="0"/>
            </w:tcBorders>
            <w:shd w:val="clear" w:color="auto" w:fill="FFFFFF"/>
            <w:noWrap w:val="0"/>
            <w:tcMar>
              <w:top w:w="15" w:type="dxa"/>
              <w:left w:w="15" w:type="dxa"/>
              <w:right w:w="15" w:type="dxa"/>
            </w:tcMar>
            <w:vAlign w:val="center"/>
          </w:tcPr>
          <w:p w14:paraId="7615FEF9">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官渡区小琼日用百货经营部</w:t>
            </w:r>
          </w:p>
        </w:tc>
        <w:tc>
          <w:tcPr>
            <w:tcW w:w="915" w:type="dxa"/>
            <w:tcBorders>
              <w:top w:val="nil"/>
              <w:left w:val="nil"/>
              <w:bottom w:val="single" w:color="000000" w:sz="8" w:space="0"/>
              <w:right w:val="single" w:color="000000" w:sz="8" w:space="0"/>
            </w:tcBorders>
            <w:shd w:val="clear" w:color="auto" w:fill="FFFFFF"/>
            <w:noWrap/>
            <w:tcMar>
              <w:top w:w="15" w:type="dxa"/>
              <w:left w:w="15" w:type="dxa"/>
              <w:right w:w="15" w:type="dxa"/>
            </w:tcMar>
            <w:vAlign w:val="center"/>
          </w:tcPr>
          <w:p w14:paraId="138D06AA">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杨琼</w:t>
            </w:r>
          </w:p>
        </w:tc>
        <w:tc>
          <w:tcPr>
            <w:tcW w:w="301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0015D21">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银海樱花语生鲜超市门口</w:t>
            </w:r>
          </w:p>
        </w:tc>
        <w:tc>
          <w:tcPr>
            <w:tcW w:w="133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0FF31C2">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15911725774</w:t>
            </w:r>
          </w:p>
        </w:tc>
      </w:tr>
      <w:tr w14:paraId="0D0E7A72">
        <w:tblPrEx>
          <w:tblCellMar>
            <w:top w:w="0" w:type="dxa"/>
            <w:left w:w="0" w:type="dxa"/>
            <w:bottom w:w="0" w:type="dxa"/>
            <w:right w:w="0" w:type="dxa"/>
          </w:tblCellMar>
        </w:tblPrEx>
        <w:trPr>
          <w:trHeight w:val="840" w:hRule="atLeast"/>
        </w:trPr>
        <w:tc>
          <w:tcPr>
            <w:tcW w:w="75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62A30D8">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4</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0A482D6">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官渡区</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0D0D942">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4</w:t>
            </w:r>
          </w:p>
        </w:tc>
        <w:tc>
          <w:tcPr>
            <w:tcW w:w="3000" w:type="dxa"/>
            <w:tcBorders>
              <w:top w:val="nil"/>
              <w:left w:val="nil"/>
              <w:bottom w:val="single" w:color="000000" w:sz="8" w:space="0"/>
              <w:right w:val="single" w:color="000000" w:sz="8" w:space="0"/>
            </w:tcBorders>
            <w:shd w:val="clear" w:color="auto" w:fill="FFFFFF"/>
            <w:noWrap w:val="0"/>
            <w:tcMar>
              <w:top w:w="15" w:type="dxa"/>
              <w:left w:w="15" w:type="dxa"/>
              <w:right w:w="15" w:type="dxa"/>
            </w:tcMar>
            <w:vAlign w:val="center"/>
          </w:tcPr>
          <w:p w14:paraId="41CE13D6">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昆明市官渡区爱衣次服装店</w:t>
            </w:r>
          </w:p>
        </w:tc>
        <w:tc>
          <w:tcPr>
            <w:tcW w:w="915" w:type="dxa"/>
            <w:tcBorders>
              <w:top w:val="nil"/>
              <w:left w:val="nil"/>
              <w:bottom w:val="single" w:color="000000" w:sz="8" w:space="0"/>
              <w:right w:val="single" w:color="000000" w:sz="8" w:space="0"/>
            </w:tcBorders>
            <w:shd w:val="clear" w:color="auto" w:fill="FFFFFF"/>
            <w:noWrap/>
            <w:tcMar>
              <w:top w:w="15" w:type="dxa"/>
              <w:left w:w="15" w:type="dxa"/>
              <w:right w:w="15" w:type="dxa"/>
            </w:tcMar>
            <w:vAlign w:val="center"/>
          </w:tcPr>
          <w:p w14:paraId="17CB227F">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余吕</w:t>
            </w:r>
          </w:p>
        </w:tc>
        <w:tc>
          <w:tcPr>
            <w:tcW w:w="301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8E91E26">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官渡区世纪城如意路与如意中路交叉口</w:t>
            </w:r>
          </w:p>
        </w:tc>
        <w:tc>
          <w:tcPr>
            <w:tcW w:w="133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157C526">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15925074364</w:t>
            </w:r>
          </w:p>
        </w:tc>
      </w:tr>
      <w:tr w14:paraId="2E4CA65E">
        <w:tblPrEx>
          <w:tblCellMar>
            <w:top w:w="0" w:type="dxa"/>
            <w:left w:w="0" w:type="dxa"/>
            <w:bottom w:w="0" w:type="dxa"/>
            <w:right w:w="0" w:type="dxa"/>
          </w:tblCellMar>
        </w:tblPrEx>
        <w:trPr>
          <w:trHeight w:val="735" w:hRule="atLeast"/>
        </w:trPr>
        <w:tc>
          <w:tcPr>
            <w:tcW w:w="75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B78DDBA">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5</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92AE138">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官渡区</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383F2B0">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5</w:t>
            </w:r>
          </w:p>
        </w:tc>
        <w:tc>
          <w:tcPr>
            <w:tcW w:w="3000" w:type="dxa"/>
            <w:tcBorders>
              <w:top w:val="nil"/>
              <w:left w:val="nil"/>
              <w:bottom w:val="single" w:color="000000" w:sz="8" w:space="0"/>
              <w:right w:val="single" w:color="000000" w:sz="8" w:space="0"/>
            </w:tcBorders>
            <w:shd w:val="clear" w:color="auto" w:fill="FFFFFF"/>
            <w:noWrap w:val="0"/>
            <w:tcMar>
              <w:top w:w="15" w:type="dxa"/>
              <w:left w:w="15" w:type="dxa"/>
              <w:right w:w="15" w:type="dxa"/>
            </w:tcMar>
            <w:vAlign w:val="center"/>
          </w:tcPr>
          <w:p w14:paraId="13D96780">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昆明市官渡区赞楠服装店</w:t>
            </w:r>
          </w:p>
        </w:tc>
        <w:tc>
          <w:tcPr>
            <w:tcW w:w="915" w:type="dxa"/>
            <w:tcBorders>
              <w:top w:val="nil"/>
              <w:left w:val="nil"/>
              <w:bottom w:val="single" w:color="000000" w:sz="8" w:space="0"/>
              <w:right w:val="single" w:color="000000" w:sz="8" w:space="0"/>
            </w:tcBorders>
            <w:shd w:val="clear" w:color="auto" w:fill="FFFFFF"/>
            <w:noWrap/>
            <w:tcMar>
              <w:top w:w="15" w:type="dxa"/>
              <w:left w:w="15" w:type="dxa"/>
              <w:right w:w="15" w:type="dxa"/>
            </w:tcMar>
            <w:vAlign w:val="center"/>
          </w:tcPr>
          <w:p w14:paraId="4A795B2D">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王玉辉</w:t>
            </w:r>
          </w:p>
        </w:tc>
        <w:tc>
          <w:tcPr>
            <w:tcW w:w="301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D33166B">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古渡口路与季宏路交叉口（富贵园酒店前）</w:t>
            </w:r>
          </w:p>
        </w:tc>
        <w:tc>
          <w:tcPr>
            <w:tcW w:w="133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2156D8A">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13888403027</w:t>
            </w:r>
          </w:p>
        </w:tc>
      </w:tr>
      <w:tr w14:paraId="4294F580">
        <w:tblPrEx>
          <w:tblCellMar>
            <w:top w:w="0" w:type="dxa"/>
            <w:left w:w="0" w:type="dxa"/>
            <w:bottom w:w="0" w:type="dxa"/>
            <w:right w:w="0" w:type="dxa"/>
          </w:tblCellMar>
        </w:tblPrEx>
        <w:trPr>
          <w:trHeight w:val="780" w:hRule="atLeast"/>
        </w:trPr>
        <w:tc>
          <w:tcPr>
            <w:tcW w:w="75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27A2F4A">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6</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F84498E">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官渡区</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AE95380">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6</w:t>
            </w:r>
          </w:p>
        </w:tc>
        <w:tc>
          <w:tcPr>
            <w:tcW w:w="3000" w:type="dxa"/>
            <w:tcBorders>
              <w:top w:val="nil"/>
              <w:left w:val="nil"/>
              <w:bottom w:val="single" w:color="000000" w:sz="8" w:space="0"/>
              <w:right w:val="single" w:color="000000" w:sz="8" w:space="0"/>
            </w:tcBorders>
            <w:shd w:val="clear" w:color="auto" w:fill="FFFFFF"/>
            <w:noWrap w:val="0"/>
            <w:tcMar>
              <w:top w:w="15" w:type="dxa"/>
              <w:left w:w="15" w:type="dxa"/>
              <w:right w:w="15" w:type="dxa"/>
            </w:tcMar>
            <w:vAlign w:val="center"/>
          </w:tcPr>
          <w:p w14:paraId="10D5B940">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官渡区茂勇计算机维修服务部</w:t>
            </w:r>
          </w:p>
        </w:tc>
        <w:tc>
          <w:tcPr>
            <w:tcW w:w="915" w:type="dxa"/>
            <w:tcBorders>
              <w:top w:val="nil"/>
              <w:left w:val="nil"/>
              <w:bottom w:val="single" w:color="000000" w:sz="8" w:space="0"/>
              <w:right w:val="single" w:color="000000" w:sz="8" w:space="0"/>
            </w:tcBorders>
            <w:shd w:val="clear" w:color="auto" w:fill="FFFFFF"/>
            <w:noWrap/>
            <w:tcMar>
              <w:top w:w="15" w:type="dxa"/>
              <w:left w:w="15" w:type="dxa"/>
              <w:right w:w="15" w:type="dxa"/>
            </w:tcMar>
            <w:vAlign w:val="center"/>
          </w:tcPr>
          <w:p w14:paraId="7C595780">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罗浩</w:t>
            </w:r>
          </w:p>
        </w:tc>
        <w:tc>
          <w:tcPr>
            <w:tcW w:w="301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10A029C">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付家营路滇池向阳院小区大门西侧</w:t>
            </w:r>
          </w:p>
        </w:tc>
        <w:tc>
          <w:tcPr>
            <w:tcW w:w="133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2D50691">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15288158112</w:t>
            </w:r>
          </w:p>
        </w:tc>
      </w:tr>
      <w:tr w14:paraId="4BF94583">
        <w:tblPrEx>
          <w:tblCellMar>
            <w:top w:w="0" w:type="dxa"/>
            <w:left w:w="0" w:type="dxa"/>
            <w:bottom w:w="0" w:type="dxa"/>
            <w:right w:w="0" w:type="dxa"/>
          </w:tblCellMar>
        </w:tblPrEx>
        <w:trPr>
          <w:trHeight w:val="780" w:hRule="atLeast"/>
        </w:trPr>
        <w:tc>
          <w:tcPr>
            <w:tcW w:w="75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628AFEA">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7</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62E4EC1">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官渡区</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33A9274">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7</w:t>
            </w:r>
          </w:p>
        </w:tc>
        <w:tc>
          <w:tcPr>
            <w:tcW w:w="3000" w:type="dxa"/>
            <w:tcBorders>
              <w:top w:val="nil"/>
              <w:left w:val="nil"/>
              <w:bottom w:val="single" w:color="000000" w:sz="8" w:space="0"/>
              <w:right w:val="single" w:color="000000" w:sz="8" w:space="0"/>
            </w:tcBorders>
            <w:shd w:val="clear" w:color="auto" w:fill="FFFFFF"/>
            <w:noWrap w:val="0"/>
            <w:tcMar>
              <w:top w:w="15" w:type="dxa"/>
              <w:left w:w="15" w:type="dxa"/>
              <w:right w:w="15" w:type="dxa"/>
            </w:tcMar>
            <w:vAlign w:val="center"/>
          </w:tcPr>
          <w:p w14:paraId="314F2D1B">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官渡区宏甸日用百货经营部</w:t>
            </w:r>
          </w:p>
        </w:tc>
        <w:tc>
          <w:tcPr>
            <w:tcW w:w="915" w:type="dxa"/>
            <w:tcBorders>
              <w:top w:val="nil"/>
              <w:left w:val="nil"/>
              <w:bottom w:val="single" w:color="000000" w:sz="8" w:space="0"/>
              <w:right w:val="single" w:color="000000" w:sz="8" w:space="0"/>
            </w:tcBorders>
            <w:shd w:val="clear" w:color="auto" w:fill="FFFFFF"/>
            <w:noWrap/>
            <w:tcMar>
              <w:top w:w="15" w:type="dxa"/>
              <w:left w:w="15" w:type="dxa"/>
              <w:right w:w="15" w:type="dxa"/>
            </w:tcMar>
            <w:vAlign w:val="center"/>
          </w:tcPr>
          <w:p w14:paraId="42AC0279">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雷天宏</w:t>
            </w:r>
          </w:p>
        </w:tc>
        <w:tc>
          <w:tcPr>
            <w:tcW w:w="301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D483791">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龙马路艺术家园区营销中心门前空地</w:t>
            </w:r>
          </w:p>
        </w:tc>
        <w:tc>
          <w:tcPr>
            <w:tcW w:w="133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2A752F0">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15887293189</w:t>
            </w:r>
          </w:p>
        </w:tc>
      </w:tr>
      <w:tr w14:paraId="3FE78B9C">
        <w:tblPrEx>
          <w:tblCellMar>
            <w:top w:w="0" w:type="dxa"/>
            <w:left w:w="0" w:type="dxa"/>
            <w:bottom w:w="0" w:type="dxa"/>
            <w:right w:w="0" w:type="dxa"/>
          </w:tblCellMar>
        </w:tblPrEx>
        <w:trPr>
          <w:trHeight w:val="660" w:hRule="atLeast"/>
        </w:trPr>
        <w:tc>
          <w:tcPr>
            <w:tcW w:w="75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9CEF625">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8</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4B518AC">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官渡区</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4F4A3B3">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8</w:t>
            </w:r>
          </w:p>
        </w:tc>
        <w:tc>
          <w:tcPr>
            <w:tcW w:w="3000" w:type="dxa"/>
            <w:tcBorders>
              <w:top w:val="nil"/>
              <w:left w:val="nil"/>
              <w:bottom w:val="single" w:color="000000" w:sz="8" w:space="0"/>
              <w:right w:val="single" w:color="000000" w:sz="8" w:space="0"/>
            </w:tcBorders>
            <w:shd w:val="clear" w:color="auto" w:fill="FFFFFF"/>
            <w:noWrap w:val="0"/>
            <w:tcMar>
              <w:top w:w="15" w:type="dxa"/>
              <w:left w:w="15" w:type="dxa"/>
              <w:right w:w="15" w:type="dxa"/>
            </w:tcMar>
            <w:vAlign w:val="center"/>
          </w:tcPr>
          <w:p w14:paraId="7025E5D4">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官渡区茂昆副食经营部</w:t>
            </w:r>
          </w:p>
        </w:tc>
        <w:tc>
          <w:tcPr>
            <w:tcW w:w="915" w:type="dxa"/>
            <w:tcBorders>
              <w:top w:val="nil"/>
              <w:left w:val="nil"/>
              <w:bottom w:val="single" w:color="000000" w:sz="8" w:space="0"/>
              <w:right w:val="single" w:color="000000" w:sz="8" w:space="0"/>
            </w:tcBorders>
            <w:shd w:val="clear" w:color="auto" w:fill="FFFFFF"/>
            <w:noWrap/>
            <w:tcMar>
              <w:top w:w="15" w:type="dxa"/>
              <w:left w:w="15" w:type="dxa"/>
              <w:right w:w="15" w:type="dxa"/>
            </w:tcMar>
            <w:vAlign w:val="center"/>
          </w:tcPr>
          <w:p w14:paraId="6FABAFEE">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孟祥达</w:t>
            </w:r>
          </w:p>
        </w:tc>
        <w:tc>
          <w:tcPr>
            <w:tcW w:w="301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2B484E2">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吉祥中路与吉祥路交叉口南侧空地</w:t>
            </w:r>
          </w:p>
        </w:tc>
        <w:tc>
          <w:tcPr>
            <w:tcW w:w="133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110285E">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13211765073</w:t>
            </w:r>
          </w:p>
        </w:tc>
      </w:tr>
      <w:tr w14:paraId="26087328">
        <w:tblPrEx>
          <w:tblCellMar>
            <w:top w:w="0" w:type="dxa"/>
            <w:left w:w="0" w:type="dxa"/>
            <w:bottom w:w="0" w:type="dxa"/>
            <w:right w:w="0" w:type="dxa"/>
          </w:tblCellMar>
        </w:tblPrEx>
        <w:trPr>
          <w:trHeight w:val="1020" w:hRule="atLeast"/>
        </w:trPr>
        <w:tc>
          <w:tcPr>
            <w:tcW w:w="75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9042E3B">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9</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B38F676">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官渡区</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DFBA6D2">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9</w:t>
            </w:r>
          </w:p>
        </w:tc>
        <w:tc>
          <w:tcPr>
            <w:tcW w:w="3000" w:type="dxa"/>
            <w:tcBorders>
              <w:top w:val="nil"/>
              <w:left w:val="nil"/>
              <w:bottom w:val="single" w:color="000000" w:sz="8" w:space="0"/>
              <w:right w:val="single" w:color="000000" w:sz="8" w:space="0"/>
            </w:tcBorders>
            <w:shd w:val="clear" w:color="auto" w:fill="FFFFFF"/>
            <w:noWrap w:val="0"/>
            <w:tcMar>
              <w:top w:w="15" w:type="dxa"/>
              <w:left w:w="15" w:type="dxa"/>
              <w:right w:w="15" w:type="dxa"/>
            </w:tcMar>
            <w:vAlign w:val="center"/>
          </w:tcPr>
          <w:p w14:paraId="4A457317">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官渡区思和百货店</w:t>
            </w:r>
          </w:p>
        </w:tc>
        <w:tc>
          <w:tcPr>
            <w:tcW w:w="915" w:type="dxa"/>
            <w:tcBorders>
              <w:top w:val="nil"/>
              <w:left w:val="nil"/>
              <w:bottom w:val="single" w:color="000000" w:sz="8" w:space="0"/>
              <w:right w:val="single" w:color="000000" w:sz="8" w:space="0"/>
            </w:tcBorders>
            <w:shd w:val="clear" w:color="auto" w:fill="FFFFFF"/>
            <w:noWrap/>
            <w:tcMar>
              <w:top w:w="15" w:type="dxa"/>
              <w:left w:w="15" w:type="dxa"/>
              <w:right w:w="15" w:type="dxa"/>
            </w:tcMar>
            <w:vAlign w:val="center"/>
          </w:tcPr>
          <w:p w14:paraId="675BEBA3">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邱如意</w:t>
            </w:r>
          </w:p>
        </w:tc>
        <w:tc>
          <w:tcPr>
            <w:tcW w:w="301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1EDE53C">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如意环路与世纪城中路交叉口北侧50m华春苑15栋对面</w:t>
            </w:r>
          </w:p>
        </w:tc>
        <w:tc>
          <w:tcPr>
            <w:tcW w:w="133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91281EA">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18788178209</w:t>
            </w:r>
          </w:p>
        </w:tc>
      </w:tr>
      <w:tr w14:paraId="46B7174E">
        <w:tblPrEx>
          <w:tblCellMar>
            <w:top w:w="0" w:type="dxa"/>
            <w:left w:w="0" w:type="dxa"/>
            <w:bottom w:w="0" w:type="dxa"/>
            <w:right w:w="0" w:type="dxa"/>
          </w:tblCellMar>
        </w:tblPrEx>
        <w:trPr>
          <w:trHeight w:val="1185" w:hRule="atLeast"/>
        </w:trPr>
        <w:tc>
          <w:tcPr>
            <w:tcW w:w="75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9DEDCCB">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10</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A631924">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官渡区</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F3E450E">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10</w:t>
            </w:r>
          </w:p>
        </w:tc>
        <w:tc>
          <w:tcPr>
            <w:tcW w:w="3000" w:type="dxa"/>
            <w:tcBorders>
              <w:top w:val="nil"/>
              <w:left w:val="nil"/>
              <w:bottom w:val="single" w:color="000000" w:sz="8" w:space="0"/>
              <w:right w:val="single" w:color="000000" w:sz="8" w:space="0"/>
            </w:tcBorders>
            <w:shd w:val="clear" w:color="auto" w:fill="FFFFFF"/>
            <w:noWrap w:val="0"/>
            <w:tcMar>
              <w:top w:w="15" w:type="dxa"/>
              <w:left w:w="15" w:type="dxa"/>
              <w:right w:w="15" w:type="dxa"/>
            </w:tcMar>
            <w:vAlign w:val="center"/>
          </w:tcPr>
          <w:p w14:paraId="7EE5D2A4">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官渡区天怡日用百货经营部</w:t>
            </w:r>
          </w:p>
        </w:tc>
        <w:tc>
          <w:tcPr>
            <w:tcW w:w="915" w:type="dxa"/>
            <w:tcBorders>
              <w:top w:val="nil"/>
              <w:left w:val="nil"/>
              <w:bottom w:val="single" w:color="000000" w:sz="8" w:space="0"/>
              <w:right w:val="single" w:color="000000" w:sz="8" w:space="0"/>
            </w:tcBorders>
            <w:shd w:val="clear" w:color="auto" w:fill="FFFFFF"/>
            <w:noWrap/>
            <w:tcMar>
              <w:top w:w="15" w:type="dxa"/>
              <w:left w:w="15" w:type="dxa"/>
              <w:right w:w="15" w:type="dxa"/>
            </w:tcMar>
            <w:vAlign w:val="center"/>
          </w:tcPr>
          <w:p w14:paraId="74A3CA4D">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薛琴</w:t>
            </w:r>
          </w:p>
        </w:tc>
        <w:tc>
          <w:tcPr>
            <w:tcW w:w="301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0DDBEF2">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饵季路旁大澡堂与天穹娱乐KTV中间世纪便利店前空地</w:t>
            </w:r>
          </w:p>
        </w:tc>
        <w:tc>
          <w:tcPr>
            <w:tcW w:w="133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9A885A0">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13668755708</w:t>
            </w:r>
          </w:p>
        </w:tc>
      </w:tr>
      <w:tr w14:paraId="21D9A0A6">
        <w:tblPrEx>
          <w:tblCellMar>
            <w:top w:w="0" w:type="dxa"/>
            <w:left w:w="0" w:type="dxa"/>
            <w:bottom w:w="0" w:type="dxa"/>
            <w:right w:w="0" w:type="dxa"/>
          </w:tblCellMar>
        </w:tblPrEx>
        <w:trPr>
          <w:trHeight w:val="780" w:hRule="atLeast"/>
        </w:trPr>
        <w:tc>
          <w:tcPr>
            <w:tcW w:w="75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E508881">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11</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6679B96">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官渡区</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68AC989">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11</w:t>
            </w:r>
          </w:p>
        </w:tc>
        <w:tc>
          <w:tcPr>
            <w:tcW w:w="3000" w:type="dxa"/>
            <w:tcBorders>
              <w:top w:val="nil"/>
              <w:left w:val="nil"/>
              <w:bottom w:val="single" w:color="000000" w:sz="8" w:space="0"/>
              <w:right w:val="single" w:color="000000" w:sz="8" w:space="0"/>
            </w:tcBorders>
            <w:shd w:val="clear" w:color="auto" w:fill="FFFFFF"/>
            <w:noWrap w:val="0"/>
            <w:tcMar>
              <w:top w:w="15" w:type="dxa"/>
              <w:left w:w="15" w:type="dxa"/>
              <w:right w:w="15" w:type="dxa"/>
            </w:tcMar>
            <w:vAlign w:val="center"/>
          </w:tcPr>
          <w:p w14:paraId="042D1F3A">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官渡区莉媛服装店</w:t>
            </w:r>
          </w:p>
        </w:tc>
        <w:tc>
          <w:tcPr>
            <w:tcW w:w="915" w:type="dxa"/>
            <w:tcBorders>
              <w:top w:val="nil"/>
              <w:left w:val="nil"/>
              <w:bottom w:val="single" w:color="000000" w:sz="8" w:space="0"/>
              <w:right w:val="single" w:color="000000" w:sz="8" w:space="0"/>
            </w:tcBorders>
            <w:shd w:val="clear" w:color="auto" w:fill="FFFFFF"/>
            <w:noWrap/>
            <w:tcMar>
              <w:top w:w="15" w:type="dxa"/>
              <w:left w:w="15" w:type="dxa"/>
              <w:right w:w="15" w:type="dxa"/>
            </w:tcMar>
            <w:vAlign w:val="center"/>
          </w:tcPr>
          <w:p w14:paraId="2BB98494">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高莉媛</w:t>
            </w:r>
          </w:p>
        </w:tc>
        <w:tc>
          <w:tcPr>
            <w:tcW w:w="301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5ECF505">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金源大道世纪金源购物中心东南3门对面</w:t>
            </w:r>
          </w:p>
        </w:tc>
        <w:tc>
          <w:tcPr>
            <w:tcW w:w="133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5407FDE">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18587318529</w:t>
            </w:r>
          </w:p>
        </w:tc>
      </w:tr>
      <w:tr w14:paraId="060B6291">
        <w:tblPrEx>
          <w:tblCellMar>
            <w:top w:w="0" w:type="dxa"/>
            <w:left w:w="0" w:type="dxa"/>
            <w:bottom w:w="0" w:type="dxa"/>
            <w:right w:w="0" w:type="dxa"/>
          </w:tblCellMar>
        </w:tblPrEx>
        <w:trPr>
          <w:trHeight w:val="855" w:hRule="atLeast"/>
        </w:trPr>
        <w:tc>
          <w:tcPr>
            <w:tcW w:w="75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F0C2378">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12</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988BDD1">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官渡区</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A3326F4">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12</w:t>
            </w:r>
          </w:p>
        </w:tc>
        <w:tc>
          <w:tcPr>
            <w:tcW w:w="3000" w:type="dxa"/>
            <w:tcBorders>
              <w:top w:val="nil"/>
              <w:left w:val="nil"/>
              <w:bottom w:val="single" w:color="000000" w:sz="8" w:space="0"/>
              <w:right w:val="single" w:color="000000" w:sz="8" w:space="0"/>
            </w:tcBorders>
            <w:shd w:val="clear" w:color="auto" w:fill="FFFFFF"/>
            <w:noWrap w:val="0"/>
            <w:tcMar>
              <w:top w:w="15" w:type="dxa"/>
              <w:left w:w="15" w:type="dxa"/>
              <w:right w:w="15" w:type="dxa"/>
            </w:tcMar>
            <w:vAlign w:val="center"/>
          </w:tcPr>
          <w:p w14:paraId="7B7CDB33">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昆明雄竹物业服务有限公司</w:t>
            </w:r>
          </w:p>
        </w:tc>
        <w:tc>
          <w:tcPr>
            <w:tcW w:w="915" w:type="dxa"/>
            <w:tcBorders>
              <w:top w:val="nil"/>
              <w:left w:val="nil"/>
              <w:bottom w:val="single" w:color="000000" w:sz="8" w:space="0"/>
              <w:right w:val="single" w:color="000000" w:sz="8" w:space="0"/>
            </w:tcBorders>
            <w:shd w:val="clear" w:color="auto" w:fill="FFFFFF"/>
            <w:noWrap/>
            <w:tcMar>
              <w:top w:w="15" w:type="dxa"/>
              <w:left w:w="15" w:type="dxa"/>
              <w:right w:w="15" w:type="dxa"/>
            </w:tcMar>
            <w:vAlign w:val="center"/>
          </w:tcPr>
          <w:p w14:paraId="240BC51D">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顾庆山</w:t>
            </w:r>
          </w:p>
        </w:tc>
        <w:tc>
          <w:tcPr>
            <w:tcW w:w="301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71839D8">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49号路与季宏路交叉口西侧空地广源小区旁</w:t>
            </w:r>
          </w:p>
        </w:tc>
        <w:tc>
          <w:tcPr>
            <w:tcW w:w="133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57DFF7B">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13888887070</w:t>
            </w:r>
          </w:p>
        </w:tc>
      </w:tr>
      <w:tr w14:paraId="638CFCCC">
        <w:tblPrEx>
          <w:tblCellMar>
            <w:top w:w="0" w:type="dxa"/>
            <w:left w:w="0" w:type="dxa"/>
            <w:bottom w:w="0" w:type="dxa"/>
            <w:right w:w="0" w:type="dxa"/>
          </w:tblCellMar>
        </w:tblPrEx>
        <w:trPr>
          <w:trHeight w:val="990" w:hRule="atLeast"/>
        </w:trPr>
        <w:tc>
          <w:tcPr>
            <w:tcW w:w="75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89C4D9F">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13</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DCB1673">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官渡区</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ABD0670">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13</w:t>
            </w:r>
          </w:p>
        </w:tc>
        <w:tc>
          <w:tcPr>
            <w:tcW w:w="3000" w:type="dxa"/>
            <w:tcBorders>
              <w:top w:val="nil"/>
              <w:left w:val="nil"/>
              <w:bottom w:val="single" w:color="000000" w:sz="8" w:space="0"/>
              <w:right w:val="single" w:color="000000" w:sz="8" w:space="0"/>
            </w:tcBorders>
            <w:shd w:val="clear" w:color="auto" w:fill="FFFFFF"/>
            <w:noWrap w:val="0"/>
            <w:tcMar>
              <w:top w:w="15" w:type="dxa"/>
              <w:left w:w="15" w:type="dxa"/>
              <w:right w:w="15" w:type="dxa"/>
            </w:tcMar>
            <w:vAlign w:val="center"/>
          </w:tcPr>
          <w:p w14:paraId="5B316374">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官渡区爱柔家具经营部</w:t>
            </w:r>
          </w:p>
        </w:tc>
        <w:tc>
          <w:tcPr>
            <w:tcW w:w="915" w:type="dxa"/>
            <w:tcBorders>
              <w:top w:val="nil"/>
              <w:left w:val="nil"/>
              <w:bottom w:val="single" w:color="000000" w:sz="8" w:space="0"/>
              <w:right w:val="single" w:color="000000" w:sz="8" w:space="0"/>
            </w:tcBorders>
            <w:shd w:val="clear" w:color="auto" w:fill="FFFFFF"/>
            <w:noWrap/>
            <w:tcMar>
              <w:top w:w="15" w:type="dxa"/>
              <w:left w:w="15" w:type="dxa"/>
              <w:right w:w="15" w:type="dxa"/>
            </w:tcMar>
            <w:vAlign w:val="center"/>
          </w:tcPr>
          <w:p w14:paraId="77BE0E59">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张俊</w:t>
            </w:r>
          </w:p>
        </w:tc>
        <w:tc>
          <w:tcPr>
            <w:tcW w:w="301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8234556">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安和路与君安路交叉口北侧人行道旁</w:t>
            </w:r>
          </w:p>
        </w:tc>
        <w:tc>
          <w:tcPr>
            <w:tcW w:w="133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07D7D9B">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13700602518</w:t>
            </w:r>
          </w:p>
        </w:tc>
      </w:tr>
      <w:tr w14:paraId="54B09E24">
        <w:tblPrEx>
          <w:tblCellMar>
            <w:top w:w="0" w:type="dxa"/>
            <w:left w:w="0" w:type="dxa"/>
            <w:bottom w:w="0" w:type="dxa"/>
            <w:right w:w="0" w:type="dxa"/>
          </w:tblCellMar>
        </w:tblPrEx>
        <w:trPr>
          <w:trHeight w:val="825" w:hRule="atLeast"/>
        </w:trPr>
        <w:tc>
          <w:tcPr>
            <w:tcW w:w="75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186E503">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14</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0D8CB25">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官渡区</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B56DF2A">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14</w:t>
            </w:r>
          </w:p>
        </w:tc>
        <w:tc>
          <w:tcPr>
            <w:tcW w:w="3000" w:type="dxa"/>
            <w:tcBorders>
              <w:top w:val="nil"/>
              <w:left w:val="nil"/>
              <w:bottom w:val="single" w:color="000000" w:sz="8" w:space="0"/>
              <w:right w:val="single" w:color="000000" w:sz="8" w:space="0"/>
            </w:tcBorders>
            <w:shd w:val="clear" w:color="auto" w:fill="FFFFFF"/>
            <w:noWrap w:val="0"/>
            <w:tcMar>
              <w:top w:w="15" w:type="dxa"/>
              <w:left w:w="15" w:type="dxa"/>
              <w:right w:w="15" w:type="dxa"/>
            </w:tcMar>
            <w:vAlign w:val="center"/>
          </w:tcPr>
          <w:p w14:paraId="2B42DF5F">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官渡区王浩渊日用百货经营部</w:t>
            </w:r>
          </w:p>
        </w:tc>
        <w:tc>
          <w:tcPr>
            <w:tcW w:w="915" w:type="dxa"/>
            <w:tcBorders>
              <w:top w:val="nil"/>
              <w:left w:val="nil"/>
              <w:bottom w:val="single" w:color="000000" w:sz="8" w:space="0"/>
              <w:right w:val="single" w:color="000000" w:sz="8" w:space="0"/>
            </w:tcBorders>
            <w:shd w:val="clear" w:color="auto" w:fill="FFFFFF"/>
            <w:noWrap/>
            <w:tcMar>
              <w:top w:w="15" w:type="dxa"/>
              <w:left w:w="15" w:type="dxa"/>
              <w:right w:w="15" w:type="dxa"/>
            </w:tcMar>
            <w:vAlign w:val="center"/>
          </w:tcPr>
          <w:p w14:paraId="1FD1321A">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王浩渊</w:t>
            </w:r>
          </w:p>
        </w:tc>
        <w:tc>
          <w:tcPr>
            <w:tcW w:w="301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5BE526C">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广和路与广居路交叉口星辰园小区门口</w:t>
            </w:r>
          </w:p>
        </w:tc>
        <w:tc>
          <w:tcPr>
            <w:tcW w:w="133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CDD0000">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15025117331</w:t>
            </w:r>
          </w:p>
        </w:tc>
      </w:tr>
      <w:tr w14:paraId="0141AEEA">
        <w:tblPrEx>
          <w:tblCellMar>
            <w:top w:w="0" w:type="dxa"/>
            <w:left w:w="0" w:type="dxa"/>
            <w:bottom w:w="0" w:type="dxa"/>
            <w:right w:w="0" w:type="dxa"/>
          </w:tblCellMar>
        </w:tblPrEx>
        <w:trPr>
          <w:trHeight w:val="555" w:hRule="atLeast"/>
        </w:trPr>
        <w:tc>
          <w:tcPr>
            <w:tcW w:w="75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5E2AE03">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15</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FF401F2">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官渡区</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DD6E769">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15</w:t>
            </w:r>
          </w:p>
        </w:tc>
        <w:tc>
          <w:tcPr>
            <w:tcW w:w="3000" w:type="dxa"/>
            <w:tcBorders>
              <w:top w:val="nil"/>
              <w:left w:val="nil"/>
              <w:bottom w:val="single" w:color="000000" w:sz="8" w:space="0"/>
              <w:right w:val="single" w:color="000000" w:sz="8" w:space="0"/>
            </w:tcBorders>
            <w:shd w:val="clear" w:color="auto" w:fill="FFFFFF"/>
            <w:noWrap w:val="0"/>
            <w:tcMar>
              <w:top w:w="15" w:type="dxa"/>
              <w:left w:w="15" w:type="dxa"/>
              <w:right w:w="15" w:type="dxa"/>
            </w:tcMar>
            <w:vAlign w:val="center"/>
          </w:tcPr>
          <w:p w14:paraId="518EA1B9">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官渡区炫季服装店</w:t>
            </w:r>
          </w:p>
        </w:tc>
        <w:tc>
          <w:tcPr>
            <w:tcW w:w="915" w:type="dxa"/>
            <w:tcBorders>
              <w:top w:val="nil"/>
              <w:left w:val="nil"/>
              <w:bottom w:val="single" w:color="000000" w:sz="8" w:space="0"/>
              <w:right w:val="single" w:color="000000" w:sz="8" w:space="0"/>
            </w:tcBorders>
            <w:shd w:val="clear" w:color="auto" w:fill="FFFFFF"/>
            <w:noWrap/>
            <w:tcMar>
              <w:top w:w="15" w:type="dxa"/>
              <w:left w:w="15" w:type="dxa"/>
              <w:right w:w="15" w:type="dxa"/>
            </w:tcMar>
            <w:vAlign w:val="center"/>
          </w:tcPr>
          <w:p w14:paraId="3A599002">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赵丽萍</w:t>
            </w:r>
          </w:p>
        </w:tc>
        <w:tc>
          <w:tcPr>
            <w:tcW w:w="301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8EDC61D">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子君路与广和路交叉路口</w:t>
            </w:r>
          </w:p>
        </w:tc>
        <w:tc>
          <w:tcPr>
            <w:tcW w:w="133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04DE192">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15925508536</w:t>
            </w:r>
          </w:p>
        </w:tc>
      </w:tr>
      <w:tr w14:paraId="23890DBA">
        <w:tblPrEx>
          <w:tblCellMar>
            <w:top w:w="0" w:type="dxa"/>
            <w:left w:w="0" w:type="dxa"/>
            <w:bottom w:w="0" w:type="dxa"/>
            <w:right w:w="0" w:type="dxa"/>
          </w:tblCellMar>
        </w:tblPrEx>
        <w:trPr>
          <w:trHeight w:val="555" w:hRule="atLeast"/>
        </w:trPr>
        <w:tc>
          <w:tcPr>
            <w:tcW w:w="75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A3FD704">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16</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35B2714">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官渡区</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5980346">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16</w:t>
            </w:r>
          </w:p>
        </w:tc>
        <w:tc>
          <w:tcPr>
            <w:tcW w:w="3000" w:type="dxa"/>
            <w:tcBorders>
              <w:top w:val="nil"/>
              <w:left w:val="nil"/>
              <w:bottom w:val="single" w:color="000000" w:sz="8" w:space="0"/>
              <w:right w:val="single" w:color="000000" w:sz="8" w:space="0"/>
            </w:tcBorders>
            <w:shd w:val="clear" w:color="auto" w:fill="FFFFFF"/>
            <w:noWrap w:val="0"/>
            <w:tcMar>
              <w:top w:w="15" w:type="dxa"/>
              <w:left w:w="15" w:type="dxa"/>
              <w:right w:w="15" w:type="dxa"/>
            </w:tcMar>
            <w:vAlign w:val="center"/>
          </w:tcPr>
          <w:p w14:paraId="5694B024">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官渡区万峰百货经营部</w:t>
            </w:r>
          </w:p>
        </w:tc>
        <w:tc>
          <w:tcPr>
            <w:tcW w:w="915" w:type="dxa"/>
            <w:tcBorders>
              <w:top w:val="nil"/>
              <w:left w:val="nil"/>
              <w:bottom w:val="single" w:color="000000" w:sz="8" w:space="0"/>
              <w:right w:val="single" w:color="000000" w:sz="8" w:space="0"/>
            </w:tcBorders>
            <w:shd w:val="clear" w:color="auto" w:fill="FFFFFF"/>
            <w:noWrap/>
            <w:tcMar>
              <w:top w:w="15" w:type="dxa"/>
              <w:left w:w="15" w:type="dxa"/>
              <w:right w:w="15" w:type="dxa"/>
            </w:tcMar>
            <w:vAlign w:val="center"/>
          </w:tcPr>
          <w:p w14:paraId="61B3BFAD">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万方庆</w:t>
            </w:r>
          </w:p>
        </w:tc>
        <w:tc>
          <w:tcPr>
            <w:tcW w:w="301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00329D4">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新亚洲体育城1号入口内右侧绿化带</w:t>
            </w:r>
          </w:p>
        </w:tc>
        <w:tc>
          <w:tcPr>
            <w:tcW w:w="133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92A8E25">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13789945403</w:t>
            </w:r>
          </w:p>
        </w:tc>
      </w:tr>
      <w:tr w14:paraId="5A329FAA">
        <w:tblPrEx>
          <w:tblCellMar>
            <w:top w:w="0" w:type="dxa"/>
            <w:left w:w="0" w:type="dxa"/>
            <w:bottom w:w="0" w:type="dxa"/>
            <w:right w:w="0" w:type="dxa"/>
          </w:tblCellMar>
        </w:tblPrEx>
        <w:trPr>
          <w:trHeight w:val="495" w:hRule="atLeast"/>
        </w:trPr>
        <w:tc>
          <w:tcPr>
            <w:tcW w:w="75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27E1BE7">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17</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39B466E">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官渡区</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45E52EC">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17</w:t>
            </w:r>
          </w:p>
        </w:tc>
        <w:tc>
          <w:tcPr>
            <w:tcW w:w="3000" w:type="dxa"/>
            <w:tcBorders>
              <w:top w:val="nil"/>
              <w:left w:val="single" w:color="000000" w:sz="8" w:space="0"/>
              <w:bottom w:val="single" w:color="000000" w:sz="8" w:space="0"/>
              <w:right w:val="single" w:color="000000" w:sz="8" w:space="0"/>
            </w:tcBorders>
            <w:shd w:val="clear" w:color="auto" w:fill="FFFFFF"/>
            <w:noWrap w:val="0"/>
            <w:tcMar>
              <w:top w:w="15" w:type="dxa"/>
              <w:left w:w="15" w:type="dxa"/>
              <w:right w:w="15" w:type="dxa"/>
            </w:tcMar>
            <w:vAlign w:val="center"/>
          </w:tcPr>
          <w:p w14:paraId="0E7C6402">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昆明麟宁信息咨询有限公司</w:t>
            </w:r>
          </w:p>
        </w:tc>
        <w:tc>
          <w:tcPr>
            <w:tcW w:w="915" w:type="dxa"/>
            <w:tcBorders>
              <w:top w:val="nil"/>
              <w:left w:val="single" w:color="000000" w:sz="8" w:space="0"/>
              <w:bottom w:val="single" w:color="000000" w:sz="8" w:space="0"/>
              <w:right w:val="single" w:color="000000" w:sz="8" w:space="0"/>
            </w:tcBorders>
            <w:shd w:val="clear" w:color="auto" w:fill="FFFFFF"/>
            <w:noWrap/>
            <w:tcMar>
              <w:top w:w="15" w:type="dxa"/>
              <w:left w:w="15" w:type="dxa"/>
              <w:right w:w="15" w:type="dxa"/>
            </w:tcMar>
            <w:vAlign w:val="center"/>
          </w:tcPr>
          <w:p w14:paraId="554E5A45">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张龙</w:t>
            </w:r>
          </w:p>
        </w:tc>
        <w:tc>
          <w:tcPr>
            <w:tcW w:w="301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FD54631">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子泰路与广居路交叉路口星辰园一侧星辰园招牌前空地</w:t>
            </w:r>
          </w:p>
        </w:tc>
        <w:tc>
          <w:tcPr>
            <w:tcW w:w="133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B02753A">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18788505073</w:t>
            </w:r>
          </w:p>
        </w:tc>
      </w:tr>
      <w:tr w14:paraId="49337A78">
        <w:tblPrEx>
          <w:tblCellMar>
            <w:top w:w="0" w:type="dxa"/>
            <w:left w:w="0" w:type="dxa"/>
            <w:bottom w:w="0" w:type="dxa"/>
            <w:right w:w="0" w:type="dxa"/>
          </w:tblCellMar>
        </w:tblPrEx>
        <w:trPr>
          <w:trHeight w:val="555" w:hRule="atLeast"/>
        </w:trPr>
        <w:tc>
          <w:tcPr>
            <w:tcW w:w="75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C303949">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18</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120ED03">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官渡区</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8FCAFD2">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18</w:t>
            </w:r>
          </w:p>
        </w:tc>
        <w:tc>
          <w:tcPr>
            <w:tcW w:w="3000" w:type="dxa"/>
            <w:tcBorders>
              <w:top w:val="nil"/>
              <w:left w:val="single" w:color="000000" w:sz="8" w:space="0"/>
              <w:bottom w:val="single" w:color="000000" w:sz="8" w:space="0"/>
              <w:right w:val="single" w:color="000000" w:sz="8" w:space="0"/>
            </w:tcBorders>
            <w:shd w:val="clear" w:color="auto" w:fill="FFFFFF"/>
            <w:noWrap w:val="0"/>
            <w:tcMar>
              <w:top w:w="15" w:type="dxa"/>
              <w:left w:w="15" w:type="dxa"/>
              <w:right w:w="15" w:type="dxa"/>
            </w:tcMar>
            <w:vAlign w:val="center"/>
          </w:tcPr>
          <w:p w14:paraId="1484590B">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官渡区皖余日用百货店</w:t>
            </w:r>
          </w:p>
        </w:tc>
        <w:tc>
          <w:tcPr>
            <w:tcW w:w="915" w:type="dxa"/>
            <w:tcBorders>
              <w:top w:val="nil"/>
              <w:left w:val="single" w:color="000000" w:sz="8" w:space="0"/>
              <w:bottom w:val="single" w:color="000000" w:sz="8" w:space="0"/>
              <w:right w:val="single" w:color="000000" w:sz="8" w:space="0"/>
            </w:tcBorders>
            <w:shd w:val="clear" w:color="auto" w:fill="FFFFFF"/>
            <w:noWrap/>
            <w:tcMar>
              <w:top w:w="15" w:type="dxa"/>
              <w:left w:w="15" w:type="dxa"/>
              <w:right w:w="15" w:type="dxa"/>
            </w:tcMar>
            <w:vAlign w:val="center"/>
          </w:tcPr>
          <w:p w14:paraId="0A8D859A">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余林珍</w:t>
            </w:r>
          </w:p>
        </w:tc>
        <w:tc>
          <w:tcPr>
            <w:tcW w:w="301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2C8D188">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子泰路星泽园1号门对面</w:t>
            </w:r>
          </w:p>
        </w:tc>
        <w:tc>
          <w:tcPr>
            <w:tcW w:w="133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CD1A88F">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13406097820</w:t>
            </w:r>
          </w:p>
        </w:tc>
      </w:tr>
      <w:tr w14:paraId="05AA88C4">
        <w:tblPrEx>
          <w:tblCellMar>
            <w:top w:w="0" w:type="dxa"/>
            <w:left w:w="0" w:type="dxa"/>
            <w:bottom w:w="0" w:type="dxa"/>
            <w:right w:w="0" w:type="dxa"/>
          </w:tblCellMar>
        </w:tblPrEx>
        <w:trPr>
          <w:trHeight w:val="555" w:hRule="atLeast"/>
        </w:trPr>
        <w:tc>
          <w:tcPr>
            <w:tcW w:w="75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165A36A">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19</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BF6A777">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官渡区</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109BFAF">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19</w:t>
            </w:r>
          </w:p>
        </w:tc>
        <w:tc>
          <w:tcPr>
            <w:tcW w:w="3000" w:type="dxa"/>
            <w:tcBorders>
              <w:top w:val="nil"/>
              <w:left w:val="single" w:color="000000" w:sz="8" w:space="0"/>
              <w:bottom w:val="single" w:color="000000" w:sz="8" w:space="0"/>
              <w:right w:val="single" w:color="000000" w:sz="8" w:space="0"/>
            </w:tcBorders>
            <w:shd w:val="clear" w:color="auto" w:fill="FFFFFF"/>
            <w:noWrap w:val="0"/>
            <w:tcMar>
              <w:top w:w="15" w:type="dxa"/>
              <w:left w:w="15" w:type="dxa"/>
              <w:right w:w="15" w:type="dxa"/>
            </w:tcMar>
            <w:vAlign w:val="center"/>
          </w:tcPr>
          <w:p w14:paraId="22407906">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官渡区懿威精品店</w:t>
            </w:r>
          </w:p>
        </w:tc>
        <w:tc>
          <w:tcPr>
            <w:tcW w:w="915" w:type="dxa"/>
            <w:tcBorders>
              <w:top w:val="nil"/>
              <w:left w:val="single" w:color="000000" w:sz="8" w:space="0"/>
              <w:bottom w:val="single" w:color="000000" w:sz="8" w:space="0"/>
              <w:right w:val="single" w:color="000000" w:sz="8" w:space="0"/>
            </w:tcBorders>
            <w:shd w:val="clear" w:color="auto" w:fill="FFFFFF"/>
            <w:noWrap/>
            <w:tcMar>
              <w:top w:w="15" w:type="dxa"/>
              <w:left w:w="15" w:type="dxa"/>
              <w:right w:w="15" w:type="dxa"/>
            </w:tcMar>
            <w:vAlign w:val="center"/>
          </w:tcPr>
          <w:p w14:paraId="6C07FFE8">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黄红</w:t>
            </w:r>
          </w:p>
        </w:tc>
        <w:tc>
          <w:tcPr>
            <w:tcW w:w="301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E05A824">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先锋路俊福花城招商中心前方</w:t>
            </w:r>
          </w:p>
        </w:tc>
        <w:tc>
          <w:tcPr>
            <w:tcW w:w="133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985B659">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18687830720</w:t>
            </w:r>
          </w:p>
        </w:tc>
      </w:tr>
      <w:tr w14:paraId="32E9E774">
        <w:tblPrEx>
          <w:tblCellMar>
            <w:top w:w="0" w:type="dxa"/>
            <w:left w:w="0" w:type="dxa"/>
            <w:bottom w:w="0" w:type="dxa"/>
            <w:right w:w="0" w:type="dxa"/>
          </w:tblCellMar>
        </w:tblPrEx>
        <w:trPr>
          <w:trHeight w:val="555" w:hRule="atLeast"/>
        </w:trPr>
        <w:tc>
          <w:tcPr>
            <w:tcW w:w="75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55D7EBE">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20</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61E0BFB">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官渡区</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E07F9A0">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20</w:t>
            </w:r>
          </w:p>
        </w:tc>
        <w:tc>
          <w:tcPr>
            <w:tcW w:w="3000" w:type="dxa"/>
            <w:tcBorders>
              <w:top w:val="nil"/>
              <w:left w:val="single" w:color="000000" w:sz="8" w:space="0"/>
              <w:bottom w:val="single" w:color="000000" w:sz="8" w:space="0"/>
              <w:right w:val="single" w:color="000000" w:sz="8" w:space="0"/>
            </w:tcBorders>
            <w:shd w:val="clear" w:color="auto" w:fill="FFFFFF"/>
            <w:noWrap w:val="0"/>
            <w:tcMar>
              <w:top w:w="15" w:type="dxa"/>
              <w:left w:w="15" w:type="dxa"/>
              <w:right w:w="15" w:type="dxa"/>
            </w:tcMar>
            <w:vAlign w:val="center"/>
          </w:tcPr>
          <w:p w14:paraId="6909DF0F">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官渡区鸥睿副食品经营部</w:t>
            </w:r>
          </w:p>
        </w:tc>
        <w:tc>
          <w:tcPr>
            <w:tcW w:w="915" w:type="dxa"/>
            <w:tcBorders>
              <w:top w:val="nil"/>
              <w:left w:val="single" w:color="000000" w:sz="8" w:space="0"/>
              <w:bottom w:val="single" w:color="000000" w:sz="8" w:space="0"/>
              <w:right w:val="single" w:color="000000" w:sz="8" w:space="0"/>
            </w:tcBorders>
            <w:shd w:val="clear" w:color="auto" w:fill="FFFFFF"/>
            <w:noWrap/>
            <w:tcMar>
              <w:top w:w="15" w:type="dxa"/>
              <w:left w:w="15" w:type="dxa"/>
              <w:right w:w="15" w:type="dxa"/>
            </w:tcMar>
            <w:vAlign w:val="center"/>
          </w:tcPr>
          <w:p w14:paraId="1B9FC400">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严鸥</w:t>
            </w:r>
          </w:p>
        </w:tc>
        <w:tc>
          <w:tcPr>
            <w:tcW w:w="301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2917BEB">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先锋路与欣荣路交叉口东侧</w:t>
            </w:r>
          </w:p>
        </w:tc>
        <w:tc>
          <w:tcPr>
            <w:tcW w:w="133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50F237F">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18213911830</w:t>
            </w:r>
          </w:p>
        </w:tc>
      </w:tr>
      <w:tr w14:paraId="5257D18B">
        <w:tblPrEx>
          <w:tblCellMar>
            <w:top w:w="0" w:type="dxa"/>
            <w:left w:w="0" w:type="dxa"/>
            <w:bottom w:w="0" w:type="dxa"/>
            <w:right w:w="0" w:type="dxa"/>
          </w:tblCellMar>
        </w:tblPrEx>
        <w:trPr>
          <w:trHeight w:val="555" w:hRule="atLeast"/>
        </w:trPr>
        <w:tc>
          <w:tcPr>
            <w:tcW w:w="75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CC5D1BE">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21</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78DE6D5">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官渡区</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2A45B12">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21</w:t>
            </w:r>
          </w:p>
        </w:tc>
        <w:tc>
          <w:tcPr>
            <w:tcW w:w="3000" w:type="dxa"/>
            <w:tcBorders>
              <w:top w:val="nil"/>
              <w:left w:val="single" w:color="000000" w:sz="8" w:space="0"/>
              <w:bottom w:val="single" w:color="000000" w:sz="8" w:space="0"/>
              <w:right w:val="single" w:color="000000" w:sz="8" w:space="0"/>
            </w:tcBorders>
            <w:shd w:val="clear" w:color="auto" w:fill="FFFFFF"/>
            <w:noWrap w:val="0"/>
            <w:tcMar>
              <w:top w:w="15" w:type="dxa"/>
              <w:left w:w="15" w:type="dxa"/>
              <w:right w:w="15" w:type="dxa"/>
            </w:tcMar>
            <w:vAlign w:val="center"/>
          </w:tcPr>
          <w:p w14:paraId="4A4C5D3D">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官渡区安成消防器材经营部</w:t>
            </w:r>
          </w:p>
        </w:tc>
        <w:tc>
          <w:tcPr>
            <w:tcW w:w="915" w:type="dxa"/>
            <w:tcBorders>
              <w:top w:val="nil"/>
              <w:left w:val="single" w:color="000000" w:sz="8" w:space="0"/>
              <w:bottom w:val="single" w:color="000000" w:sz="8" w:space="0"/>
              <w:right w:val="single" w:color="000000" w:sz="8" w:space="0"/>
            </w:tcBorders>
            <w:shd w:val="clear" w:color="auto" w:fill="FFFFFF"/>
            <w:noWrap/>
            <w:tcMar>
              <w:top w:w="15" w:type="dxa"/>
              <w:left w:w="15" w:type="dxa"/>
              <w:right w:w="15" w:type="dxa"/>
            </w:tcMar>
            <w:vAlign w:val="center"/>
          </w:tcPr>
          <w:p w14:paraId="4E64AEB0">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李秋辉</w:t>
            </w:r>
          </w:p>
        </w:tc>
        <w:tc>
          <w:tcPr>
            <w:tcW w:w="301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B3E53AB">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广福路宏仁村口空地</w:t>
            </w:r>
          </w:p>
        </w:tc>
        <w:tc>
          <w:tcPr>
            <w:tcW w:w="133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58FFF98">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13678774161</w:t>
            </w:r>
          </w:p>
        </w:tc>
      </w:tr>
      <w:tr w14:paraId="74CC87DB">
        <w:tblPrEx>
          <w:tblCellMar>
            <w:top w:w="0" w:type="dxa"/>
            <w:left w:w="0" w:type="dxa"/>
            <w:bottom w:w="0" w:type="dxa"/>
            <w:right w:w="0" w:type="dxa"/>
          </w:tblCellMar>
        </w:tblPrEx>
        <w:trPr>
          <w:trHeight w:val="495" w:hRule="atLeast"/>
        </w:trPr>
        <w:tc>
          <w:tcPr>
            <w:tcW w:w="75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D183B63">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22</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2E1F57C">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官渡区</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9BD18A2">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22</w:t>
            </w:r>
          </w:p>
        </w:tc>
        <w:tc>
          <w:tcPr>
            <w:tcW w:w="3000" w:type="dxa"/>
            <w:tcBorders>
              <w:top w:val="nil"/>
              <w:left w:val="single" w:color="000000" w:sz="8" w:space="0"/>
              <w:bottom w:val="single" w:color="000000" w:sz="8" w:space="0"/>
              <w:right w:val="single" w:color="000000" w:sz="8" w:space="0"/>
            </w:tcBorders>
            <w:shd w:val="clear" w:color="auto" w:fill="FFFFFF"/>
            <w:noWrap w:val="0"/>
            <w:tcMar>
              <w:top w:w="15" w:type="dxa"/>
              <w:left w:w="15" w:type="dxa"/>
              <w:right w:w="15" w:type="dxa"/>
            </w:tcMar>
            <w:vAlign w:val="center"/>
          </w:tcPr>
          <w:p w14:paraId="1B1AB563">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云南国星装饰工程有限公司</w:t>
            </w:r>
          </w:p>
        </w:tc>
        <w:tc>
          <w:tcPr>
            <w:tcW w:w="915" w:type="dxa"/>
            <w:tcBorders>
              <w:top w:val="nil"/>
              <w:left w:val="single" w:color="000000" w:sz="8" w:space="0"/>
              <w:bottom w:val="single" w:color="000000" w:sz="8" w:space="0"/>
              <w:right w:val="single" w:color="000000" w:sz="8" w:space="0"/>
            </w:tcBorders>
            <w:shd w:val="clear" w:color="auto" w:fill="FFFFFF"/>
            <w:noWrap/>
            <w:tcMar>
              <w:top w:w="15" w:type="dxa"/>
              <w:left w:w="15" w:type="dxa"/>
              <w:right w:w="15" w:type="dxa"/>
            </w:tcMar>
            <w:vAlign w:val="center"/>
          </w:tcPr>
          <w:p w14:paraId="20653456">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李勇岑</w:t>
            </w:r>
          </w:p>
        </w:tc>
        <w:tc>
          <w:tcPr>
            <w:tcW w:w="301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31EA913">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五环锋尚小区千紫园与彩云北路交叉口</w:t>
            </w:r>
          </w:p>
        </w:tc>
        <w:tc>
          <w:tcPr>
            <w:tcW w:w="133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E623236">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13708872051</w:t>
            </w:r>
          </w:p>
        </w:tc>
      </w:tr>
      <w:tr w14:paraId="56E46999">
        <w:tblPrEx>
          <w:tblCellMar>
            <w:top w:w="0" w:type="dxa"/>
            <w:left w:w="0" w:type="dxa"/>
            <w:bottom w:w="0" w:type="dxa"/>
            <w:right w:w="0" w:type="dxa"/>
          </w:tblCellMar>
        </w:tblPrEx>
        <w:trPr>
          <w:trHeight w:val="825" w:hRule="atLeast"/>
        </w:trPr>
        <w:tc>
          <w:tcPr>
            <w:tcW w:w="75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A23A088">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23</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DE2A9D0">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官渡区</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35F6BA1">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23</w:t>
            </w:r>
          </w:p>
        </w:tc>
        <w:tc>
          <w:tcPr>
            <w:tcW w:w="3000" w:type="dxa"/>
            <w:tcBorders>
              <w:top w:val="nil"/>
              <w:left w:val="nil"/>
              <w:bottom w:val="single" w:color="000000" w:sz="8" w:space="0"/>
              <w:right w:val="single" w:color="000000" w:sz="8" w:space="0"/>
            </w:tcBorders>
            <w:shd w:val="clear" w:color="auto" w:fill="FFFFFF"/>
            <w:noWrap w:val="0"/>
            <w:tcMar>
              <w:top w:w="15" w:type="dxa"/>
              <w:left w:w="15" w:type="dxa"/>
              <w:right w:w="15" w:type="dxa"/>
            </w:tcMar>
            <w:vAlign w:val="center"/>
          </w:tcPr>
          <w:p w14:paraId="1D1375BD">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昆明市官渡区翰墨饰品经营部</w:t>
            </w:r>
          </w:p>
        </w:tc>
        <w:tc>
          <w:tcPr>
            <w:tcW w:w="915" w:type="dxa"/>
            <w:tcBorders>
              <w:top w:val="nil"/>
              <w:left w:val="nil"/>
              <w:bottom w:val="single" w:color="000000" w:sz="8" w:space="0"/>
              <w:right w:val="single" w:color="000000" w:sz="8" w:space="0"/>
            </w:tcBorders>
            <w:shd w:val="clear" w:color="auto" w:fill="FFFFFF"/>
            <w:noWrap/>
            <w:tcMar>
              <w:top w:w="15" w:type="dxa"/>
              <w:left w:w="15" w:type="dxa"/>
              <w:right w:w="15" w:type="dxa"/>
            </w:tcMar>
            <w:vAlign w:val="center"/>
          </w:tcPr>
          <w:p w14:paraId="4A5B8896">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付一然</w:t>
            </w:r>
          </w:p>
        </w:tc>
        <w:tc>
          <w:tcPr>
            <w:tcW w:w="301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ACB7D6B">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新亚洲体育城楷唯物业公司门口前空地</w:t>
            </w:r>
          </w:p>
        </w:tc>
        <w:tc>
          <w:tcPr>
            <w:tcW w:w="133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0369E74">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13601173769</w:t>
            </w:r>
          </w:p>
        </w:tc>
      </w:tr>
      <w:tr w14:paraId="2F0F134F">
        <w:tblPrEx>
          <w:tblCellMar>
            <w:top w:w="0" w:type="dxa"/>
            <w:left w:w="0" w:type="dxa"/>
            <w:bottom w:w="0" w:type="dxa"/>
            <w:right w:w="0" w:type="dxa"/>
          </w:tblCellMar>
        </w:tblPrEx>
        <w:trPr>
          <w:trHeight w:val="555" w:hRule="atLeast"/>
        </w:trPr>
        <w:tc>
          <w:tcPr>
            <w:tcW w:w="75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DA28BEC">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24</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85DCA13">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官渡区</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C3FD331">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24</w:t>
            </w:r>
          </w:p>
        </w:tc>
        <w:tc>
          <w:tcPr>
            <w:tcW w:w="3000" w:type="dxa"/>
            <w:tcBorders>
              <w:top w:val="nil"/>
              <w:left w:val="nil"/>
              <w:bottom w:val="single" w:color="000000" w:sz="8" w:space="0"/>
              <w:right w:val="single" w:color="000000" w:sz="8" w:space="0"/>
            </w:tcBorders>
            <w:shd w:val="clear" w:color="auto" w:fill="FFFFFF"/>
            <w:noWrap w:val="0"/>
            <w:tcMar>
              <w:top w:w="15" w:type="dxa"/>
              <w:left w:w="15" w:type="dxa"/>
              <w:right w:w="15" w:type="dxa"/>
            </w:tcMar>
            <w:vAlign w:val="center"/>
          </w:tcPr>
          <w:p w14:paraId="3A7052A7">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官渡区杨增祥百货店</w:t>
            </w:r>
          </w:p>
        </w:tc>
        <w:tc>
          <w:tcPr>
            <w:tcW w:w="915" w:type="dxa"/>
            <w:tcBorders>
              <w:top w:val="nil"/>
              <w:left w:val="nil"/>
              <w:bottom w:val="single" w:color="000000" w:sz="8" w:space="0"/>
              <w:right w:val="single" w:color="000000" w:sz="8" w:space="0"/>
            </w:tcBorders>
            <w:shd w:val="clear" w:color="auto" w:fill="FFFFFF"/>
            <w:noWrap/>
            <w:tcMar>
              <w:top w:w="15" w:type="dxa"/>
              <w:left w:w="15" w:type="dxa"/>
              <w:right w:w="15" w:type="dxa"/>
            </w:tcMar>
            <w:vAlign w:val="center"/>
          </w:tcPr>
          <w:p w14:paraId="2B55B138">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杨增祥</w:t>
            </w:r>
          </w:p>
        </w:tc>
        <w:tc>
          <w:tcPr>
            <w:tcW w:w="301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2760422">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星耀路与广福路交叉口东侧</w:t>
            </w:r>
          </w:p>
        </w:tc>
        <w:tc>
          <w:tcPr>
            <w:tcW w:w="133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CDDF376">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13518707526</w:t>
            </w:r>
          </w:p>
        </w:tc>
      </w:tr>
      <w:tr w14:paraId="1C894582">
        <w:tblPrEx>
          <w:tblCellMar>
            <w:top w:w="0" w:type="dxa"/>
            <w:left w:w="0" w:type="dxa"/>
            <w:bottom w:w="0" w:type="dxa"/>
            <w:right w:w="0" w:type="dxa"/>
          </w:tblCellMar>
        </w:tblPrEx>
        <w:trPr>
          <w:trHeight w:val="825" w:hRule="atLeast"/>
        </w:trPr>
        <w:tc>
          <w:tcPr>
            <w:tcW w:w="75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53E75DC">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25</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CD998C4">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官渡区</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6C87BBD">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25</w:t>
            </w:r>
          </w:p>
        </w:tc>
        <w:tc>
          <w:tcPr>
            <w:tcW w:w="3000" w:type="dxa"/>
            <w:tcBorders>
              <w:top w:val="nil"/>
              <w:left w:val="nil"/>
              <w:bottom w:val="single" w:color="000000" w:sz="8" w:space="0"/>
              <w:right w:val="single" w:color="000000" w:sz="8" w:space="0"/>
            </w:tcBorders>
            <w:shd w:val="clear" w:color="auto" w:fill="FFFFFF"/>
            <w:noWrap w:val="0"/>
            <w:tcMar>
              <w:top w:w="15" w:type="dxa"/>
              <w:left w:w="15" w:type="dxa"/>
              <w:right w:w="15" w:type="dxa"/>
            </w:tcMar>
            <w:vAlign w:val="center"/>
          </w:tcPr>
          <w:p w14:paraId="2A64EE4D">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昆明市官渡区再旺服装经营部</w:t>
            </w:r>
          </w:p>
        </w:tc>
        <w:tc>
          <w:tcPr>
            <w:tcW w:w="915" w:type="dxa"/>
            <w:tcBorders>
              <w:top w:val="nil"/>
              <w:left w:val="nil"/>
              <w:bottom w:val="single" w:color="000000" w:sz="8" w:space="0"/>
              <w:right w:val="single" w:color="000000" w:sz="8" w:space="0"/>
            </w:tcBorders>
            <w:shd w:val="clear" w:color="auto" w:fill="FFFFFF"/>
            <w:noWrap/>
            <w:tcMar>
              <w:top w:w="15" w:type="dxa"/>
              <w:left w:w="15" w:type="dxa"/>
              <w:right w:w="15" w:type="dxa"/>
            </w:tcMar>
            <w:vAlign w:val="center"/>
          </w:tcPr>
          <w:p w14:paraId="5AE9A725">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郭沫再</w:t>
            </w:r>
          </w:p>
        </w:tc>
        <w:tc>
          <w:tcPr>
            <w:tcW w:w="301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50812CF">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高原明珠国际五金机电城云溪社区入口</w:t>
            </w:r>
          </w:p>
        </w:tc>
        <w:tc>
          <w:tcPr>
            <w:tcW w:w="133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9AEEF0A">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15911422627</w:t>
            </w:r>
          </w:p>
        </w:tc>
      </w:tr>
      <w:tr w14:paraId="117B3532">
        <w:tblPrEx>
          <w:tblCellMar>
            <w:top w:w="0" w:type="dxa"/>
            <w:left w:w="0" w:type="dxa"/>
            <w:bottom w:w="0" w:type="dxa"/>
            <w:right w:w="0" w:type="dxa"/>
          </w:tblCellMar>
        </w:tblPrEx>
        <w:trPr>
          <w:trHeight w:val="555" w:hRule="atLeast"/>
        </w:trPr>
        <w:tc>
          <w:tcPr>
            <w:tcW w:w="75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7798D43">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26</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5FCE06D">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官渡区</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8AC75EA">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26</w:t>
            </w:r>
          </w:p>
        </w:tc>
        <w:tc>
          <w:tcPr>
            <w:tcW w:w="3000" w:type="dxa"/>
            <w:tcBorders>
              <w:top w:val="nil"/>
              <w:left w:val="nil"/>
              <w:bottom w:val="single" w:color="000000" w:sz="8" w:space="0"/>
              <w:right w:val="single" w:color="000000" w:sz="8" w:space="0"/>
            </w:tcBorders>
            <w:shd w:val="clear" w:color="auto" w:fill="FFFFFF"/>
            <w:noWrap w:val="0"/>
            <w:tcMar>
              <w:top w:w="15" w:type="dxa"/>
              <w:left w:w="15" w:type="dxa"/>
              <w:right w:w="15" w:type="dxa"/>
            </w:tcMar>
            <w:vAlign w:val="center"/>
          </w:tcPr>
          <w:p w14:paraId="2E58DB8A">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官渡区大静食品经营部</w:t>
            </w:r>
          </w:p>
        </w:tc>
        <w:tc>
          <w:tcPr>
            <w:tcW w:w="915" w:type="dxa"/>
            <w:tcBorders>
              <w:top w:val="nil"/>
              <w:left w:val="nil"/>
              <w:bottom w:val="single" w:color="000000" w:sz="8" w:space="0"/>
              <w:right w:val="single" w:color="000000" w:sz="8" w:space="0"/>
            </w:tcBorders>
            <w:shd w:val="clear" w:color="auto" w:fill="FFFFFF"/>
            <w:noWrap/>
            <w:tcMar>
              <w:top w:w="15" w:type="dxa"/>
              <w:left w:w="15" w:type="dxa"/>
              <w:right w:w="15" w:type="dxa"/>
            </w:tcMar>
            <w:vAlign w:val="center"/>
          </w:tcPr>
          <w:p w14:paraId="2FB9B240">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安怡静</w:t>
            </w:r>
          </w:p>
        </w:tc>
        <w:tc>
          <w:tcPr>
            <w:tcW w:w="301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19FB8D1">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昌宏路华丰食品干菜批发市场口</w:t>
            </w:r>
          </w:p>
        </w:tc>
        <w:tc>
          <w:tcPr>
            <w:tcW w:w="133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373922D">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13987601272</w:t>
            </w:r>
          </w:p>
        </w:tc>
      </w:tr>
      <w:tr w14:paraId="07B5E861">
        <w:tblPrEx>
          <w:tblCellMar>
            <w:top w:w="0" w:type="dxa"/>
            <w:left w:w="0" w:type="dxa"/>
            <w:bottom w:w="0" w:type="dxa"/>
            <w:right w:w="0" w:type="dxa"/>
          </w:tblCellMar>
        </w:tblPrEx>
        <w:trPr>
          <w:trHeight w:val="555" w:hRule="atLeast"/>
        </w:trPr>
        <w:tc>
          <w:tcPr>
            <w:tcW w:w="75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CB39F3B">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27</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3FEC164">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官渡区</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EF3C9DC">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27</w:t>
            </w:r>
          </w:p>
        </w:tc>
        <w:tc>
          <w:tcPr>
            <w:tcW w:w="3000" w:type="dxa"/>
            <w:tcBorders>
              <w:top w:val="nil"/>
              <w:left w:val="nil"/>
              <w:bottom w:val="single" w:color="000000" w:sz="8" w:space="0"/>
              <w:right w:val="single" w:color="000000" w:sz="8" w:space="0"/>
            </w:tcBorders>
            <w:shd w:val="clear" w:color="auto" w:fill="FFFFFF"/>
            <w:noWrap w:val="0"/>
            <w:tcMar>
              <w:top w:w="15" w:type="dxa"/>
              <w:left w:w="15" w:type="dxa"/>
              <w:right w:w="15" w:type="dxa"/>
            </w:tcMar>
            <w:vAlign w:val="center"/>
          </w:tcPr>
          <w:p w14:paraId="1E441D12">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官渡区吉星建材经营部</w:t>
            </w:r>
          </w:p>
        </w:tc>
        <w:tc>
          <w:tcPr>
            <w:tcW w:w="915" w:type="dxa"/>
            <w:tcBorders>
              <w:top w:val="nil"/>
              <w:left w:val="nil"/>
              <w:bottom w:val="single" w:color="000000" w:sz="8" w:space="0"/>
              <w:right w:val="single" w:color="000000" w:sz="8" w:space="0"/>
            </w:tcBorders>
            <w:shd w:val="clear" w:color="auto" w:fill="FFFFFF"/>
            <w:noWrap/>
            <w:tcMar>
              <w:top w:w="15" w:type="dxa"/>
              <w:left w:w="15" w:type="dxa"/>
              <w:right w:w="15" w:type="dxa"/>
            </w:tcMar>
            <w:vAlign w:val="center"/>
          </w:tcPr>
          <w:p w14:paraId="02CBA3B7">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李龑</w:t>
            </w:r>
          </w:p>
        </w:tc>
        <w:tc>
          <w:tcPr>
            <w:tcW w:w="301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41070A9">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小板桥关雨路土桥村村口</w:t>
            </w:r>
          </w:p>
        </w:tc>
        <w:tc>
          <w:tcPr>
            <w:tcW w:w="133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EB03CAE">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18314567436</w:t>
            </w:r>
          </w:p>
        </w:tc>
      </w:tr>
      <w:tr w14:paraId="3D999B0A">
        <w:tblPrEx>
          <w:tblCellMar>
            <w:top w:w="0" w:type="dxa"/>
            <w:left w:w="0" w:type="dxa"/>
            <w:bottom w:w="0" w:type="dxa"/>
            <w:right w:w="0" w:type="dxa"/>
          </w:tblCellMar>
        </w:tblPrEx>
        <w:trPr>
          <w:trHeight w:val="495" w:hRule="atLeast"/>
        </w:trPr>
        <w:tc>
          <w:tcPr>
            <w:tcW w:w="75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0B36A1E">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28</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16F7CA8">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官渡区</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A7CD740">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28</w:t>
            </w:r>
          </w:p>
        </w:tc>
        <w:tc>
          <w:tcPr>
            <w:tcW w:w="3000" w:type="dxa"/>
            <w:tcBorders>
              <w:top w:val="nil"/>
              <w:left w:val="nil"/>
              <w:bottom w:val="single" w:color="000000" w:sz="8" w:space="0"/>
              <w:right w:val="single" w:color="000000" w:sz="8" w:space="0"/>
            </w:tcBorders>
            <w:shd w:val="clear" w:color="auto" w:fill="FFFFFF"/>
            <w:noWrap w:val="0"/>
            <w:tcMar>
              <w:top w:w="15" w:type="dxa"/>
              <w:left w:w="15" w:type="dxa"/>
              <w:right w:w="15" w:type="dxa"/>
            </w:tcMar>
            <w:vAlign w:val="center"/>
          </w:tcPr>
          <w:p w14:paraId="33E22387">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官渡区肖秋平服装店</w:t>
            </w:r>
          </w:p>
        </w:tc>
        <w:tc>
          <w:tcPr>
            <w:tcW w:w="915" w:type="dxa"/>
            <w:tcBorders>
              <w:top w:val="nil"/>
              <w:left w:val="nil"/>
              <w:bottom w:val="single" w:color="000000" w:sz="8" w:space="0"/>
              <w:right w:val="single" w:color="000000" w:sz="8" w:space="0"/>
            </w:tcBorders>
            <w:shd w:val="clear" w:color="auto" w:fill="FFFFFF"/>
            <w:noWrap/>
            <w:tcMar>
              <w:top w:w="15" w:type="dxa"/>
              <w:left w:w="15" w:type="dxa"/>
              <w:right w:w="15" w:type="dxa"/>
            </w:tcMar>
            <w:vAlign w:val="center"/>
          </w:tcPr>
          <w:p w14:paraId="137B4EB1">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肖秋平</w:t>
            </w:r>
          </w:p>
        </w:tc>
        <w:tc>
          <w:tcPr>
            <w:tcW w:w="301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F763257">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小板桥云秀路与子君路交叉路口西南口</w:t>
            </w:r>
          </w:p>
        </w:tc>
        <w:tc>
          <w:tcPr>
            <w:tcW w:w="133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CC97F81">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15187106759</w:t>
            </w:r>
          </w:p>
        </w:tc>
      </w:tr>
      <w:tr w14:paraId="460BA8B4">
        <w:tblPrEx>
          <w:tblCellMar>
            <w:top w:w="0" w:type="dxa"/>
            <w:left w:w="0" w:type="dxa"/>
            <w:bottom w:w="0" w:type="dxa"/>
            <w:right w:w="0" w:type="dxa"/>
          </w:tblCellMar>
        </w:tblPrEx>
        <w:trPr>
          <w:trHeight w:val="495" w:hRule="atLeast"/>
        </w:trPr>
        <w:tc>
          <w:tcPr>
            <w:tcW w:w="75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D105073">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29</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3EC16B2">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官渡区</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B5E2194">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29</w:t>
            </w:r>
          </w:p>
        </w:tc>
        <w:tc>
          <w:tcPr>
            <w:tcW w:w="3000" w:type="dxa"/>
            <w:tcBorders>
              <w:top w:val="nil"/>
              <w:left w:val="nil"/>
              <w:bottom w:val="single" w:color="000000" w:sz="8" w:space="0"/>
              <w:right w:val="single" w:color="000000" w:sz="8" w:space="0"/>
            </w:tcBorders>
            <w:shd w:val="clear" w:color="auto" w:fill="FFFFFF"/>
            <w:noWrap w:val="0"/>
            <w:tcMar>
              <w:top w:w="15" w:type="dxa"/>
              <w:left w:w="15" w:type="dxa"/>
              <w:right w:w="15" w:type="dxa"/>
            </w:tcMar>
            <w:vAlign w:val="center"/>
          </w:tcPr>
          <w:p w14:paraId="3C0EAE25">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昆明市官渡区佩佩精品店</w:t>
            </w:r>
          </w:p>
        </w:tc>
        <w:tc>
          <w:tcPr>
            <w:tcW w:w="915" w:type="dxa"/>
            <w:tcBorders>
              <w:top w:val="nil"/>
              <w:left w:val="nil"/>
              <w:bottom w:val="single" w:color="000000" w:sz="8" w:space="0"/>
              <w:right w:val="single" w:color="000000" w:sz="8" w:space="0"/>
            </w:tcBorders>
            <w:shd w:val="clear" w:color="auto" w:fill="FFFFFF"/>
            <w:noWrap/>
            <w:tcMar>
              <w:top w:w="15" w:type="dxa"/>
              <w:left w:w="15" w:type="dxa"/>
              <w:right w:w="15" w:type="dxa"/>
            </w:tcMar>
            <w:vAlign w:val="center"/>
          </w:tcPr>
          <w:p w14:paraId="56F31F79">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代佩玄</w:t>
            </w:r>
          </w:p>
        </w:tc>
        <w:tc>
          <w:tcPr>
            <w:tcW w:w="301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412BA35">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大都摩天购物中心西北门（公安警亭侧20米处）</w:t>
            </w:r>
          </w:p>
        </w:tc>
        <w:tc>
          <w:tcPr>
            <w:tcW w:w="133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29FA6D9">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15368240512</w:t>
            </w:r>
          </w:p>
        </w:tc>
      </w:tr>
      <w:tr w14:paraId="4CFA1017">
        <w:tblPrEx>
          <w:tblCellMar>
            <w:top w:w="0" w:type="dxa"/>
            <w:left w:w="0" w:type="dxa"/>
            <w:bottom w:w="0" w:type="dxa"/>
            <w:right w:w="0" w:type="dxa"/>
          </w:tblCellMar>
        </w:tblPrEx>
        <w:trPr>
          <w:trHeight w:val="555" w:hRule="atLeast"/>
        </w:trPr>
        <w:tc>
          <w:tcPr>
            <w:tcW w:w="75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46C9BF5">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30</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32A3DA3">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官渡区</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AE8C6D3">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30</w:t>
            </w:r>
          </w:p>
        </w:tc>
        <w:tc>
          <w:tcPr>
            <w:tcW w:w="3000" w:type="dxa"/>
            <w:tcBorders>
              <w:top w:val="nil"/>
              <w:left w:val="nil"/>
              <w:bottom w:val="single" w:color="000000" w:sz="8" w:space="0"/>
              <w:right w:val="single" w:color="000000" w:sz="8" w:space="0"/>
            </w:tcBorders>
            <w:shd w:val="clear" w:color="auto" w:fill="FFFFFF"/>
            <w:noWrap w:val="0"/>
            <w:tcMar>
              <w:top w:w="15" w:type="dxa"/>
              <w:left w:w="15" w:type="dxa"/>
              <w:right w:w="15" w:type="dxa"/>
            </w:tcMar>
            <w:vAlign w:val="center"/>
          </w:tcPr>
          <w:p w14:paraId="4C0DDD5E">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官渡区相森农副产品经营部</w:t>
            </w:r>
          </w:p>
        </w:tc>
        <w:tc>
          <w:tcPr>
            <w:tcW w:w="915" w:type="dxa"/>
            <w:tcBorders>
              <w:top w:val="nil"/>
              <w:left w:val="nil"/>
              <w:bottom w:val="single" w:color="000000" w:sz="8" w:space="0"/>
              <w:right w:val="single" w:color="000000" w:sz="8" w:space="0"/>
            </w:tcBorders>
            <w:shd w:val="clear" w:color="auto" w:fill="FFFFFF"/>
            <w:noWrap/>
            <w:tcMar>
              <w:top w:w="15" w:type="dxa"/>
              <w:left w:w="15" w:type="dxa"/>
              <w:right w:w="15" w:type="dxa"/>
            </w:tcMar>
            <w:vAlign w:val="center"/>
          </w:tcPr>
          <w:p w14:paraId="5AC2FD35">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李咏羲</w:t>
            </w:r>
          </w:p>
        </w:tc>
        <w:tc>
          <w:tcPr>
            <w:tcW w:w="301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C46322A">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金源大道华春苑3号门对面空地</w:t>
            </w:r>
          </w:p>
        </w:tc>
        <w:tc>
          <w:tcPr>
            <w:tcW w:w="133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08C244F">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13078733837</w:t>
            </w:r>
          </w:p>
        </w:tc>
      </w:tr>
      <w:tr w14:paraId="0337280F">
        <w:tblPrEx>
          <w:tblCellMar>
            <w:top w:w="0" w:type="dxa"/>
            <w:left w:w="0" w:type="dxa"/>
            <w:bottom w:w="0" w:type="dxa"/>
            <w:right w:w="0" w:type="dxa"/>
          </w:tblCellMar>
        </w:tblPrEx>
        <w:trPr>
          <w:trHeight w:val="825" w:hRule="atLeast"/>
        </w:trPr>
        <w:tc>
          <w:tcPr>
            <w:tcW w:w="75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225F2D3">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31</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2551DB2">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官渡区</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79FB4C8">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31</w:t>
            </w:r>
          </w:p>
        </w:tc>
        <w:tc>
          <w:tcPr>
            <w:tcW w:w="3000" w:type="dxa"/>
            <w:tcBorders>
              <w:top w:val="nil"/>
              <w:left w:val="nil"/>
              <w:bottom w:val="single" w:color="000000" w:sz="8" w:space="0"/>
              <w:right w:val="single" w:color="000000" w:sz="8" w:space="0"/>
            </w:tcBorders>
            <w:shd w:val="clear" w:color="auto" w:fill="FFFFFF"/>
            <w:noWrap w:val="0"/>
            <w:tcMar>
              <w:top w:w="15" w:type="dxa"/>
              <w:left w:w="15" w:type="dxa"/>
              <w:right w:w="15" w:type="dxa"/>
            </w:tcMar>
            <w:vAlign w:val="center"/>
          </w:tcPr>
          <w:p w14:paraId="556101A2">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昆明市官渡区林均副食经营部</w:t>
            </w:r>
          </w:p>
        </w:tc>
        <w:tc>
          <w:tcPr>
            <w:tcW w:w="915" w:type="dxa"/>
            <w:tcBorders>
              <w:top w:val="nil"/>
              <w:left w:val="nil"/>
              <w:bottom w:val="single" w:color="000000" w:sz="8" w:space="0"/>
              <w:right w:val="single" w:color="000000" w:sz="8" w:space="0"/>
            </w:tcBorders>
            <w:shd w:val="clear" w:color="auto" w:fill="FFFFFF"/>
            <w:noWrap/>
            <w:tcMar>
              <w:top w:w="15" w:type="dxa"/>
              <w:left w:w="15" w:type="dxa"/>
              <w:right w:w="15" w:type="dxa"/>
            </w:tcMar>
            <w:vAlign w:val="center"/>
          </w:tcPr>
          <w:p w14:paraId="5B1187EE">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李俊</w:t>
            </w:r>
          </w:p>
        </w:tc>
        <w:tc>
          <w:tcPr>
            <w:tcW w:w="301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3697453">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金源大道与七号路交叉口沁春苑1号门北侧</w:t>
            </w:r>
          </w:p>
        </w:tc>
        <w:tc>
          <w:tcPr>
            <w:tcW w:w="133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4E0305F">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15288244115</w:t>
            </w:r>
          </w:p>
        </w:tc>
      </w:tr>
      <w:tr w14:paraId="6859050D">
        <w:tblPrEx>
          <w:tblCellMar>
            <w:top w:w="0" w:type="dxa"/>
            <w:left w:w="0" w:type="dxa"/>
            <w:bottom w:w="0" w:type="dxa"/>
            <w:right w:w="0" w:type="dxa"/>
          </w:tblCellMar>
        </w:tblPrEx>
        <w:trPr>
          <w:trHeight w:val="555" w:hRule="atLeast"/>
        </w:trPr>
        <w:tc>
          <w:tcPr>
            <w:tcW w:w="75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A82EE03">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32</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9988628">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官渡区</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BA0B891">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32</w:t>
            </w:r>
          </w:p>
        </w:tc>
        <w:tc>
          <w:tcPr>
            <w:tcW w:w="3000" w:type="dxa"/>
            <w:tcBorders>
              <w:top w:val="nil"/>
              <w:left w:val="nil"/>
              <w:bottom w:val="single" w:color="000000" w:sz="8" w:space="0"/>
              <w:right w:val="single" w:color="000000" w:sz="8" w:space="0"/>
            </w:tcBorders>
            <w:shd w:val="clear" w:color="auto" w:fill="FFFFFF"/>
            <w:noWrap w:val="0"/>
            <w:tcMar>
              <w:top w:w="15" w:type="dxa"/>
              <w:left w:w="15" w:type="dxa"/>
              <w:right w:w="15" w:type="dxa"/>
            </w:tcMar>
            <w:vAlign w:val="center"/>
          </w:tcPr>
          <w:p w14:paraId="20F2AF35">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官渡区衣帽间服装店</w:t>
            </w:r>
          </w:p>
        </w:tc>
        <w:tc>
          <w:tcPr>
            <w:tcW w:w="915" w:type="dxa"/>
            <w:tcBorders>
              <w:top w:val="nil"/>
              <w:left w:val="nil"/>
              <w:bottom w:val="single" w:color="000000" w:sz="8" w:space="0"/>
              <w:right w:val="single" w:color="000000" w:sz="8" w:space="0"/>
            </w:tcBorders>
            <w:shd w:val="clear" w:color="auto" w:fill="FFFFFF"/>
            <w:noWrap/>
            <w:tcMar>
              <w:top w:w="15" w:type="dxa"/>
              <w:left w:w="15" w:type="dxa"/>
              <w:right w:w="15" w:type="dxa"/>
            </w:tcMar>
            <w:vAlign w:val="center"/>
          </w:tcPr>
          <w:p w14:paraId="01AB0530">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余兰</w:t>
            </w:r>
          </w:p>
        </w:tc>
        <w:tc>
          <w:tcPr>
            <w:tcW w:w="301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79D6BE5">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广居路与迎坡街交叉口西侧空地</w:t>
            </w:r>
          </w:p>
        </w:tc>
        <w:tc>
          <w:tcPr>
            <w:tcW w:w="133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7ED16C7">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15669530262</w:t>
            </w:r>
          </w:p>
        </w:tc>
      </w:tr>
      <w:tr w14:paraId="3D90AE8A">
        <w:tblPrEx>
          <w:tblCellMar>
            <w:top w:w="0" w:type="dxa"/>
            <w:left w:w="0" w:type="dxa"/>
            <w:bottom w:w="0" w:type="dxa"/>
            <w:right w:w="0" w:type="dxa"/>
          </w:tblCellMar>
        </w:tblPrEx>
        <w:trPr>
          <w:trHeight w:val="555" w:hRule="atLeast"/>
        </w:trPr>
        <w:tc>
          <w:tcPr>
            <w:tcW w:w="75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4090A84">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33</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AAA1C57">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官渡区</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27E9585">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33</w:t>
            </w:r>
          </w:p>
        </w:tc>
        <w:tc>
          <w:tcPr>
            <w:tcW w:w="3000" w:type="dxa"/>
            <w:tcBorders>
              <w:top w:val="nil"/>
              <w:left w:val="nil"/>
              <w:bottom w:val="single" w:color="000000" w:sz="8" w:space="0"/>
              <w:right w:val="single" w:color="000000" w:sz="8" w:space="0"/>
            </w:tcBorders>
            <w:shd w:val="clear" w:color="auto" w:fill="FFFFFF"/>
            <w:noWrap w:val="0"/>
            <w:tcMar>
              <w:top w:w="15" w:type="dxa"/>
              <w:left w:w="15" w:type="dxa"/>
              <w:right w:w="15" w:type="dxa"/>
            </w:tcMar>
            <w:vAlign w:val="center"/>
          </w:tcPr>
          <w:p w14:paraId="203C09C0">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官渡区杰祥日用百货经营部</w:t>
            </w:r>
          </w:p>
        </w:tc>
        <w:tc>
          <w:tcPr>
            <w:tcW w:w="915" w:type="dxa"/>
            <w:tcBorders>
              <w:top w:val="nil"/>
              <w:left w:val="nil"/>
              <w:bottom w:val="single" w:color="000000" w:sz="8" w:space="0"/>
              <w:right w:val="single" w:color="000000" w:sz="8" w:space="0"/>
            </w:tcBorders>
            <w:shd w:val="clear" w:color="auto" w:fill="FFFFFF"/>
            <w:noWrap/>
            <w:tcMar>
              <w:top w:w="15" w:type="dxa"/>
              <w:left w:w="15" w:type="dxa"/>
              <w:right w:w="15" w:type="dxa"/>
            </w:tcMar>
            <w:vAlign w:val="center"/>
          </w:tcPr>
          <w:p w14:paraId="05A5D4C8">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徐国祥</w:t>
            </w:r>
          </w:p>
        </w:tc>
        <w:tc>
          <w:tcPr>
            <w:tcW w:w="301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1FEF30D">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昆洛路与云秀路交叉口南侧</w:t>
            </w:r>
          </w:p>
        </w:tc>
        <w:tc>
          <w:tcPr>
            <w:tcW w:w="133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783B9EA">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13629638506</w:t>
            </w:r>
          </w:p>
        </w:tc>
      </w:tr>
      <w:tr w14:paraId="4ED2CCEC">
        <w:tblPrEx>
          <w:tblCellMar>
            <w:top w:w="0" w:type="dxa"/>
            <w:left w:w="0" w:type="dxa"/>
            <w:bottom w:w="0" w:type="dxa"/>
            <w:right w:w="0" w:type="dxa"/>
          </w:tblCellMar>
        </w:tblPrEx>
        <w:trPr>
          <w:trHeight w:val="555" w:hRule="atLeast"/>
        </w:trPr>
        <w:tc>
          <w:tcPr>
            <w:tcW w:w="75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B0D97B5">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34</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2CCB12F">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官渡区</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2030455">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34</w:t>
            </w:r>
          </w:p>
        </w:tc>
        <w:tc>
          <w:tcPr>
            <w:tcW w:w="3000" w:type="dxa"/>
            <w:tcBorders>
              <w:top w:val="nil"/>
              <w:left w:val="nil"/>
              <w:bottom w:val="single" w:color="000000" w:sz="8" w:space="0"/>
              <w:right w:val="single" w:color="000000" w:sz="8" w:space="0"/>
            </w:tcBorders>
            <w:shd w:val="clear" w:color="auto" w:fill="FFFFFF"/>
            <w:noWrap w:val="0"/>
            <w:tcMar>
              <w:top w:w="15" w:type="dxa"/>
              <w:left w:w="15" w:type="dxa"/>
              <w:right w:w="15" w:type="dxa"/>
            </w:tcMar>
            <w:vAlign w:val="center"/>
          </w:tcPr>
          <w:p w14:paraId="7D139888">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昆明悦秋商贸有限公司</w:t>
            </w:r>
          </w:p>
        </w:tc>
        <w:tc>
          <w:tcPr>
            <w:tcW w:w="915" w:type="dxa"/>
            <w:tcBorders>
              <w:top w:val="nil"/>
              <w:left w:val="nil"/>
              <w:bottom w:val="single" w:color="000000" w:sz="8" w:space="0"/>
              <w:right w:val="single" w:color="000000" w:sz="8" w:space="0"/>
            </w:tcBorders>
            <w:shd w:val="clear" w:color="auto" w:fill="FFFFFF"/>
            <w:noWrap/>
            <w:tcMar>
              <w:top w:w="15" w:type="dxa"/>
              <w:left w:w="15" w:type="dxa"/>
              <w:right w:w="15" w:type="dxa"/>
            </w:tcMar>
            <w:vAlign w:val="center"/>
          </w:tcPr>
          <w:p w14:paraId="0416EF81">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王吉平</w:t>
            </w:r>
          </w:p>
        </w:tc>
        <w:tc>
          <w:tcPr>
            <w:tcW w:w="301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44AA752">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福保路与海华路交叉路口南侧</w:t>
            </w:r>
          </w:p>
        </w:tc>
        <w:tc>
          <w:tcPr>
            <w:tcW w:w="133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ED4FB38">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13987166189</w:t>
            </w:r>
          </w:p>
        </w:tc>
      </w:tr>
      <w:tr w14:paraId="0D4F9FBB">
        <w:tblPrEx>
          <w:tblCellMar>
            <w:top w:w="0" w:type="dxa"/>
            <w:left w:w="0" w:type="dxa"/>
            <w:bottom w:w="0" w:type="dxa"/>
            <w:right w:w="0" w:type="dxa"/>
          </w:tblCellMar>
        </w:tblPrEx>
        <w:trPr>
          <w:trHeight w:val="555" w:hRule="atLeast"/>
        </w:trPr>
        <w:tc>
          <w:tcPr>
            <w:tcW w:w="75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38EBC2C">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35</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BB683EB">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官渡区</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B863CA4">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35</w:t>
            </w:r>
          </w:p>
        </w:tc>
        <w:tc>
          <w:tcPr>
            <w:tcW w:w="3000" w:type="dxa"/>
            <w:tcBorders>
              <w:top w:val="nil"/>
              <w:left w:val="nil"/>
              <w:bottom w:val="single" w:color="000000" w:sz="8" w:space="0"/>
              <w:right w:val="single" w:color="000000" w:sz="8" w:space="0"/>
            </w:tcBorders>
            <w:shd w:val="clear" w:color="auto" w:fill="FFFFFF"/>
            <w:noWrap w:val="0"/>
            <w:tcMar>
              <w:top w:w="15" w:type="dxa"/>
              <w:left w:w="15" w:type="dxa"/>
              <w:right w:w="15" w:type="dxa"/>
            </w:tcMar>
            <w:vAlign w:val="center"/>
          </w:tcPr>
          <w:p w14:paraId="49DD166B">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官渡区学衡副食店</w:t>
            </w:r>
          </w:p>
        </w:tc>
        <w:tc>
          <w:tcPr>
            <w:tcW w:w="915" w:type="dxa"/>
            <w:tcBorders>
              <w:top w:val="nil"/>
              <w:left w:val="nil"/>
              <w:bottom w:val="single" w:color="000000" w:sz="8" w:space="0"/>
              <w:right w:val="single" w:color="000000" w:sz="8" w:space="0"/>
            </w:tcBorders>
            <w:shd w:val="clear" w:color="auto" w:fill="FFFFFF"/>
            <w:noWrap/>
            <w:tcMar>
              <w:top w:w="15" w:type="dxa"/>
              <w:left w:w="15" w:type="dxa"/>
              <w:right w:w="15" w:type="dxa"/>
            </w:tcMar>
            <w:vAlign w:val="center"/>
          </w:tcPr>
          <w:p w14:paraId="1A95A5B8">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冯国辉</w:t>
            </w:r>
          </w:p>
        </w:tc>
        <w:tc>
          <w:tcPr>
            <w:tcW w:w="301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F785659">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福保路与环湖路交叉口西侧50m空地</w:t>
            </w:r>
          </w:p>
        </w:tc>
        <w:tc>
          <w:tcPr>
            <w:tcW w:w="133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29C251A">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15912589245</w:t>
            </w:r>
          </w:p>
        </w:tc>
      </w:tr>
      <w:tr w14:paraId="368679B3">
        <w:tblPrEx>
          <w:tblCellMar>
            <w:top w:w="0" w:type="dxa"/>
            <w:left w:w="0" w:type="dxa"/>
            <w:bottom w:w="0" w:type="dxa"/>
            <w:right w:w="0" w:type="dxa"/>
          </w:tblCellMar>
        </w:tblPrEx>
        <w:trPr>
          <w:trHeight w:val="555" w:hRule="atLeast"/>
        </w:trPr>
        <w:tc>
          <w:tcPr>
            <w:tcW w:w="75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3084039">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36</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F03AA4D">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官渡区</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96AC0CE">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36</w:t>
            </w:r>
          </w:p>
        </w:tc>
        <w:tc>
          <w:tcPr>
            <w:tcW w:w="3000" w:type="dxa"/>
            <w:tcBorders>
              <w:top w:val="nil"/>
              <w:left w:val="single" w:color="000000" w:sz="8" w:space="0"/>
              <w:bottom w:val="single" w:color="000000" w:sz="8" w:space="0"/>
              <w:right w:val="single" w:color="000000" w:sz="8" w:space="0"/>
            </w:tcBorders>
            <w:shd w:val="clear" w:color="auto" w:fill="FFFFFF"/>
            <w:noWrap w:val="0"/>
            <w:tcMar>
              <w:top w:w="15" w:type="dxa"/>
              <w:left w:w="15" w:type="dxa"/>
              <w:right w:w="15" w:type="dxa"/>
            </w:tcMar>
            <w:vAlign w:val="center"/>
          </w:tcPr>
          <w:p w14:paraId="4FDEF5BE">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昆明市官渡区添惠服装店</w:t>
            </w:r>
          </w:p>
        </w:tc>
        <w:tc>
          <w:tcPr>
            <w:tcW w:w="915" w:type="dxa"/>
            <w:tcBorders>
              <w:top w:val="nil"/>
              <w:left w:val="single" w:color="000000" w:sz="8" w:space="0"/>
              <w:bottom w:val="single" w:color="000000" w:sz="8" w:space="0"/>
              <w:right w:val="single" w:color="000000" w:sz="8" w:space="0"/>
            </w:tcBorders>
            <w:shd w:val="clear" w:color="auto" w:fill="FFFFFF"/>
            <w:noWrap/>
            <w:tcMar>
              <w:top w:w="15" w:type="dxa"/>
              <w:left w:w="15" w:type="dxa"/>
              <w:right w:w="15" w:type="dxa"/>
            </w:tcMar>
            <w:vAlign w:val="center"/>
          </w:tcPr>
          <w:p w14:paraId="3B655EFD">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孔德成</w:t>
            </w:r>
          </w:p>
        </w:tc>
        <w:tc>
          <w:tcPr>
            <w:tcW w:w="301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6E80740">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福保路与小康路交叉口北侧60m处</w:t>
            </w:r>
          </w:p>
        </w:tc>
        <w:tc>
          <w:tcPr>
            <w:tcW w:w="133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268BCCB">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13529402100</w:t>
            </w:r>
          </w:p>
        </w:tc>
      </w:tr>
      <w:tr w14:paraId="18AF5EB4">
        <w:tblPrEx>
          <w:tblCellMar>
            <w:top w:w="0" w:type="dxa"/>
            <w:left w:w="0" w:type="dxa"/>
            <w:bottom w:w="0" w:type="dxa"/>
            <w:right w:w="0" w:type="dxa"/>
          </w:tblCellMar>
        </w:tblPrEx>
        <w:trPr>
          <w:trHeight w:val="495" w:hRule="atLeast"/>
        </w:trPr>
        <w:tc>
          <w:tcPr>
            <w:tcW w:w="75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17E3024">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37</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5DEC791">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官渡区</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4BD19C8">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37</w:t>
            </w:r>
          </w:p>
        </w:tc>
        <w:tc>
          <w:tcPr>
            <w:tcW w:w="3000" w:type="dxa"/>
            <w:tcBorders>
              <w:top w:val="nil"/>
              <w:left w:val="single" w:color="000000" w:sz="8" w:space="0"/>
              <w:bottom w:val="single" w:color="000000" w:sz="8" w:space="0"/>
              <w:right w:val="single" w:color="000000" w:sz="8" w:space="0"/>
            </w:tcBorders>
            <w:shd w:val="clear" w:color="auto" w:fill="FFFFFF"/>
            <w:noWrap w:val="0"/>
            <w:tcMar>
              <w:top w:w="15" w:type="dxa"/>
              <w:left w:w="15" w:type="dxa"/>
              <w:right w:w="15" w:type="dxa"/>
            </w:tcMar>
            <w:vAlign w:val="center"/>
          </w:tcPr>
          <w:p w14:paraId="2880973C">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昆明市官渡区布舍服装店</w:t>
            </w:r>
          </w:p>
        </w:tc>
        <w:tc>
          <w:tcPr>
            <w:tcW w:w="915" w:type="dxa"/>
            <w:tcBorders>
              <w:top w:val="nil"/>
              <w:left w:val="single" w:color="000000" w:sz="8" w:space="0"/>
              <w:bottom w:val="single" w:color="000000" w:sz="8" w:space="0"/>
              <w:right w:val="single" w:color="000000" w:sz="8" w:space="0"/>
            </w:tcBorders>
            <w:shd w:val="clear" w:color="auto" w:fill="FFFFFF"/>
            <w:noWrap/>
            <w:tcMar>
              <w:top w:w="15" w:type="dxa"/>
              <w:left w:w="15" w:type="dxa"/>
              <w:right w:w="15" w:type="dxa"/>
            </w:tcMar>
            <w:vAlign w:val="center"/>
          </w:tcPr>
          <w:p w14:paraId="54EBBA01">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王含露</w:t>
            </w:r>
          </w:p>
        </w:tc>
        <w:tc>
          <w:tcPr>
            <w:tcW w:w="301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D6C5B33">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东骧神骏小区西门对面归十西路上行80m处</w:t>
            </w:r>
          </w:p>
        </w:tc>
        <w:tc>
          <w:tcPr>
            <w:tcW w:w="133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050C350">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15288271538</w:t>
            </w:r>
          </w:p>
        </w:tc>
      </w:tr>
      <w:tr w14:paraId="28E77D8A">
        <w:tblPrEx>
          <w:tblCellMar>
            <w:top w:w="0" w:type="dxa"/>
            <w:left w:w="0" w:type="dxa"/>
            <w:bottom w:w="0" w:type="dxa"/>
            <w:right w:w="0" w:type="dxa"/>
          </w:tblCellMar>
        </w:tblPrEx>
        <w:trPr>
          <w:trHeight w:val="495" w:hRule="atLeast"/>
        </w:trPr>
        <w:tc>
          <w:tcPr>
            <w:tcW w:w="75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415E5C4">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38</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3F37389">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官渡区</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56B3E97">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38</w:t>
            </w:r>
          </w:p>
        </w:tc>
        <w:tc>
          <w:tcPr>
            <w:tcW w:w="3000" w:type="dxa"/>
            <w:tcBorders>
              <w:top w:val="nil"/>
              <w:left w:val="single" w:color="000000" w:sz="8" w:space="0"/>
              <w:bottom w:val="single" w:color="000000" w:sz="8" w:space="0"/>
              <w:right w:val="single" w:color="000000" w:sz="8" w:space="0"/>
            </w:tcBorders>
            <w:shd w:val="clear" w:color="auto" w:fill="FFFFFF"/>
            <w:noWrap w:val="0"/>
            <w:tcMar>
              <w:top w:w="15" w:type="dxa"/>
              <w:left w:w="15" w:type="dxa"/>
              <w:right w:w="15" w:type="dxa"/>
            </w:tcMar>
            <w:vAlign w:val="center"/>
          </w:tcPr>
          <w:p w14:paraId="42D37B55">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官渡区美吉建材经营部</w:t>
            </w:r>
          </w:p>
        </w:tc>
        <w:tc>
          <w:tcPr>
            <w:tcW w:w="915" w:type="dxa"/>
            <w:tcBorders>
              <w:top w:val="nil"/>
              <w:left w:val="single" w:color="000000" w:sz="8" w:space="0"/>
              <w:bottom w:val="single" w:color="000000" w:sz="8" w:space="0"/>
              <w:right w:val="single" w:color="000000" w:sz="8" w:space="0"/>
            </w:tcBorders>
            <w:shd w:val="clear" w:color="auto" w:fill="FFFFFF"/>
            <w:noWrap/>
            <w:tcMar>
              <w:top w:w="15" w:type="dxa"/>
              <w:left w:w="15" w:type="dxa"/>
              <w:right w:w="15" w:type="dxa"/>
            </w:tcMar>
            <w:vAlign w:val="center"/>
          </w:tcPr>
          <w:p w14:paraId="5CC1A0F0">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龚俊</w:t>
            </w:r>
          </w:p>
        </w:tc>
        <w:tc>
          <w:tcPr>
            <w:tcW w:w="301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2DF98F2">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东风东路380号东南侧20m处（二环以外）</w:t>
            </w:r>
          </w:p>
        </w:tc>
        <w:tc>
          <w:tcPr>
            <w:tcW w:w="133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6CB607A">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13888926547</w:t>
            </w:r>
          </w:p>
        </w:tc>
      </w:tr>
      <w:tr w14:paraId="4667D5CA">
        <w:tblPrEx>
          <w:tblCellMar>
            <w:top w:w="0" w:type="dxa"/>
            <w:left w:w="0" w:type="dxa"/>
            <w:bottom w:w="0" w:type="dxa"/>
            <w:right w:w="0" w:type="dxa"/>
          </w:tblCellMar>
        </w:tblPrEx>
        <w:trPr>
          <w:trHeight w:val="735" w:hRule="atLeast"/>
        </w:trPr>
        <w:tc>
          <w:tcPr>
            <w:tcW w:w="75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1A98D26">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39</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4912497">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官渡区</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1E25E58">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39</w:t>
            </w:r>
          </w:p>
        </w:tc>
        <w:tc>
          <w:tcPr>
            <w:tcW w:w="3000" w:type="dxa"/>
            <w:tcBorders>
              <w:top w:val="nil"/>
              <w:left w:val="single" w:color="000000" w:sz="8" w:space="0"/>
              <w:bottom w:val="single" w:color="000000" w:sz="8" w:space="0"/>
              <w:right w:val="single" w:color="000000" w:sz="8" w:space="0"/>
            </w:tcBorders>
            <w:shd w:val="clear" w:color="auto" w:fill="FFFFFF"/>
            <w:noWrap w:val="0"/>
            <w:tcMar>
              <w:top w:w="15" w:type="dxa"/>
              <w:left w:w="15" w:type="dxa"/>
              <w:right w:w="15" w:type="dxa"/>
            </w:tcMar>
            <w:vAlign w:val="center"/>
          </w:tcPr>
          <w:p w14:paraId="62DC1D59">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昆明壹与零科技有限公司</w:t>
            </w:r>
          </w:p>
        </w:tc>
        <w:tc>
          <w:tcPr>
            <w:tcW w:w="915" w:type="dxa"/>
            <w:tcBorders>
              <w:top w:val="nil"/>
              <w:left w:val="single" w:color="000000" w:sz="8" w:space="0"/>
              <w:bottom w:val="single" w:color="000000" w:sz="8" w:space="0"/>
              <w:right w:val="single" w:color="000000" w:sz="8" w:space="0"/>
            </w:tcBorders>
            <w:shd w:val="clear" w:color="auto" w:fill="FFFFFF"/>
            <w:noWrap/>
            <w:tcMar>
              <w:top w:w="15" w:type="dxa"/>
              <w:left w:w="15" w:type="dxa"/>
              <w:right w:w="15" w:type="dxa"/>
            </w:tcMar>
            <w:vAlign w:val="center"/>
          </w:tcPr>
          <w:p w14:paraId="203C2B3B">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王贵存</w:t>
            </w:r>
          </w:p>
        </w:tc>
        <w:tc>
          <w:tcPr>
            <w:tcW w:w="301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80F7C39">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贵昆路辅路中铁单身公寓（金伦视觉艺术）对面东侧空地</w:t>
            </w:r>
          </w:p>
        </w:tc>
        <w:tc>
          <w:tcPr>
            <w:tcW w:w="133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4EE8820">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18687049918</w:t>
            </w:r>
          </w:p>
        </w:tc>
      </w:tr>
      <w:tr w14:paraId="2FF0F3F4">
        <w:tblPrEx>
          <w:tblCellMar>
            <w:top w:w="0" w:type="dxa"/>
            <w:left w:w="0" w:type="dxa"/>
            <w:bottom w:w="0" w:type="dxa"/>
            <w:right w:w="0" w:type="dxa"/>
          </w:tblCellMar>
        </w:tblPrEx>
        <w:trPr>
          <w:trHeight w:val="825" w:hRule="atLeast"/>
        </w:trPr>
        <w:tc>
          <w:tcPr>
            <w:tcW w:w="75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5DB1F89">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40</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81A202A">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官渡区</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BD4A7C7">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40</w:t>
            </w:r>
          </w:p>
        </w:tc>
        <w:tc>
          <w:tcPr>
            <w:tcW w:w="3000" w:type="dxa"/>
            <w:tcBorders>
              <w:top w:val="nil"/>
              <w:left w:val="single" w:color="000000" w:sz="8" w:space="0"/>
              <w:bottom w:val="single" w:color="000000" w:sz="8" w:space="0"/>
              <w:right w:val="single" w:color="000000" w:sz="8" w:space="0"/>
            </w:tcBorders>
            <w:shd w:val="clear" w:color="auto" w:fill="FFFFFF"/>
            <w:noWrap w:val="0"/>
            <w:tcMar>
              <w:top w:w="15" w:type="dxa"/>
              <w:left w:w="15" w:type="dxa"/>
              <w:right w:w="15" w:type="dxa"/>
            </w:tcMar>
            <w:vAlign w:val="center"/>
          </w:tcPr>
          <w:p w14:paraId="091168C3">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昆明市官渡区异想软件开发部</w:t>
            </w:r>
          </w:p>
        </w:tc>
        <w:tc>
          <w:tcPr>
            <w:tcW w:w="915" w:type="dxa"/>
            <w:tcBorders>
              <w:top w:val="nil"/>
              <w:left w:val="single" w:color="000000" w:sz="8" w:space="0"/>
              <w:bottom w:val="single" w:color="000000" w:sz="8" w:space="0"/>
              <w:right w:val="single" w:color="000000" w:sz="8" w:space="0"/>
            </w:tcBorders>
            <w:shd w:val="clear" w:color="auto" w:fill="FFFFFF"/>
            <w:noWrap/>
            <w:tcMar>
              <w:top w:w="15" w:type="dxa"/>
              <w:left w:w="15" w:type="dxa"/>
              <w:right w:w="15" w:type="dxa"/>
            </w:tcMar>
            <w:vAlign w:val="center"/>
          </w:tcPr>
          <w:p w14:paraId="2160EBDA">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严坤</w:t>
            </w:r>
          </w:p>
        </w:tc>
        <w:tc>
          <w:tcPr>
            <w:tcW w:w="301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990B733">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官渡区官渡广场西面关兴巷</w:t>
            </w:r>
          </w:p>
        </w:tc>
        <w:tc>
          <w:tcPr>
            <w:tcW w:w="133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F3D5833">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15925065557</w:t>
            </w:r>
          </w:p>
        </w:tc>
      </w:tr>
      <w:tr w14:paraId="42BAA884">
        <w:tblPrEx>
          <w:tblCellMar>
            <w:top w:w="0" w:type="dxa"/>
            <w:left w:w="0" w:type="dxa"/>
            <w:bottom w:w="0" w:type="dxa"/>
            <w:right w:w="0" w:type="dxa"/>
          </w:tblCellMar>
        </w:tblPrEx>
        <w:trPr>
          <w:trHeight w:val="495" w:hRule="atLeast"/>
        </w:trPr>
        <w:tc>
          <w:tcPr>
            <w:tcW w:w="75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5EFBC80">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41</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B0820CB">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官渡区</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CF27AEC">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41</w:t>
            </w:r>
          </w:p>
        </w:tc>
        <w:tc>
          <w:tcPr>
            <w:tcW w:w="3000" w:type="dxa"/>
            <w:tcBorders>
              <w:top w:val="nil"/>
              <w:left w:val="single" w:color="000000" w:sz="8" w:space="0"/>
              <w:bottom w:val="single" w:color="000000" w:sz="8" w:space="0"/>
              <w:right w:val="single" w:color="000000" w:sz="8" w:space="0"/>
            </w:tcBorders>
            <w:shd w:val="clear" w:color="auto" w:fill="FFFFFF"/>
            <w:noWrap w:val="0"/>
            <w:tcMar>
              <w:top w:w="15" w:type="dxa"/>
              <w:left w:w="15" w:type="dxa"/>
              <w:right w:w="15" w:type="dxa"/>
            </w:tcMar>
            <w:vAlign w:val="center"/>
          </w:tcPr>
          <w:p w14:paraId="02FB317D">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昆明官渡区糖旺副食品店</w:t>
            </w:r>
          </w:p>
        </w:tc>
        <w:tc>
          <w:tcPr>
            <w:tcW w:w="915" w:type="dxa"/>
            <w:tcBorders>
              <w:top w:val="nil"/>
              <w:left w:val="single" w:color="000000" w:sz="8" w:space="0"/>
              <w:bottom w:val="single" w:color="000000" w:sz="8" w:space="0"/>
              <w:right w:val="single" w:color="000000" w:sz="8" w:space="0"/>
            </w:tcBorders>
            <w:shd w:val="clear" w:color="auto" w:fill="FFFFFF"/>
            <w:noWrap/>
            <w:tcMar>
              <w:top w:w="15" w:type="dxa"/>
              <w:left w:w="15" w:type="dxa"/>
              <w:right w:w="15" w:type="dxa"/>
            </w:tcMar>
            <w:vAlign w:val="center"/>
          </w:tcPr>
          <w:p w14:paraId="4138727C">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谭厅</w:t>
            </w:r>
          </w:p>
        </w:tc>
        <w:tc>
          <w:tcPr>
            <w:tcW w:w="301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8033857">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日新路与福德路交叉口（佳盟花市对面、西口）</w:t>
            </w:r>
          </w:p>
        </w:tc>
        <w:tc>
          <w:tcPr>
            <w:tcW w:w="133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E866A1C">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13759175481</w:t>
            </w:r>
          </w:p>
        </w:tc>
      </w:tr>
      <w:tr w14:paraId="7AA805C4">
        <w:tblPrEx>
          <w:tblCellMar>
            <w:top w:w="0" w:type="dxa"/>
            <w:left w:w="0" w:type="dxa"/>
            <w:bottom w:w="0" w:type="dxa"/>
            <w:right w:w="0" w:type="dxa"/>
          </w:tblCellMar>
        </w:tblPrEx>
        <w:trPr>
          <w:trHeight w:val="825" w:hRule="atLeast"/>
        </w:trPr>
        <w:tc>
          <w:tcPr>
            <w:tcW w:w="75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5CAD081">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42</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2CCA731">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官渡区</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BACFD5C">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42</w:t>
            </w:r>
          </w:p>
        </w:tc>
        <w:tc>
          <w:tcPr>
            <w:tcW w:w="3000" w:type="dxa"/>
            <w:tcBorders>
              <w:top w:val="nil"/>
              <w:left w:val="single" w:color="000000" w:sz="8" w:space="0"/>
              <w:bottom w:val="single" w:color="000000" w:sz="8" w:space="0"/>
              <w:right w:val="single" w:color="000000" w:sz="8" w:space="0"/>
            </w:tcBorders>
            <w:shd w:val="clear" w:color="auto" w:fill="FFFFFF"/>
            <w:noWrap w:val="0"/>
            <w:tcMar>
              <w:top w:w="15" w:type="dxa"/>
              <w:left w:w="15" w:type="dxa"/>
              <w:right w:w="15" w:type="dxa"/>
            </w:tcMar>
            <w:vAlign w:val="center"/>
          </w:tcPr>
          <w:p w14:paraId="052531A9">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官渡区蓓儿斯日用百货经营户</w:t>
            </w:r>
          </w:p>
        </w:tc>
        <w:tc>
          <w:tcPr>
            <w:tcW w:w="915" w:type="dxa"/>
            <w:tcBorders>
              <w:top w:val="nil"/>
              <w:left w:val="single" w:color="000000" w:sz="8" w:space="0"/>
              <w:bottom w:val="single" w:color="000000" w:sz="8" w:space="0"/>
              <w:right w:val="single" w:color="000000" w:sz="8" w:space="0"/>
            </w:tcBorders>
            <w:shd w:val="clear" w:color="auto" w:fill="FFFFFF"/>
            <w:noWrap/>
            <w:tcMar>
              <w:top w:w="15" w:type="dxa"/>
              <w:left w:w="15" w:type="dxa"/>
              <w:right w:w="15" w:type="dxa"/>
            </w:tcMar>
            <w:vAlign w:val="center"/>
          </w:tcPr>
          <w:p w14:paraId="5E464820">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赵逸航</w:t>
            </w:r>
          </w:p>
        </w:tc>
        <w:tc>
          <w:tcPr>
            <w:tcW w:w="301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7F6D40D">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官南大道与日新路交叉口（盛世岭南旁）</w:t>
            </w:r>
          </w:p>
        </w:tc>
        <w:tc>
          <w:tcPr>
            <w:tcW w:w="133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29D7635">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18987458337</w:t>
            </w:r>
          </w:p>
        </w:tc>
      </w:tr>
      <w:tr w14:paraId="6F63FF3D">
        <w:tblPrEx>
          <w:tblCellMar>
            <w:top w:w="0" w:type="dxa"/>
            <w:left w:w="0" w:type="dxa"/>
            <w:bottom w:w="0" w:type="dxa"/>
            <w:right w:w="0" w:type="dxa"/>
          </w:tblCellMar>
        </w:tblPrEx>
        <w:trPr>
          <w:trHeight w:val="825" w:hRule="atLeast"/>
        </w:trPr>
        <w:tc>
          <w:tcPr>
            <w:tcW w:w="75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089F7B2">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43</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3BC518B">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官渡区</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5561F72">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43</w:t>
            </w:r>
          </w:p>
        </w:tc>
        <w:tc>
          <w:tcPr>
            <w:tcW w:w="3000" w:type="dxa"/>
            <w:tcBorders>
              <w:top w:val="nil"/>
              <w:left w:val="single" w:color="000000" w:sz="8" w:space="0"/>
              <w:bottom w:val="single" w:color="000000" w:sz="8" w:space="0"/>
              <w:right w:val="single" w:color="000000" w:sz="8" w:space="0"/>
            </w:tcBorders>
            <w:shd w:val="clear" w:color="auto" w:fill="FFFFFF"/>
            <w:noWrap w:val="0"/>
            <w:tcMar>
              <w:top w:w="15" w:type="dxa"/>
              <w:left w:w="15" w:type="dxa"/>
              <w:right w:w="15" w:type="dxa"/>
            </w:tcMar>
            <w:vAlign w:val="center"/>
          </w:tcPr>
          <w:p w14:paraId="2CCE9828">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昆明市官渡区行健汽车装饰用品经营部</w:t>
            </w:r>
          </w:p>
        </w:tc>
        <w:tc>
          <w:tcPr>
            <w:tcW w:w="915" w:type="dxa"/>
            <w:tcBorders>
              <w:top w:val="nil"/>
              <w:left w:val="single" w:color="000000" w:sz="8" w:space="0"/>
              <w:bottom w:val="single" w:color="000000" w:sz="8" w:space="0"/>
              <w:right w:val="single" w:color="000000" w:sz="8" w:space="0"/>
            </w:tcBorders>
            <w:shd w:val="clear" w:color="auto" w:fill="FFFFFF"/>
            <w:noWrap/>
            <w:tcMar>
              <w:top w:w="15" w:type="dxa"/>
              <w:left w:w="15" w:type="dxa"/>
              <w:right w:w="15" w:type="dxa"/>
            </w:tcMar>
            <w:vAlign w:val="center"/>
          </w:tcPr>
          <w:p w14:paraId="7BF84338">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赵瑞芳</w:t>
            </w:r>
          </w:p>
        </w:tc>
        <w:tc>
          <w:tcPr>
            <w:tcW w:w="301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91A2802">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关兴路与金汁路交叉口（云南药材百姓大药房前）</w:t>
            </w:r>
          </w:p>
        </w:tc>
        <w:tc>
          <w:tcPr>
            <w:tcW w:w="133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8F15BB2">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15198930375</w:t>
            </w:r>
          </w:p>
        </w:tc>
      </w:tr>
      <w:tr w14:paraId="73DE4BBF">
        <w:tblPrEx>
          <w:tblCellMar>
            <w:top w:w="0" w:type="dxa"/>
            <w:left w:w="0" w:type="dxa"/>
            <w:bottom w:w="0" w:type="dxa"/>
            <w:right w:w="0" w:type="dxa"/>
          </w:tblCellMar>
        </w:tblPrEx>
        <w:trPr>
          <w:trHeight w:val="555" w:hRule="atLeast"/>
        </w:trPr>
        <w:tc>
          <w:tcPr>
            <w:tcW w:w="75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1D75E5E">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44</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093E610">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官渡区</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F7000CB">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44</w:t>
            </w:r>
          </w:p>
        </w:tc>
        <w:tc>
          <w:tcPr>
            <w:tcW w:w="3000" w:type="dxa"/>
            <w:tcBorders>
              <w:top w:val="nil"/>
              <w:left w:val="single" w:color="000000" w:sz="8" w:space="0"/>
              <w:bottom w:val="single" w:color="000000" w:sz="8" w:space="0"/>
              <w:right w:val="single" w:color="000000" w:sz="8" w:space="0"/>
            </w:tcBorders>
            <w:shd w:val="clear" w:color="auto" w:fill="FFFFFF"/>
            <w:noWrap w:val="0"/>
            <w:tcMar>
              <w:top w:w="15" w:type="dxa"/>
              <w:left w:w="15" w:type="dxa"/>
              <w:right w:w="15" w:type="dxa"/>
            </w:tcMar>
            <w:vAlign w:val="center"/>
          </w:tcPr>
          <w:p w14:paraId="16FC9468">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官渡区创客汽车装饰服务部</w:t>
            </w:r>
          </w:p>
        </w:tc>
        <w:tc>
          <w:tcPr>
            <w:tcW w:w="915" w:type="dxa"/>
            <w:tcBorders>
              <w:top w:val="nil"/>
              <w:left w:val="single" w:color="000000" w:sz="8" w:space="0"/>
              <w:bottom w:val="single" w:color="000000" w:sz="8" w:space="0"/>
              <w:right w:val="single" w:color="000000" w:sz="8" w:space="0"/>
            </w:tcBorders>
            <w:shd w:val="clear" w:color="auto" w:fill="FFFFFF"/>
            <w:noWrap/>
            <w:tcMar>
              <w:top w:w="15" w:type="dxa"/>
              <w:left w:w="15" w:type="dxa"/>
              <w:right w:w="15" w:type="dxa"/>
            </w:tcMar>
            <w:vAlign w:val="center"/>
          </w:tcPr>
          <w:p w14:paraId="62BA3529">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张森坤</w:t>
            </w:r>
          </w:p>
        </w:tc>
        <w:tc>
          <w:tcPr>
            <w:tcW w:w="301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7FC1F9D">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宝海路中国农业银行对面</w:t>
            </w:r>
          </w:p>
        </w:tc>
        <w:tc>
          <w:tcPr>
            <w:tcW w:w="133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0338881">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13308744200</w:t>
            </w:r>
          </w:p>
        </w:tc>
      </w:tr>
      <w:tr w14:paraId="46B81CC9">
        <w:tblPrEx>
          <w:tblCellMar>
            <w:top w:w="0" w:type="dxa"/>
            <w:left w:w="0" w:type="dxa"/>
            <w:bottom w:w="0" w:type="dxa"/>
            <w:right w:w="0" w:type="dxa"/>
          </w:tblCellMar>
        </w:tblPrEx>
        <w:trPr>
          <w:trHeight w:val="555" w:hRule="atLeast"/>
        </w:trPr>
        <w:tc>
          <w:tcPr>
            <w:tcW w:w="75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24F1BE3">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45</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90E51D6">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官渡区</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4718813">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45</w:t>
            </w:r>
          </w:p>
        </w:tc>
        <w:tc>
          <w:tcPr>
            <w:tcW w:w="3000" w:type="dxa"/>
            <w:tcBorders>
              <w:top w:val="nil"/>
              <w:left w:val="single" w:color="000000" w:sz="8" w:space="0"/>
              <w:bottom w:val="single" w:color="000000" w:sz="8" w:space="0"/>
              <w:right w:val="single" w:color="000000" w:sz="8" w:space="0"/>
            </w:tcBorders>
            <w:shd w:val="clear" w:color="auto" w:fill="FFFFFF"/>
            <w:noWrap w:val="0"/>
            <w:tcMar>
              <w:top w:w="15" w:type="dxa"/>
              <w:left w:w="15" w:type="dxa"/>
              <w:right w:w="15" w:type="dxa"/>
            </w:tcMar>
            <w:vAlign w:val="center"/>
          </w:tcPr>
          <w:p w14:paraId="3A0BDC15">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官渡区唐雪成服装经营部</w:t>
            </w:r>
          </w:p>
        </w:tc>
        <w:tc>
          <w:tcPr>
            <w:tcW w:w="915" w:type="dxa"/>
            <w:tcBorders>
              <w:top w:val="nil"/>
              <w:left w:val="single" w:color="000000" w:sz="8" w:space="0"/>
              <w:bottom w:val="single" w:color="000000" w:sz="8" w:space="0"/>
              <w:right w:val="single" w:color="000000" w:sz="8" w:space="0"/>
            </w:tcBorders>
            <w:shd w:val="clear" w:color="auto" w:fill="FFFFFF"/>
            <w:noWrap/>
            <w:tcMar>
              <w:top w:w="15" w:type="dxa"/>
              <w:left w:w="15" w:type="dxa"/>
              <w:right w:w="15" w:type="dxa"/>
            </w:tcMar>
            <w:vAlign w:val="center"/>
          </w:tcPr>
          <w:p w14:paraId="01237E47">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黄俊诚</w:t>
            </w:r>
          </w:p>
        </w:tc>
        <w:tc>
          <w:tcPr>
            <w:tcW w:w="301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85BCFE7">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关兴路91号宝海游泳馆前</w:t>
            </w:r>
          </w:p>
        </w:tc>
        <w:tc>
          <w:tcPr>
            <w:tcW w:w="133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6A9B8F7">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13888161718</w:t>
            </w:r>
          </w:p>
        </w:tc>
      </w:tr>
      <w:tr w14:paraId="2BACB220">
        <w:tblPrEx>
          <w:tblCellMar>
            <w:top w:w="0" w:type="dxa"/>
            <w:left w:w="0" w:type="dxa"/>
            <w:bottom w:w="0" w:type="dxa"/>
            <w:right w:w="0" w:type="dxa"/>
          </w:tblCellMar>
        </w:tblPrEx>
        <w:trPr>
          <w:trHeight w:val="825" w:hRule="atLeast"/>
        </w:trPr>
        <w:tc>
          <w:tcPr>
            <w:tcW w:w="75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D6E4F85">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46</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A7F3A66">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官渡区</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7CE87BB">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46</w:t>
            </w:r>
          </w:p>
        </w:tc>
        <w:tc>
          <w:tcPr>
            <w:tcW w:w="3000" w:type="dxa"/>
            <w:tcBorders>
              <w:top w:val="nil"/>
              <w:left w:val="single" w:color="000000" w:sz="8" w:space="0"/>
              <w:bottom w:val="single" w:color="000000" w:sz="8" w:space="0"/>
              <w:right w:val="single" w:color="000000" w:sz="8" w:space="0"/>
            </w:tcBorders>
            <w:shd w:val="clear" w:color="auto" w:fill="FFFFFF"/>
            <w:noWrap w:val="0"/>
            <w:tcMar>
              <w:top w:w="15" w:type="dxa"/>
              <w:left w:w="15" w:type="dxa"/>
              <w:right w:w="15" w:type="dxa"/>
            </w:tcMar>
            <w:vAlign w:val="center"/>
          </w:tcPr>
          <w:p w14:paraId="0D038BC8">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昆明市官渡区君燕副食品经营部</w:t>
            </w:r>
          </w:p>
        </w:tc>
        <w:tc>
          <w:tcPr>
            <w:tcW w:w="915" w:type="dxa"/>
            <w:tcBorders>
              <w:top w:val="nil"/>
              <w:left w:val="single" w:color="000000" w:sz="8" w:space="0"/>
              <w:bottom w:val="single" w:color="000000" w:sz="8" w:space="0"/>
              <w:right w:val="single" w:color="000000" w:sz="8" w:space="0"/>
            </w:tcBorders>
            <w:shd w:val="clear" w:color="auto" w:fill="FFFFFF"/>
            <w:noWrap/>
            <w:tcMar>
              <w:top w:w="15" w:type="dxa"/>
              <w:left w:w="15" w:type="dxa"/>
              <w:right w:w="15" w:type="dxa"/>
            </w:tcMar>
            <w:vAlign w:val="center"/>
          </w:tcPr>
          <w:p w14:paraId="28E833FB">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张燕</w:t>
            </w:r>
          </w:p>
        </w:tc>
        <w:tc>
          <w:tcPr>
            <w:tcW w:w="301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27E451E">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宝海路银海尚御小区停车场斜对面</w:t>
            </w:r>
          </w:p>
        </w:tc>
        <w:tc>
          <w:tcPr>
            <w:tcW w:w="133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18C3B3F">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18788518559</w:t>
            </w:r>
          </w:p>
        </w:tc>
      </w:tr>
      <w:tr w14:paraId="693440DD">
        <w:tblPrEx>
          <w:tblCellMar>
            <w:top w:w="0" w:type="dxa"/>
            <w:left w:w="0" w:type="dxa"/>
            <w:bottom w:w="0" w:type="dxa"/>
            <w:right w:w="0" w:type="dxa"/>
          </w:tblCellMar>
        </w:tblPrEx>
        <w:trPr>
          <w:trHeight w:val="825" w:hRule="atLeast"/>
        </w:trPr>
        <w:tc>
          <w:tcPr>
            <w:tcW w:w="75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A0F5778">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47</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B98B70D">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官渡区</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88A4715">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47</w:t>
            </w:r>
          </w:p>
        </w:tc>
        <w:tc>
          <w:tcPr>
            <w:tcW w:w="3000" w:type="dxa"/>
            <w:tcBorders>
              <w:top w:val="nil"/>
              <w:left w:val="single" w:color="000000" w:sz="8" w:space="0"/>
              <w:bottom w:val="single" w:color="000000" w:sz="8" w:space="0"/>
              <w:right w:val="single" w:color="000000" w:sz="8" w:space="0"/>
            </w:tcBorders>
            <w:shd w:val="clear" w:color="auto" w:fill="FFFFFF"/>
            <w:noWrap w:val="0"/>
            <w:tcMar>
              <w:top w:w="15" w:type="dxa"/>
              <w:left w:w="15" w:type="dxa"/>
              <w:right w:w="15" w:type="dxa"/>
            </w:tcMar>
            <w:vAlign w:val="center"/>
          </w:tcPr>
          <w:p w14:paraId="5AF043C9">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官渡区旺腾腾日用百货经营部</w:t>
            </w:r>
          </w:p>
        </w:tc>
        <w:tc>
          <w:tcPr>
            <w:tcW w:w="915" w:type="dxa"/>
            <w:tcBorders>
              <w:top w:val="nil"/>
              <w:left w:val="single" w:color="000000" w:sz="8" w:space="0"/>
              <w:bottom w:val="single" w:color="000000" w:sz="8" w:space="0"/>
              <w:right w:val="single" w:color="000000" w:sz="8" w:space="0"/>
            </w:tcBorders>
            <w:shd w:val="clear" w:color="auto" w:fill="FFFFFF"/>
            <w:noWrap/>
            <w:tcMar>
              <w:top w:w="15" w:type="dxa"/>
              <w:left w:w="15" w:type="dxa"/>
              <w:right w:w="15" w:type="dxa"/>
            </w:tcMar>
            <w:vAlign w:val="center"/>
          </w:tcPr>
          <w:p w14:paraId="23DEE578">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贾鸿武</w:t>
            </w:r>
          </w:p>
        </w:tc>
        <w:tc>
          <w:tcPr>
            <w:tcW w:w="301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4ABC675">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日新路与巫家巷交叉口西侧官宏大酒店斜对面</w:t>
            </w:r>
          </w:p>
        </w:tc>
        <w:tc>
          <w:tcPr>
            <w:tcW w:w="133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941355B">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13577105340</w:t>
            </w:r>
          </w:p>
        </w:tc>
      </w:tr>
      <w:tr w14:paraId="16F4485A">
        <w:tblPrEx>
          <w:tblCellMar>
            <w:top w:w="0" w:type="dxa"/>
            <w:left w:w="0" w:type="dxa"/>
            <w:bottom w:w="0" w:type="dxa"/>
            <w:right w:w="0" w:type="dxa"/>
          </w:tblCellMar>
        </w:tblPrEx>
        <w:trPr>
          <w:trHeight w:val="825" w:hRule="atLeast"/>
        </w:trPr>
        <w:tc>
          <w:tcPr>
            <w:tcW w:w="75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3CE515F">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48</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DA88893">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官渡区</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930E817">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48</w:t>
            </w:r>
          </w:p>
        </w:tc>
        <w:tc>
          <w:tcPr>
            <w:tcW w:w="3000" w:type="dxa"/>
            <w:tcBorders>
              <w:top w:val="nil"/>
              <w:left w:val="single" w:color="000000" w:sz="8" w:space="0"/>
              <w:bottom w:val="single" w:color="000000" w:sz="8" w:space="0"/>
              <w:right w:val="single" w:color="000000" w:sz="8" w:space="0"/>
            </w:tcBorders>
            <w:shd w:val="clear" w:color="auto" w:fill="FFFFFF"/>
            <w:noWrap w:val="0"/>
            <w:tcMar>
              <w:top w:w="15" w:type="dxa"/>
              <w:left w:w="15" w:type="dxa"/>
              <w:right w:w="15" w:type="dxa"/>
            </w:tcMar>
            <w:vAlign w:val="center"/>
          </w:tcPr>
          <w:p w14:paraId="15E3D538">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官渡区庆彪机械设备租赁服务部</w:t>
            </w:r>
          </w:p>
        </w:tc>
        <w:tc>
          <w:tcPr>
            <w:tcW w:w="915" w:type="dxa"/>
            <w:tcBorders>
              <w:top w:val="nil"/>
              <w:left w:val="single" w:color="000000" w:sz="8" w:space="0"/>
              <w:bottom w:val="single" w:color="000000" w:sz="8" w:space="0"/>
              <w:right w:val="single" w:color="000000" w:sz="8" w:space="0"/>
            </w:tcBorders>
            <w:shd w:val="clear" w:color="auto" w:fill="FFFFFF"/>
            <w:noWrap/>
            <w:tcMar>
              <w:top w:w="15" w:type="dxa"/>
              <w:left w:w="15" w:type="dxa"/>
              <w:right w:w="15" w:type="dxa"/>
            </w:tcMar>
            <w:vAlign w:val="center"/>
          </w:tcPr>
          <w:p w14:paraId="0A523CCB">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崔庆彪</w:t>
            </w:r>
          </w:p>
        </w:tc>
        <w:tc>
          <w:tcPr>
            <w:tcW w:w="301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70DCE35">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海明路与国贸路交叉口南侧一心堂对面</w:t>
            </w:r>
          </w:p>
        </w:tc>
        <w:tc>
          <w:tcPr>
            <w:tcW w:w="133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B04EB5F">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13769808968</w:t>
            </w:r>
          </w:p>
        </w:tc>
      </w:tr>
      <w:tr w14:paraId="770A82AC">
        <w:tblPrEx>
          <w:tblCellMar>
            <w:top w:w="0" w:type="dxa"/>
            <w:left w:w="0" w:type="dxa"/>
            <w:bottom w:w="0" w:type="dxa"/>
            <w:right w:w="0" w:type="dxa"/>
          </w:tblCellMar>
        </w:tblPrEx>
        <w:trPr>
          <w:trHeight w:val="495" w:hRule="atLeast"/>
        </w:trPr>
        <w:tc>
          <w:tcPr>
            <w:tcW w:w="75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3E32A11">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49</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F3157A1">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官渡区</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AEE7EA0">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49</w:t>
            </w:r>
          </w:p>
        </w:tc>
        <w:tc>
          <w:tcPr>
            <w:tcW w:w="3000" w:type="dxa"/>
            <w:tcBorders>
              <w:top w:val="nil"/>
              <w:left w:val="single" w:color="000000" w:sz="8" w:space="0"/>
              <w:bottom w:val="single" w:color="000000" w:sz="8" w:space="0"/>
              <w:right w:val="single" w:color="000000" w:sz="8" w:space="0"/>
            </w:tcBorders>
            <w:shd w:val="clear" w:color="auto" w:fill="FFFFFF"/>
            <w:noWrap w:val="0"/>
            <w:tcMar>
              <w:top w:w="15" w:type="dxa"/>
              <w:left w:w="15" w:type="dxa"/>
              <w:right w:w="15" w:type="dxa"/>
            </w:tcMar>
            <w:vAlign w:val="center"/>
          </w:tcPr>
          <w:p w14:paraId="3994D021">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官渡区曼练思威日用百货店</w:t>
            </w:r>
          </w:p>
        </w:tc>
        <w:tc>
          <w:tcPr>
            <w:tcW w:w="915" w:type="dxa"/>
            <w:tcBorders>
              <w:top w:val="nil"/>
              <w:left w:val="single" w:color="000000" w:sz="8" w:space="0"/>
              <w:bottom w:val="single" w:color="000000" w:sz="8" w:space="0"/>
              <w:right w:val="single" w:color="000000" w:sz="8" w:space="0"/>
            </w:tcBorders>
            <w:shd w:val="clear" w:color="auto" w:fill="FFFFFF"/>
            <w:noWrap/>
            <w:tcMar>
              <w:top w:w="15" w:type="dxa"/>
              <w:left w:w="15" w:type="dxa"/>
              <w:right w:w="15" w:type="dxa"/>
            </w:tcMar>
            <w:vAlign w:val="center"/>
          </w:tcPr>
          <w:p w14:paraId="70BD8F5E">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余娇娇</w:t>
            </w:r>
          </w:p>
        </w:tc>
        <w:tc>
          <w:tcPr>
            <w:tcW w:w="301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D9AC130">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关兴路与金汁路交叉口东侧25m融城春晓1栋对面</w:t>
            </w:r>
          </w:p>
        </w:tc>
        <w:tc>
          <w:tcPr>
            <w:tcW w:w="133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C15D209">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18214603169</w:t>
            </w:r>
          </w:p>
        </w:tc>
      </w:tr>
      <w:tr w14:paraId="51BBF29D">
        <w:tblPrEx>
          <w:tblCellMar>
            <w:top w:w="0" w:type="dxa"/>
            <w:left w:w="0" w:type="dxa"/>
            <w:bottom w:w="0" w:type="dxa"/>
            <w:right w:w="0" w:type="dxa"/>
          </w:tblCellMar>
        </w:tblPrEx>
        <w:trPr>
          <w:trHeight w:val="825" w:hRule="atLeast"/>
        </w:trPr>
        <w:tc>
          <w:tcPr>
            <w:tcW w:w="75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56B5CF9">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50</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893D912">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官渡区</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B708A24">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50</w:t>
            </w:r>
          </w:p>
        </w:tc>
        <w:tc>
          <w:tcPr>
            <w:tcW w:w="3000" w:type="dxa"/>
            <w:tcBorders>
              <w:top w:val="nil"/>
              <w:left w:val="single" w:color="000000" w:sz="8" w:space="0"/>
              <w:bottom w:val="single" w:color="000000" w:sz="8" w:space="0"/>
              <w:right w:val="single" w:color="000000" w:sz="8" w:space="0"/>
            </w:tcBorders>
            <w:shd w:val="clear" w:color="auto" w:fill="FFFFFF"/>
            <w:noWrap w:val="0"/>
            <w:tcMar>
              <w:top w:w="15" w:type="dxa"/>
              <w:left w:w="15" w:type="dxa"/>
              <w:right w:w="15" w:type="dxa"/>
            </w:tcMar>
            <w:vAlign w:val="center"/>
          </w:tcPr>
          <w:p w14:paraId="163BA48A">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昆明市官渡区李继生商务信息咨询服务部</w:t>
            </w:r>
          </w:p>
        </w:tc>
        <w:tc>
          <w:tcPr>
            <w:tcW w:w="915" w:type="dxa"/>
            <w:tcBorders>
              <w:top w:val="nil"/>
              <w:left w:val="single" w:color="000000" w:sz="8" w:space="0"/>
              <w:bottom w:val="single" w:color="000000" w:sz="8" w:space="0"/>
              <w:right w:val="single" w:color="000000" w:sz="8" w:space="0"/>
            </w:tcBorders>
            <w:shd w:val="clear" w:color="auto" w:fill="FFFFFF"/>
            <w:noWrap/>
            <w:tcMar>
              <w:top w:w="15" w:type="dxa"/>
              <w:left w:w="15" w:type="dxa"/>
              <w:right w:w="15" w:type="dxa"/>
            </w:tcMar>
            <w:vAlign w:val="center"/>
          </w:tcPr>
          <w:p w14:paraId="5817A84D">
            <w:pPr>
              <w:widowControl/>
              <w:spacing w:line="560" w:lineRule="exact"/>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李继生</w:t>
            </w:r>
          </w:p>
        </w:tc>
        <w:tc>
          <w:tcPr>
            <w:tcW w:w="301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9C2690D">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宏德街与官南大道交叉口西侧空地</w:t>
            </w:r>
          </w:p>
        </w:tc>
        <w:tc>
          <w:tcPr>
            <w:tcW w:w="133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758E5B4">
            <w:pPr>
              <w:widowControl/>
              <w:spacing w:line="560" w:lineRule="exact"/>
              <w:jc w:val="center"/>
              <w:textAlignment w:val="center"/>
              <w:rPr>
                <w:rFonts w:ascii="Times New Roman" w:hAnsi="Times New Roman"/>
                <w:color w:val="000000"/>
                <w:sz w:val="20"/>
                <w:szCs w:val="20"/>
              </w:rPr>
            </w:pPr>
            <w:r>
              <w:rPr>
                <w:rFonts w:ascii="Times New Roman" w:hAnsi="Times New Roman"/>
                <w:color w:val="000000"/>
                <w:kern w:val="0"/>
                <w:sz w:val="20"/>
                <w:szCs w:val="20"/>
                <w:lang w:bidi="ar"/>
              </w:rPr>
              <w:t>13608868657</w:t>
            </w:r>
          </w:p>
        </w:tc>
      </w:tr>
    </w:tbl>
    <w:p w14:paraId="470278D4">
      <w:pPr>
        <w:spacing w:line="560" w:lineRule="exact"/>
        <w:rPr>
          <w:rFonts w:ascii="Times New Roman" w:hAnsi="Times New Roman"/>
        </w:rPr>
      </w:pPr>
    </w:p>
    <w:p w14:paraId="368EBD96">
      <w:pPr>
        <w:pStyle w:val="6"/>
        <w:shd w:val="clear" w:color="auto" w:fill="FFFFFF"/>
        <w:spacing w:beforeAutospacing="0" w:afterAutospacing="0" w:line="560" w:lineRule="exact"/>
        <w:jc w:val="both"/>
        <w:rPr>
          <w:rFonts w:ascii="Times New Roman" w:hAnsi="Times New Roman" w:eastAsia="方正小标宋_GBK" w:cs="Times New Roman"/>
          <w:sz w:val="44"/>
          <w:szCs w:val="44"/>
          <w:shd w:val="clear" w:color="auto" w:fill="FFFFFF"/>
        </w:rPr>
        <w:sectPr>
          <w:pgSz w:w="16838" w:h="11906" w:orient="landscape"/>
          <w:pgMar w:top="1800" w:right="1440" w:bottom="1800" w:left="1440" w:header="851" w:footer="992" w:gutter="0"/>
          <w:cols w:space="720" w:num="1"/>
          <w:docGrid w:type="lines" w:linePitch="312" w:charSpace="0"/>
        </w:sectPr>
      </w:pPr>
    </w:p>
    <w:p w14:paraId="21446915">
      <w:pPr>
        <w:tabs>
          <w:tab w:val="left" w:pos="840"/>
        </w:tabs>
        <w:spacing w:line="560" w:lineRule="exact"/>
        <w:ind w:firstLine="200"/>
        <w:jc w:val="center"/>
        <w:outlineLvl w:val="0"/>
        <w:rPr>
          <w:rFonts w:ascii="Times New Roman" w:hAnsi="Times New Roman" w:eastAsia="方正小标宋_GBK"/>
          <w:bCs/>
          <w:sz w:val="44"/>
          <w:szCs w:val="44"/>
        </w:rPr>
      </w:pPr>
      <w:r>
        <w:rPr>
          <w:rFonts w:ascii="Times New Roman" w:hAnsi="Times New Roman" w:eastAsia="方正小标宋_GBK"/>
          <w:bCs/>
          <w:sz w:val="44"/>
          <w:szCs w:val="44"/>
        </w:rPr>
        <w:t>官渡区</w:t>
      </w:r>
      <w:bookmarkStart w:id="0" w:name="_Toc26649673"/>
      <w:r>
        <w:rPr>
          <w:rFonts w:ascii="Times New Roman" w:hAnsi="Times New Roman" w:eastAsia="方正小标宋_GBK"/>
          <w:bCs/>
          <w:sz w:val="44"/>
          <w:szCs w:val="44"/>
        </w:rPr>
        <w:t>隧道内危化品泄漏应急预案</w:t>
      </w:r>
      <w:bookmarkEnd w:id="0"/>
    </w:p>
    <w:p w14:paraId="317509D5">
      <w:pPr>
        <w:tabs>
          <w:tab w:val="left" w:pos="840"/>
        </w:tabs>
        <w:spacing w:line="560" w:lineRule="exact"/>
        <w:ind w:firstLine="862" w:firstLineChars="200"/>
        <w:outlineLvl w:val="0"/>
        <w:rPr>
          <w:rFonts w:ascii="Times New Roman" w:hAnsi="Times New Roman" w:eastAsia="方正小标宋简体"/>
          <w:bCs/>
          <w:sz w:val="44"/>
          <w:szCs w:val="44"/>
        </w:rPr>
      </w:pPr>
    </w:p>
    <w:p w14:paraId="5F2E2F80">
      <w:pPr>
        <w:tabs>
          <w:tab w:val="left" w:pos="840"/>
        </w:tabs>
        <w:spacing w:line="560" w:lineRule="exact"/>
        <w:ind w:firstLine="622" w:firstLineChars="200"/>
        <w:outlineLvl w:val="0"/>
        <w:rPr>
          <w:rFonts w:ascii="Times New Roman" w:hAnsi="Times New Roman" w:eastAsia="方正小标宋简体"/>
          <w:bCs/>
          <w:sz w:val="44"/>
          <w:szCs w:val="44"/>
        </w:rPr>
      </w:pPr>
      <w:r>
        <w:rPr>
          <w:rFonts w:ascii="Times New Roman" w:hAnsi="Times New Roman" w:eastAsia="黑体"/>
          <w:bCs/>
          <w:kern w:val="44"/>
          <w:sz w:val="32"/>
          <w:szCs w:val="44"/>
        </w:rPr>
        <w:t>1总则</w:t>
      </w:r>
    </w:p>
    <w:p w14:paraId="4F64C7F3">
      <w:pPr>
        <w:tabs>
          <w:tab w:val="left" w:pos="840"/>
        </w:tabs>
        <w:spacing w:line="560" w:lineRule="exact"/>
        <w:ind w:firstLine="622" w:firstLineChars="200"/>
        <w:outlineLvl w:val="0"/>
        <w:rPr>
          <w:rFonts w:ascii="Times New Roman" w:hAnsi="Times New Roman" w:eastAsia="楷体_GB2312"/>
          <w:b/>
          <w:bCs/>
          <w:sz w:val="44"/>
          <w:szCs w:val="44"/>
        </w:rPr>
      </w:pPr>
      <w:r>
        <w:rPr>
          <w:rFonts w:ascii="Times New Roman" w:hAnsi="Times New Roman" w:eastAsia="楷体_GB2312"/>
          <w:bCs/>
          <w:sz w:val="32"/>
          <w:szCs w:val="32"/>
        </w:rPr>
        <w:t>1.1编制目的</w:t>
      </w:r>
    </w:p>
    <w:p w14:paraId="57353A12">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为切实提高官渡区隧道内危化品泄漏事故的防范和应急救援处置能力，加强隧道内危化品泄漏事故发生后的组织领导和协调处理，建立全市统一、高效、规范的隧道内危化品泄漏事故应急指挥、救援和保障体系，以确保紧急情况下能够及时有序的实施应急救援措施，最大限度地降低事故危害程度，保障人民生命财产安全和环境不受污染，根据有关法律法规和规定，结合官渡区实际，制定本预案。</w:t>
      </w:r>
    </w:p>
    <w:p w14:paraId="074E5097">
      <w:pPr>
        <w:tabs>
          <w:tab w:val="left" w:pos="840"/>
        </w:tabs>
        <w:spacing w:line="560" w:lineRule="exact"/>
        <w:ind w:firstLine="622" w:firstLineChars="200"/>
        <w:outlineLvl w:val="0"/>
        <w:rPr>
          <w:rFonts w:ascii="Times New Roman" w:hAnsi="Times New Roman" w:eastAsia="楷体_GB2312"/>
          <w:bCs/>
          <w:sz w:val="32"/>
          <w:szCs w:val="32"/>
        </w:rPr>
      </w:pPr>
      <w:r>
        <w:rPr>
          <w:rFonts w:ascii="Times New Roman" w:hAnsi="Times New Roman" w:eastAsia="楷体_GB2312"/>
          <w:bCs/>
          <w:sz w:val="32"/>
          <w:szCs w:val="32"/>
        </w:rPr>
        <w:t>1.2编制依据</w:t>
      </w:r>
    </w:p>
    <w:p w14:paraId="3020B8BC">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中华人民共和国安全生产法》、《中华人民共和国突发事件应对法》、《中华人民共和国道路运输条例》、《中华人民共和国危险化学品安全管理条例》、《国务院生产安全事故报告和调查处理条例》、《国家突发公共事件总体应急预案》、《突发事件应急预案管理办法》、《危险化学品安全管理条例》、《危险货物道路运输安全管理办法》、《云南省突发事件应急预案管理办法》、《云南省突发事件应急征用与补偿办法》、</w:t>
      </w:r>
      <w:r>
        <w:rPr>
          <w:rFonts w:ascii="Times New Roman" w:hAnsi="Times New Roman" w:eastAsia="仿宋_GB2312"/>
          <w:sz w:val="32"/>
          <w:szCs w:val="32"/>
        </w:rPr>
        <w:t>《道路危险货物运输管理规定》、</w:t>
      </w:r>
      <w:r>
        <w:rPr>
          <w:rFonts w:ascii="Times New Roman" w:hAnsi="Times New Roman" w:eastAsia="仿宋_GB2312"/>
          <w:sz w:val="32"/>
          <w:szCs w:val="28"/>
        </w:rPr>
        <w:t>《昆明市隧道内危化品泄漏事故应急预案》等。</w:t>
      </w:r>
    </w:p>
    <w:p w14:paraId="7133EB2C">
      <w:pPr>
        <w:tabs>
          <w:tab w:val="left" w:pos="840"/>
        </w:tabs>
        <w:spacing w:line="560" w:lineRule="exact"/>
        <w:ind w:firstLine="622" w:firstLineChars="200"/>
        <w:outlineLvl w:val="0"/>
        <w:rPr>
          <w:rFonts w:ascii="Times New Roman" w:hAnsi="Times New Roman" w:eastAsia="楷体_GB2312"/>
          <w:bCs/>
          <w:sz w:val="32"/>
          <w:szCs w:val="32"/>
        </w:rPr>
      </w:pPr>
      <w:r>
        <w:rPr>
          <w:rFonts w:ascii="Times New Roman" w:hAnsi="Times New Roman" w:eastAsia="楷体_GB2312"/>
          <w:bCs/>
          <w:sz w:val="32"/>
          <w:szCs w:val="32"/>
        </w:rPr>
        <w:t>1.3事故分类分级</w:t>
      </w:r>
    </w:p>
    <w:p w14:paraId="249559F5">
      <w:pPr>
        <w:spacing w:line="560" w:lineRule="exact"/>
        <w:ind w:firstLine="622" w:firstLineChars="200"/>
        <w:rPr>
          <w:rFonts w:ascii="Times New Roman" w:hAnsi="Times New Roman"/>
          <w:sz w:val="32"/>
          <w:szCs w:val="28"/>
        </w:rPr>
      </w:pPr>
      <w:r>
        <w:rPr>
          <w:rFonts w:ascii="Times New Roman" w:hAnsi="Times New Roman" w:eastAsia="仿宋"/>
          <w:bCs/>
          <w:sz w:val="32"/>
          <w:szCs w:val="32"/>
        </w:rPr>
        <w:t>1.3.1</w:t>
      </w:r>
      <w:r>
        <w:rPr>
          <w:rFonts w:ascii="Times New Roman" w:hAnsi="Times New Roman" w:eastAsia="仿宋_GB2312"/>
          <w:bCs/>
          <w:sz w:val="32"/>
          <w:szCs w:val="32"/>
        </w:rPr>
        <w:t>事故分类</w:t>
      </w:r>
    </w:p>
    <w:p w14:paraId="658160E2">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隧道内危化品泄漏事故主要分泄漏（中毒和窒息）、火灾爆炸两种情况。</w:t>
      </w:r>
    </w:p>
    <w:p w14:paraId="1832DC09">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1）危化品泄漏事故主要是指运载易燃、易爆或有毒有害（包扩酸性和碱性危化品）等危险性气体或液体化学品的车辆，在运输途中，车辆的容器发生气体或液体大量释放、泄漏，导致重大中毒和窒息等事故，造成严重的人员伤亡、财产损失、腐蚀道路、环境污染等后果。</w:t>
      </w:r>
    </w:p>
    <w:p w14:paraId="4FAC6C7E">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（2）火灾可分为固体火灾、液体火灾和气体火灾。由于装载危险化学品的车辆发生事故后，将有可能引起火灾或爆炸。危险化学品在燃烧、爆炸时会放出有毒气体或烟雾，造成人员中毒、窒息、灼伤。</w:t>
      </w:r>
    </w:p>
    <w:p w14:paraId="724747FF">
      <w:pPr>
        <w:spacing w:line="560" w:lineRule="exact"/>
        <w:ind w:firstLine="622" w:firstLineChars="200"/>
        <w:rPr>
          <w:rFonts w:ascii="Times New Roman" w:hAnsi="Times New Roman" w:eastAsia="仿宋_GB2312"/>
          <w:sz w:val="32"/>
          <w:szCs w:val="28"/>
        </w:rPr>
      </w:pPr>
      <w:r>
        <w:rPr>
          <w:rFonts w:ascii="Times New Roman" w:hAnsi="Times New Roman" w:eastAsia="仿宋"/>
          <w:bCs/>
          <w:sz w:val="32"/>
          <w:szCs w:val="32"/>
        </w:rPr>
        <w:t>1.3.2</w:t>
      </w:r>
      <w:r>
        <w:rPr>
          <w:rFonts w:ascii="Times New Roman" w:hAnsi="Times New Roman" w:eastAsia="仿宋_GB2312"/>
          <w:bCs/>
          <w:sz w:val="32"/>
          <w:szCs w:val="32"/>
        </w:rPr>
        <w:t>事故分级</w:t>
      </w:r>
    </w:p>
    <w:p w14:paraId="643770D8">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按照事故可能造成的危害程度、波及范围、影响力大小等情况，由高到低划分为特别重大 （</w:t>
      </w:r>
      <w:r>
        <w:rPr>
          <w:rFonts w:ascii="Times New Roman" w:hAnsi="Times New Roman"/>
          <w:sz w:val="32"/>
          <w:szCs w:val="28"/>
        </w:rPr>
        <w:t>Ⅰ</w:t>
      </w:r>
      <w:r>
        <w:rPr>
          <w:rFonts w:ascii="Times New Roman" w:hAnsi="Times New Roman" w:eastAsia="仿宋_GB2312"/>
          <w:sz w:val="32"/>
          <w:szCs w:val="28"/>
        </w:rPr>
        <w:t>级）、重大（</w:t>
      </w:r>
      <w:r>
        <w:rPr>
          <w:rFonts w:ascii="Times New Roman" w:hAnsi="Times New Roman"/>
          <w:sz w:val="32"/>
          <w:szCs w:val="28"/>
        </w:rPr>
        <w:t>Ⅱ</w:t>
      </w:r>
      <w:r>
        <w:rPr>
          <w:rFonts w:ascii="Times New Roman" w:hAnsi="Times New Roman" w:eastAsia="仿宋_GB2312"/>
          <w:sz w:val="32"/>
          <w:szCs w:val="28"/>
        </w:rPr>
        <w:t>级）、较大（</w:t>
      </w:r>
      <w:r>
        <w:rPr>
          <w:rFonts w:ascii="Times New Roman" w:hAnsi="Times New Roman"/>
          <w:sz w:val="32"/>
          <w:szCs w:val="28"/>
        </w:rPr>
        <w:t>Ⅲ</w:t>
      </w:r>
      <w:r>
        <w:rPr>
          <w:rFonts w:ascii="Times New Roman" w:hAnsi="Times New Roman" w:eastAsia="仿宋_GB2312"/>
          <w:sz w:val="32"/>
          <w:szCs w:val="28"/>
        </w:rPr>
        <w:t>级）、一般（</w:t>
      </w:r>
      <w:r>
        <w:rPr>
          <w:rFonts w:ascii="Times New Roman" w:hAnsi="Times New Roman"/>
          <w:sz w:val="32"/>
          <w:szCs w:val="28"/>
        </w:rPr>
        <w:t>Ⅳ</w:t>
      </w:r>
      <w:r>
        <w:rPr>
          <w:rFonts w:ascii="Times New Roman" w:hAnsi="Times New Roman" w:eastAsia="仿宋_GB2312"/>
          <w:sz w:val="32"/>
          <w:szCs w:val="28"/>
        </w:rPr>
        <w:t>级）四个级别，并依次采用红色、橙色、黄色、蓝色来表示。</w:t>
      </w:r>
    </w:p>
    <w:p w14:paraId="0BB37B67">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（1）特别重大事故：是指造成30人以上死亡，或者100人以上重伤、中毒、灼烫及其他伤害，或者1亿元以上直接经济损失的事故；或者有可能造成严重环境污染的事故。</w:t>
      </w:r>
    </w:p>
    <w:p w14:paraId="160D668C">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（2）重大事故：是指造成10人以上30人以下死亡，或者50人以上100人以下重伤、中毒、灼烫及其他伤害，或者5000万元以上1亿元以下直接经济损失的事故；或者有可能造成重大环境污染的事故。</w:t>
      </w:r>
    </w:p>
    <w:p w14:paraId="60E1FF6E">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（3）较大事故：是指造成3人以上10以下死亡，或者10人以上50人以下重伤、中毒、灼烫及其他伤害，或者1000万元以上5000万元以下直接经济损失的事故；或者有可能造成一定的环境污染的事故。</w:t>
      </w:r>
    </w:p>
    <w:p w14:paraId="1ABB6BED">
      <w:pPr>
        <w:spacing w:line="560" w:lineRule="exact"/>
        <w:ind w:firstLine="622" w:firstLineChars="200"/>
        <w:rPr>
          <w:rFonts w:ascii="Times New Roman" w:hAnsi="Times New Roman" w:eastAsia="仿宋"/>
          <w:sz w:val="32"/>
          <w:szCs w:val="28"/>
        </w:rPr>
      </w:pPr>
      <w:r>
        <w:rPr>
          <w:rFonts w:ascii="Times New Roman" w:hAnsi="Times New Roman" w:eastAsia="仿宋_GB2312"/>
          <w:sz w:val="32"/>
          <w:szCs w:val="28"/>
        </w:rPr>
        <w:t>（4）一般事故：是指造成3人以下死亡，或者10人以下重伤、中毒、灼烫及其他伤害，或者1000万元以下直接经济损失的事故。</w:t>
      </w:r>
    </w:p>
    <w:p w14:paraId="031D8A57">
      <w:pPr>
        <w:tabs>
          <w:tab w:val="left" w:pos="840"/>
        </w:tabs>
        <w:spacing w:line="560" w:lineRule="exact"/>
        <w:ind w:firstLine="622" w:firstLineChars="200"/>
        <w:outlineLvl w:val="0"/>
        <w:rPr>
          <w:rFonts w:ascii="Times New Roman" w:hAnsi="Times New Roman" w:eastAsia="楷体_GB2312"/>
          <w:bCs/>
          <w:sz w:val="32"/>
          <w:szCs w:val="32"/>
        </w:rPr>
      </w:pPr>
      <w:r>
        <w:rPr>
          <w:rFonts w:ascii="Times New Roman" w:hAnsi="Times New Roman" w:eastAsia="楷体_GB2312"/>
          <w:bCs/>
          <w:sz w:val="32"/>
          <w:szCs w:val="32"/>
        </w:rPr>
        <w:t>1.4适用范围</w:t>
      </w:r>
    </w:p>
    <w:p w14:paraId="7D11F800">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本预案适用于道路危化品运输车辆在官渡区行政辖区内的隧道中发生危化品泄漏事故时的应急救援与处置。</w:t>
      </w:r>
    </w:p>
    <w:p w14:paraId="0B0E978B">
      <w:pPr>
        <w:spacing w:line="560" w:lineRule="exact"/>
        <w:ind w:firstLine="622" w:firstLineChars="200"/>
        <w:rPr>
          <w:rFonts w:ascii="Times New Roman" w:hAnsi="Times New Roman" w:eastAsia="仿宋_GB2312"/>
          <w:sz w:val="32"/>
          <w:szCs w:val="28"/>
        </w:rPr>
      </w:pPr>
      <w:r>
        <w:rPr>
          <w:rFonts w:ascii="Times New Roman" w:hAnsi="Times New Roman" w:eastAsia="黑体"/>
          <w:bCs/>
          <w:kern w:val="44"/>
          <w:sz w:val="32"/>
          <w:szCs w:val="44"/>
        </w:rPr>
        <w:t>2组织体系职能</w:t>
      </w:r>
    </w:p>
    <w:p w14:paraId="75B6C7DA">
      <w:pPr>
        <w:tabs>
          <w:tab w:val="left" w:pos="840"/>
        </w:tabs>
        <w:spacing w:line="560" w:lineRule="exact"/>
        <w:ind w:firstLine="622" w:firstLineChars="200"/>
        <w:outlineLvl w:val="0"/>
        <w:rPr>
          <w:rFonts w:ascii="Times New Roman" w:hAnsi="Times New Roman" w:eastAsia="楷体_GB2312"/>
          <w:bCs/>
          <w:sz w:val="32"/>
          <w:szCs w:val="32"/>
        </w:rPr>
      </w:pPr>
      <w:r>
        <w:rPr>
          <w:rFonts w:ascii="Times New Roman" w:hAnsi="Times New Roman" w:eastAsia="楷体_GB2312"/>
          <w:bCs/>
          <w:sz w:val="32"/>
          <w:szCs w:val="32"/>
        </w:rPr>
        <w:t>2.1指挥机构及职责</w:t>
      </w:r>
    </w:p>
    <w:p w14:paraId="6D2C0C89">
      <w:pPr>
        <w:spacing w:line="560" w:lineRule="exact"/>
        <w:ind w:firstLine="622" w:firstLineChars="200"/>
        <w:rPr>
          <w:rFonts w:ascii="Times New Roman" w:hAnsi="Times New Roman" w:eastAsia="仿宋_GB2312"/>
          <w:sz w:val="32"/>
          <w:szCs w:val="28"/>
        </w:rPr>
      </w:pPr>
      <w:r>
        <w:rPr>
          <w:rFonts w:ascii="Times New Roman" w:hAnsi="Times New Roman" w:eastAsia="仿宋_GB2312"/>
          <w:bCs/>
          <w:sz w:val="32"/>
          <w:szCs w:val="32"/>
        </w:rPr>
        <w:t>2.1.1应急指挥部</w:t>
      </w:r>
    </w:p>
    <w:p w14:paraId="7D0994AD">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在区委、区政府的统一领导下，成立官渡区隧道内危化品泄漏事故应急指挥部（以下简称应急指挥部）。</w:t>
      </w:r>
    </w:p>
    <w:p w14:paraId="39A3F5A7">
      <w:pPr>
        <w:spacing w:line="560" w:lineRule="exact"/>
        <w:ind w:firstLine="622" w:firstLineChars="200"/>
        <w:rPr>
          <w:rFonts w:ascii="Times New Roman" w:hAnsi="Times New Roman" w:eastAsia="仿宋_GB2312"/>
          <w:sz w:val="32"/>
          <w:szCs w:val="28"/>
        </w:rPr>
      </w:pPr>
      <w:r>
        <w:rPr>
          <w:rFonts w:ascii="Times New Roman" w:hAnsi="Times New Roman" w:eastAsia="仿宋_GB2312"/>
          <w:bCs/>
          <w:sz w:val="32"/>
          <w:szCs w:val="28"/>
        </w:rPr>
        <w:t>指 挥 长：</w:t>
      </w:r>
      <w:r>
        <w:rPr>
          <w:rFonts w:ascii="Times New Roman" w:hAnsi="Times New Roman" w:eastAsia="仿宋_GB2312"/>
          <w:sz w:val="32"/>
          <w:szCs w:val="28"/>
        </w:rPr>
        <w:t>区政府分管交通运输工作的副区长</w:t>
      </w:r>
    </w:p>
    <w:p w14:paraId="4483059C">
      <w:pPr>
        <w:spacing w:line="560" w:lineRule="exact"/>
        <w:ind w:firstLine="622" w:firstLineChars="200"/>
        <w:rPr>
          <w:rFonts w:ascii="Times New Roman" w:hAnsi="Times New Roman" w:eastAsia="仿宋_GB2312"/>
          <w:sz w:val="32"/>
          <w:szCs w:val="28"/>
        </w:rPr>
      </w:pPr>
      <w:r>
        <w:rPr>
          <w:rFonts w:ascii="Times New Roman" w:hAnsi="Times New Roman" w:eastAsia="仿宋_GB2312"/>
          <w:bCs/>
          <w:sz w:val="32"/>
          <w:szCs w:val="28"/>
        </w:rPr>
        <w:t>副指挥长：</w:t>
      </w:r>
      <w:r>
        <w:rPr>
          <w:rFonts w:ascii="Times New Roman" w:hAnsi="Times New Roman" w:eastAsia="仿宋_GB2312"/>
          <w:sz w:val="32"/>
          <w:szCs w:val="28"/>
        </w:rPr>
        <w:t>区政府办联系副主任、区运管分局局长、区应急局局长、区住房城乡建设局局长、区城市管理局局长。</w:t>
      </w:r>
    </w:p>
    <w:p w14:paraId="2DCB717C">
      <w:pPr>
        <w:spacing w:line="560" w:lineRule="exact"/>
        <w:ind w:firstLine="622" w:firstLineChars="200"/>
        <w:rPr>
          <w:rFonts w:ascii="Times New Roman" w:hAnsi="Times New Roman" w:eastAsia="仿宋"/>
          <w:sz w:val="32"/>
          <w:szCs w:val="28"/>
        </w:rPr>
      </w:pPr>
      <w:r>
        <w:rPr>
          <w:rFonts w:ascii="Times New Roman" w:hAnsi="Times New Roman" w:eastAsia="仿宋_GB2312"/>
          <w:sz w:val="32"/>
          <w:szCs w:val="28"/>
        </w:rPr>
        <w:t>成员单位：区运管分局局长、区交通运输局、区住房城乡建设局、区城市管理局、区应急局、市公安局官渡分局、市交警三大队、市交警十一大队、区融媒体中心、区财政局、昆明市官渡区气象局、市生态环境局官渡分局、区消防救援大队、区森林消防救援大队、区卫生健康局、区民政局、区总工会等部门。</w:t>
      </w:r>
    </w:p>
    <w:p w14:paraId="5B349EDB">
      <w:pPr>
        <w:spacing w:line="560" w:lineRule="exact"/>
        <w:ind w:firstLine="622" w:firstLineChars="200"/>
        <w:rPr>
          <w:rFonts w:ascii="Times New Roman" w:hAnsi="Times New Roman" w:eastAsia="仿宋"/>
          <w:sz w:val="32"/>
          <w:szCs w:val="28"/>
        </w:rPr>
      </w:pPr>
      <w:r>
        <w:rPr>
          <w:rFonts w:ascii="Times New Roman" w:hAnsi="Times New Roman" w:eastAsia="仿宋_GB2312"/>
          <w:bCs/>
          <w:sz w:val="32"/>
          <w:szCs w:val="32"/>
        </w:rPr>
        <w:t>2.1.2应急指挥部职责</w:t>
      </w:r>
    </w:p>
    <w:p w14:paraId="0B8D9AB9">
      <w:pPr>
        <w:numPr>
          <w:ilvl w:val="1"/>
          <w:numId w:val="2"/>
        </w:numPr>
        <w:spacing w:line="560" w:lineRule="exact"/>
        <w:ind w:firstLine="622" w:firstLineChars="200"/>
        <w:rPr>
          <w:rFonts w:ascii="Times New Roman" w:hAnsi="Times New Roman" w:eastAsia="仿宋_GB2312"/>
          <w:sz w:val="32"/>
          <w:szCs w:val="30"/>
        </w:rPr>
      </w:pPr>
      <w:r>
        <w:rPr>
          <w:rFonts w:ascii="Times New Roman" w:hAnsi="Times New Roman" w:eastAsia="仿宋_GB2312"/>
          <w:sz w:val="32"/>
          <w:szCs w:val="30"/>
        </w:rPr>
        <w:t>贯彻落实国务院，省委、省政府，市委、市政府和区委、区政府关于</w:t>
      </w:r>
      <w:r>
        <w:rPr>
          <w:rFonts w:ascii="Times New Roman" w:hAnsi="Times New Roman" w:eastAsia="仿宋_GB2312"/>
          <w:sz w:val="32"/>
          <w:szCs w:val="28"/>
        </w:rPr>
        <w:t>隧道内危化品泄漏</w:t>
      </w:r>
      <w:r>
        <w:rPr>
          <w:rFonts w:ascii="Times New Roman" w:hAnsi="Times New Roman" w:eastAsia="仿宋_GB2312"/>
          <w:sz w:val="32"/>
          <w:szCs w:val="30"/>
        </w:rPr>
        <w:t>事故的决策部署，协调和组织有关部门和单位应对</w:t>
      </w:r>
      <w:r>
        <w:rPr>
          <w:rFonts w:ascii="Times New Roman" w:hAnsi="Times New Roman" w:eastAsia="仿宋_GB2312"/>
          <w:sz w:val="32"/>
          <w:szCs w:val="28"/>
        </w:rPr>
        <w:t>隧道内危化品泄漏</w:t>
      </w:r>
      <w:r>
        <w:rPr>
          <w:rFonts w:ascii="Times New Roman" w:hAnsi="Times New Roman" w:eastAsia="仿宋_GB2312"/>
          <w:sz w:val="32"/>
          <w:szCs w:val="30"/>
        </w:rPr>
        <w:t>突发事故；</w:t>
      </w:r>
    </w:p>
    <w:p w14:paraId="1981A749">
      <w:pPr>
        <w:numPr>
          <w:ilvl w:val="1"/>
          <w:numId w:val="2"/>
        </w:numPr>
        <w:spacing w:line="560" w:lineRule="exact"/>
        <w:ind w:firstLine="622" w:firstLineChars="200"/>
        <w:rPr>
          <w:rFonts w:ascii="Times New Roman" w:hAnsi="Times New Roman" w:eastAsia="仿宋_GB2312"/>
          <w:sz w:val="32"/>
          <w:szCs w:val="30"/>
        </w:rPr>
      </w:pPr>
      <w:r>
        <w:rPr>
          <w:rFonts w:ascii="Times New Roman" w:hAnsi="Times New Roman" w:eastAsia="仿宋_GB2312"/>
          <w:sz w:val="32"/>
          <w:szCs w:val="30"/>
        </w:rPr>
        <w:t>组织和领导</w:t>
      </w:r>
      <w:r>
        <w:rPr>
          <w:rFonts w:ascii="Times New Roman" w:hAnsi="Times New Roman" w:eastAsia="仿宋_GB2312"/>
          <w:sz w:val="32"/>
          <w:szCs w:val="28"/>
        </w:rPr>
        <w:t>隧道内危化品泄漏</w:t>
      </w:r>
      <w:r>
        <w:rPr>
          <w:rFonts w:ascii="Times New Roman" w:hAnsi="Times New Roman" w:eastAsia="仿宋_GB2312"/>
          <w:sz w:val="32"/>
          <w:szCs w:val="30"/>
        </w:rPr>
        <w:t>事故的应急处置工作；</w:t>
      </w:r>
    </w:p>
    <w:p w14:paraId="34C05B7F">
      <w:pPr>
        <w:numPr>
          <w:ilvl w:val="1"/>
          <w:numId w:val="2"/>
        </w:numPr>
        <w:spacing w:line="560" w:lineRule="exact"/>
        <w:ind w:firstLine="622" w:firstLineChars="200"/>
        <w:rPr>
          <w:rFonts w:ascii="Times New Roman" w:hAnsi="Times New Roman" w:eastAsia="仿宋_GB2312"/>
          <w:sz w:val="32"/>
          <w:szCs w:val="30"/>
        </w:rPr>
      </w:pPr>
      <w:r>
        <w:rPr>
          <w:rFonts w:ascii="Times New Roman" w:hAnsi="Times New Roman" w:eastAsia="仿宋_GB2312"/>
          <w:sz w:val="32"/>
          <w:szCs w:val="30"/>
        </w:rPr>
        <w:t>研究制定</w:t>
      </w:r>
      <w:r>
        <w:rPr>
          <w:rFonts w:ascii="Times New Roman" w:hAnsi="Times New Roman" w:eastAsia="仿宋_GB2312"/>
          <w:sz w:val="32"/>
          <w:szCs w:val="28"/>
        </w:rPr>
        <w:t>隧道内危化品泄漏</w:t>
      </w:r>
      <w:r>
        <w:rPr>
          <w:rFonts w:ascii="Times New Roman" w:hAnsi="Times New Roman" w:eastAsia="仿宋_GB2312"/>
          <w:sz w:val="32"/>
          <w:szCs w:val="30"/>
        </w:rPr>
        <w:t>事故应急处置措施和救援方案；</w:t>
      </w:r>
    </w:p>
    <w:p w14:paraId="1263C938">
      <w:pPr>
        <w:numPr>
          <w:ilvl w:val="1"/>
          <w:numId w:val="2"/>
        </w:numPr>
        <w:spacing w:line="560" w:lineRule="exact"/>
        <w:ind w:firstLine="622" w:firstLineChars="200"/>
        <w:rPr>
          <w:rFonts w:ascii="Times New Roman" w:hAnsi="Times New Roman" w:eastAsia="仿宋_GB2312"/>
          <w:sz w:val="32"/>
          <w:szCs w:val="30"/>
        </w:rPr>
      </w:pPr>
      <w:r>
        <w:rPr>
          <w:rFonts w:ascii="Times New Roman" w:hAnsi="Times New Roman" w:eastAsia="仿宋_GB2312"/>
          <w:sz w:val="32"/>
          <w:szCs w:val="30"/>
        </w:rPr>
        <w:t>组织制定官渡区</w:t>
      </w:r>
      <w:r>
        <w:rPr>
          <w:rFonts w:ascii="Times New Roman" w:hAnsi="Times New Roman" w:eastAsia="仿宋_GB2312"/>
          <w:sz w:val="32"/>
          <w:szCs w:val="28"/>
        </w:rPr>
        <w:t>隧道内危化品泄漏</w:t>
      </w:r>
      <w:r>
        <w:rPr>
          <w:rFonts w:ascii="Times New Roman" w:hAnsi="Times New Roman" w:eastAsia="仿宋_GB2312"/>
          <w:sz w:val="32"/>
          <w:szCs w:val="30"/>
        </w:rPr>
        <w:t>事故应急预案；</w:t>
      </w:r>
    </w:p>
    <w:p w14:paraId="7E8305C6">
      <w:pPr>
        <w:numPr>
          <w:ilvl w:val="1"/>
          <w:numId w:val="2"/>
        </w:numPr>
        <w:spacing w:line="560" w:lineRule="exact"/>
        <w:ind w:firstLine="622" w:firstLineChars="200"/>
        <w:rPr>
          <w:rFonts w:ascii="Times New Roman" w:hAnsi="Times New Roman" w:eastAsia="仿宋_GB2312"/>
          <w:sz w:val="32"/>
          <w:szCs w:val="30"/>
        </w:rPr>
      </w:pPr>
      <w:r>
        <w:rPr>
          <w:rFonts w:ascii="Times New Roman" w:hAnsi="Times New Roman" w:eastAsia="仿宋_GB2312"/>
          <w:sz w:val="32"/>
          <w:szCs w:val="30"/>
        </w:rPr>
        <w:t>部署应急演练和应急宣传教育工作；</w:t>
      </w:r>
    </w:p>
    <w:p w14:paraId="65299FE2">
      <w:pPr>
        <w:numPr>
          <w:ilvl w:val="1"/>
          <w:numId w:val="2"/>
        </w:numPr>
        <w:spacing w:line="560" w:lineRule="exact"/>
        <w:ind w:firstLine="622" w:firstLineChars="200"/>
        <w:rPr>
          <w:rFonts w:ascii="Times New Roman" w:hAnsi="Times New Roman" w:eastAsia="仿宋_GB2312"/>
          <w:sz w:val="32"/>
          <w:szCs w:val="30"/>
        </w:rPr>
      </w:pPr>
      <w:r>
        <w:rPr>
          <w:rFonts w:ascii="Times New Roman" w:hAnsi="Times New Roman" w:eastAsia="仿宋_GB2312"/>
          <w:sz w:val="32"/>
          <w:szCs w:val="30"/>
        </w:rPr>
        <w:t>及时上报事故进展情况，对事故结果进行评估和报告；</w:t>
      </w:r>
    </w:p>
    <w:p w14:paraId="5A0D13E3">
      <w:pPr>
        <w:numPr>
          <w:ilvl w:val="1"/>
          <w:numId w:val="2"/>
        </w:num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30"/>
        </w:rPr>
        <w:t>当事故超出区</w:t>
      </w:r>
      <w:r>
        <w:rPr>
          <w:rFonts w:ascii="Times New Roman" w:hAnsi="Times New Roman" w:eastAsia="仿宋_GB2312"/>
          <w:sz w:val="32"/>
          <w:szCs w:val="28"/>
        </w:rPr>
        <w:t>隧道内危化品泄漏</w:t>
      </w:r>
      <w:r>
        <w:rPr>
          <w:rFonts w:ascii="Times New Roman" w:hAnsi="Times New Roman" w:eastAsia="仿宋_GB2312"/>
          <w:sz w:val="32"/>
          <w:szCs w:val="30"/>
        </w:rPr>
        <w:t>事故应急指挥部处置能力时，按照程序请求上级有关部门支援。</w:t>
      </w:r>
    </w:p>
    <w:p w14:paraId="65D9FFE0">
      <w:pPr>
        <w:spacing w:line="560" w:lineRule="exact"/>
        <w:ind w:left="622" w:firstLine="200"/>
        <w:rPr>
          <w:rFonts w:ascii="Times New Roman" w:hAnsi="Times New Roman" w:eastAsia="仿宋_GB2312"/>
          <w:sz w:val="32"/>
          <w:szCs w:val="28"/>
        </w:rPr>
      </w:pPr>
      <w:r>
        <w:rPr>
          <w:rFonts w:ascii="Times New Roman" w:hAnsi="Times New Roman" w:eastAsia="仿宋_GB2312"/>
          <w:bCs/>
          <w:sz w:val="32"/>
          <w:szCs w:val="32"/>
        </w:rPr>
        <w:t>2.1.3成员单位职责</w:t>
      </w:r>
    </w:p>
    <w:p w14:paraId="187D8E61">
      <w:pPr>
        <w:numPr>
          <w:ilvl w:val="0"/>
          <w:numId w:val="3"/>
        </w:num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区运管分局：负责应急指挥部办公室日常工作；根据隧道内危化品泄漏事故预警信息，及时启动应急响应；按照事故处置的实际需求，协调货运车辆、客运车辆、化学品运输车辆参与事故处置，参与事故调查。</w:t>
      </w:r>
    </w:p>
    <w:p w14:paraId="7E31C5B9">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（2）区交通运输局：协调工程机械参与事故处置，协调高速公路应急车辆快速通行事项；提供涉及隧道内危化品泄漏事故的隧道结构图。</w:t>
      </w:r>
    </w:p>
    <w:p w14:paraId="5A69328B">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（3）区应急局：指导、协调各成员单位配合区隧道内危化品泄漏事故应急指挥部开展应急处置工作；按照有关法律法规参与隧道内危化品泄漏事故的调查与处理。</w:t>
      </w:r>
    </w:p>
    <w:p w14:paraId="4B27B382">
      <w:pPr>
        <w:spacing w:line="560" w:lineRule="exact"/>
        <w:ind w:firstLine="622" w:firstLineChars="200"/>
        <w:jc w:val="left"/>
        <w:rPr>
          <w:rFonts w:ascii="Times New Roman" w:hAnsi="Times New Roman" w:eastAsia="仿宋_GB2312"/>
          <w:sz w:val="32"/>
          <w:szCs w:val="28"/>
        </w:rPr>
      </w:pPr>
      <w:r>
        <w:rPr>
          <w:rFonts w:ascii="Times New Roman" w:hAnsi="Times New Roman" w:eastAsia="仿宋_GB2312"/>
          <w:sz w:val="32"/>
          <w:szCs w:val="28"/>
        </w:rPr>
        <w:t>（4）市公安局官渡分局：负责组织领导公安系统部门承担隧道内危化品泄漏事故现场及周边重点目标的安全保卫工作。</w:t>
      </w:r>
    </w:p>
    <w:p w14:paraId="147C2181">
      <w:pPr>
        <w:spacing w:line="560" w:lineRule="exact"/>
        <w:ind w:firstLine="622" w:firstLineChars="200"/>
        <w:jc w:val="left"/>
        <w:rPr>
          <w:rFonts w:ascii="Times New Roman" w:hAnsi="Times New Roman" w:eastAsia="仿宋_GB2312"/>
          <w:sz w:val="32"/>
          <w:szCs w:val="28"/>
        </w:rPr>
      </w:pPr>
      <w:r>
        <w:rPr>
          <w:rFonts w:ascii="Times New Roman" w:hAnsi="Times New Roman" w:eastAsia="仿宋_GB2312"/>
          <w:sz w:val="32"/>
          <w:szCs w:val="28"/>
        </w:rPr>
        <w:t>（5）市交警三大队、市交警十一大队：负责交通管制及疏导工作，保障应急车辆优先通行，避免次生、衍生突发事件发生，参与事故调查。</w:t>
      </w:r>
    </w:p>
    <w:p w14:paraId="709CD68C">
      <w:pPr>
        <w:spacing w:line="560" w:lineRule="exact"/>
        <w:ind w:firstLine="622" w:firstLineChars="200"/>
        <w:jc w:val="left"/>
        <w:rPr>
          <w:rFonts w:ascii="Times New Roman" w:hAnsi="Times New Roman" w:eastAsia="仿宋_GB2312"/>
          <w:sz w:val="32"/>
          <w:szCs w:val="28"/>
        </w:rPr>
      </w:pPr>
      <w:r>
        <w:rPr>
          <w:rFonts w:ascii="Times New Roman" w:hAnsi="Times New Roman" w:eastAsia="仿宋_GB2312"/>
          <w:sz w:val="32"/>
          <w:szCs w:val="28"/>
        </w:rPr>
        <w:t>（6）区消防救援大队、区森林消防救援大队：承担应急处置和应急救援任务，指导协调企业危险化学品专业救援队伍做好配合工作。</w:t>
      </w:r>
    </w:p>
    <w:p w14:paraId="61DD0CB6">
      <w:pPr>
        <w:spacing w:line="560" w:lineRule="exact"/>
        <w:ind w:firstLine="622" w:firstLineChars="200"/>
        <w:jc w:val="left"/>
        <w:rPr>
          <w:rFonts w:ascii="Times New Roman" w:hAnsi="Times New Roman" w:eastAsia="仿宋_GB2312"/>
          <w:sz w:val="32"/>
          <w:szCs w:val="28"/>
        </w:rPr>
      </w:pPr>
      <w:r>
        <w:rPr>
          <w:rFonts w:ascii="Times New Roman" w:hAnsi="Times New Roman" w:eastAsia="仿宋_GB2312"/>
          <w:sz w:val="32"/>
          <w:szCs w:val="28"/>
        </w:rPr>
        <w:t>（7）各危化品专业应急救援队伍：负责做好专业救援任务。</w:t>
      </w:r>
    </w:p>
    <w:p w14:paraId="7A80CBA8">
      <w:pPr>
        <w:spacing w:line="560" w:lineRule="exact"/>
        <w:ind w:firstLine="622" w:firstLineChars="200"/>
        <w:jc w:val="left"/>
        <w:rPr>
          <w:rFonts w:ascii="Times New Roman" w:hAnsi="Times New Roman" w:eastAsia="仿宋_GB2312"/>
          <w:sz w:val="32"/>
          <w:szCs w:val="28"/>
        </w:rPr>
      </w:pPr>
      <w:r>
        <w:rPr>
          <w:rFonts w:ascii="Times New Roman" w:hAnsi="Times New Roman" w:eastAsia="仿宋_GB2312"/>
          <w:sz w:val="32"/>
          <w:szCs w:val="28"/>
        </w:rPr>
        <w:t>（8）区融媒体中心：根据应急指挥部授权，统筹指导事故处置主体部门做好权威信息正面发布；开展正面宣传，做好舆论引导工作，营造良好舆论氛围。</w:t>
      </w:r>
    </w:p>
    <w:p w14:paraId="0EFCDEE5">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 xml:space="preserve">（9）区财政局：按照事权和支出责任划分原则，对区级主管部门申报的必需事故应急资金给予保障。 </w:t>
      </w:r>
    </w:p>
    <w:p w14:paraId="6014136D">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 xml:space="preserve">（10）昆明市官渡区气象局：负责组织本区行政区域内天气监测、预报工作，为应急指挥部防御气象灾害可能造成的影响提供决策依据。 </w:t>
      </w:r>
    </w:p>
    <w:p w14:paraId="660CA27A">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 xml:space="preserve">（11）区卫生健康局：负责对事故现场受伤人员的医疗救治、转运、院内救治和现场卫生防疫等工作；及时向应急指挥部报告伤员数量及医疗救治情况；提出防止传染病扩散措施，预防传染病的暴发。 </w:t>
      </w:r>
    </w:p>
    <w:p w14:paraId="68FE226E">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（12）区民政局：负责组织遇难人员遗体处置等善后工作。</w:t>
      </w:r>
    </w:p>
    <w:p w14:paraId="1C0337D8">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13）市生态环境局官渡分局：负责在事故现场开设环境监测点，不间断监测泄漏物在空气当中的浓度，对周边大气、水体、土壤等进行环境监测，确定危险物质成分的浓度，确定污染区域范围，对事故造成的环境影响进行评估，提出处置建议；制定环境修复方案并组织实施。</w:t>
      </w:r>
    </w:p>
    <w:p w14:paraId="03C2C90F">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（14）区商务投资促进局：协调有关人员赶赴事故现场参与事故应急救援工作。</w:t>
      </w:r>
    </w:p>
    <w:p w14:paraId="51A4F4F4">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（15）区住房城乡建设局：协助城市道路隧道内危化品泄漏事故有关处置工作。</w:t>
      </w:r>
    </w:p>
    <w:p w14:paraId="515E2E85">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（16）区城市管理局：协助城市道路隧道内危化品泄漏事故有关处置工作。</w:t>
      </w:r>
    </w:p>
    <w:p w14:paraId="06E645CA">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（17）区总工会：组配合协调事故善后处理；参与事故调查。</w:t>
      </w:r>
    </w:p>
    <w:p w14:paraId="3D72960A">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（18）其他区级部门和单位：按照各自职责，做好预防和应急处置工作。</w:t>
      </w:r>
    </w:p>
    <w:p w14:paraId="1AA5721B">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（19）事发地街道办：按照属地管理原则，做好现场协同处置，做好后勤保障工作。</w:t>
      </w:r>
    </w:p>
    <w:p w14:paraId="56BCDF6A">
      <w:pPr>
        <w:tabs>
          <w:tab w:val="left" w:pos="840"/>
        </w:tabs>
        <w:spacing w:line="560" w:lineRule="exact"/>
        <w:ind w:firstLine="622" w:firstLineChars="200"/>
        <w:outlineLvl w:val="0"/>
        <w:rPr>
          <w:rFonts w:ascii="Times New Roman" w:hAnsi="Times New Roman" w:eastAsia="楷体_GB2312"/>
          <w:bCs/>
          <w:sz w:val="32"/>
          <w:szCs w:val="32"/>
        </w:rPr>
      </w:pPr>
      <w:r>
        <w:rPr>
          <w:rFonts w:ascii="Times New Roman" w:hAnsi="Times New Roman" w:eastAsia="楷体_GB2312"/>
          <w:bCs/>
          <w:sz w:val="32"/>
          <w:szCs w:val="32"/>
        </w:rPr>
        <w:t>2.2办事机构及职责</w:t>
      </w:r>
    </w:p>
    <w:p w14:paraId="4ABF3346">
      <w:pPr>
        <w:spacing w:line="560" w:lineRule="exact"/>
        <w:ind w:firstLine="622" w:firstLineChars="200"/>
        <w:rPr>
          <w:rFonts w:ascii="Times New Roman" w:hAnsi="Times New Roman" w:eastAsia="仿宋"/>
          <w:sz w:val="32"/>
          <w:szCs w:val="28"/>
        </w:rPr>
      </w:pPr>
      <w:r>
        <w:rPr>
          <w:rFonts w:ascii="Times New Roman" w:hAnsi="Times New Roman" w:eastAsia="仿宋_GB2312"/>
          <w:bCs/>
          <w:sz w:val="32"/>
          <w:szCs w:val="32"/>
        </w:rPr>
        <w:t>2.2.1应急指挥部办公室</w:t>
      </w:r>
    </w:p>
    <w:p w14:paraId="7FA98E75">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应急指挥部下设办公室</w:t>
      </w:r>
      <w:r>
        <w:rPr>
          <w:rFonts w:ascii="Times New Roman" w:hAnsi="Times New Roman" w:eastAsia="仿宋_GB2312"/>
          <w:bCs/>
          <w:sz w:val="32"/>
          <w:szCs w:val="32"/>
        </w:rPr>
        <w:t>在区运管分局</w:t>
      </w:r>
      <w:r>
        <w:rPr>
          <w:rFonts w:ascii="Times New Roman" w:hAnsi="Times New Roman" w:eastAsia="仿宋_GB2312"/>
          <w:sz w:val="32"/>
          <w:szCs w:val="28"/>
        </w:rPr>
        <w:t>，负责应急指挥部的日常工作。</w:t>
      </w:r>
    </w:p>
    <w:p w14:paraId="5802CB41">
      <w:pPr>
        <w:spacing w:line="560" w:lineRule="exact"/>
        <w:ind w:firstLine="622" w:firstLineChars="200"/>
        <w:rPr>
          <w:rFonts w:ascii="Times New Roman" w:hAnsi="Times New Roman" w:eastAsia="仿宋_GB2312"/>
          <w:sz w:val="32"/>
          <w:szCs w:val="28"/>
        </w:rPr>
      </w:pPr>
      <w:r>
        <w:rPr>
          <w:rFonts w:ascii="Times New Roman" w:hAnsi="Times New Roman" w:eastAsia="仿宋_GB2312"/>
          <w:bCs/>
          <w:sz w:val="32"/>
          <w:szCs w:val="28"/>
        </w:rPr>
        <w:t>主  任：</w:t>
      </w:r>
      <w:r>
        <w:rPr>
          <w:rFonts w:ascii="Times New Roman" w:hAnsi="Times New Roman" w:eastAsia="仿宋_GB2312"/>
          <w:sz w:val="32"/>
          <w:szCs w:val="28"/>
        </w:rPr>
        <w:t>区运管分局局长</w:t>
      </w:r>
    </w:p>
    <w:p w14:paraId="05C9C234">
      <w:pPr>
        <w:spacing w:line="560" w:lineRule="exact"/>
        <w:ind w:firstLine="622" w:firstLineChars="200"/>
        <w:rPr>
          <w:rFonts w:ascii="Times New Roman" w:hAnsi="Times New Roman" w:eastAsia="仿宋"/>
          <w:sz w:val="32"/>
          <w:szCs w:val="28"/>
        </w:rPr>
      </w:pPr>
      <w:r>
        <w:rPr>
          <w:rFonts w:ascii="Times New Roman" w:hAnsi="Times New Roman" w:eastAsia="仿宋_GB2312"/>
          <w:sz w:val="32"/>
          <w:szCs w:val="28"/>
        </w:rPr>
        <w:t>副主任：区运管分局、区应急局、区住房城乡建设局、区城市管理局、市公安局官渡分局、市交警三大队、市交警十一大队、区融媒体中心、区总工会、昆明市官渡区气象局、区卫生健康局、区民政局、市生态环境局官渡分局等有关单位分管领导。</w:t>
      </w:r>
    </w:p>
    <w:p w14:paraId="654A80D8">
      <w:pPr>
        <w:spacing w:line="560" w:lineRule="exact"/>
        <w:ind w:firstLine="622" w:firstLineChars="200"/>
        <w:rPr>
          <w:rFonts w:ascii="Times New Roman" w:hAnsi="Times New Roman" w:eastAsia="仿宋"/>
          <w:sz w:val="32"/>
          <w:szCs w:val="28"/>
        </w:rPr>
      </w:pPr>
      <w:r>
        <w:rPr>
          <w:rFonts w:ascii="Times New Roman" w:hAnsi="Times New Roman" w:eastAsia="仿宋_GB2312"/>
          <w:bCs/>
          <w:sz w:val="32"/>
          <w:szCs w:val="32"/>
        </w:rPr>
        <w:t>2.2.2应急指挥部办公室职责</w:t>
      </w:r>
    </w:p>
    <w:p w14:paraId="38BAD16C">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（1）组织落实应急指挥部的决定，协调应急指挥部各成员单位参加事故的应急、救援、保障等工作；</w:t>
      </w:r>
    </w:p>
    <w:p w14:paraId="0B8B1779">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（2）根据隧道内危化品泄漏事故预警信息，判断事故等级，提出启动应急响应的建议；</w:t>
      </w:r>
    </w:p>
    <w:p w14:paraId="67B169F8">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（3）协助应急指挥部开展较大及以上级别隧道内危化品泄漏事故的应急处置工作；</w:t>
      </w:r>
    </w:p>
    <w:p w14:paraId="1BC50EBA">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（4）应急响应时，负责收集和整理事故情况，并向应急指挥部提出应急处置措施、救援方案和建议；</w:t>
      </w:r>
    </w:p>
    <w:p w14:paraId="300A4DCF">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（5）负责对内对外的上传下达和信息发布工作，负责事故的影响分析和总结评估；</w:t>
      </w:r>
    </w:p>
    <w:p w14:paraId="1E382976">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（6）负责建立健全隧道内危化品泄漏事故应急指挥系统、应急联动机制和工作制度；</w:t>
      </w:r>
    </w:p>
    <w:p w14:paraId="1590285C">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（7）组织修订</w:t>
      </w:r>
      <w:r>
        <w:rPr>
          <w:rFonts w:ascii="Times New Roman" w:hAnsi="Times New Roman" w:eastAsia="仿宋_GB2312"/>
          <w:sz w:val="32"/>
          <w:szCs w:val="30"/>
        </w:rPr>
        <w:t>和更新官渡区</w:t>
      </w:r>
      <w:r>
        <w:rPr>
          <w:rFonts w:ascii="Times New Roman" w:hAnsi="Times New Roman" w:eastAsia="仿宋_GB2312"/>
          <w:sz w:val="32"/>
          <w:szCs w:val="28"/>
        </w:rPr>
        <w:t>隧道内危化品泄漏事故应急预案；</w:t>
      </w:r>
    </w:p>
    <w:p w14:paraId="77496A3C">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（8）组织各级单位进行隧道内危化品泄漏事故的宣传教育、培训和应急演练；</w:t>
      </w:r>
    </w:p>
    <w:p w14:paraId="7498FA54">
      <w:pPr>
        <w:spacing w:line="560" w:lineRule="exact"/>
        <w:ind w:firstLine="622" w:firstLineChars="200"/>
        <w:rPr>
          <w:rFonts w:ascii="Times New Roman" w:hAnsi="Times New Roman" w:eastAsia="仿宋"/>
          <w:sz w:val="32"/>
          <w:szCs w:val="28"/>
        </w:rPr>
      </w:pPr>
      <w:r>
        <w:rPr>
          <w:rFonts w:ascii="Times New Roman" w:hAnsi="Times New Roman" w:eastAsia="仿宋_GB2312"/>
          <w:sz w:val="32"/>
          <w:szCs w:val="28"/>
        </w:rPr>
        <w:t>（9）负责应急指挥部交办的其他工作。</w:t>
      </w:r>
      <w:bookmarkStart w:id="1" w:name="_Toc522113950"/>
    </w:p>
    <w:p w14:paraId="4A265FED">
      <w:pPr>
        <w:spacing w:line="560" w:lineRule="exact"/>
        <w:ind w:firstLine="622" w:firstLineChars="200"/>
        <w:rPr>
          <w:rFonts w:ascii="Times New Roman" w:hAnsi="Times New Roman" w:eastAsia="仿宋"/>
          <w:sz w:val="32"/>
          <w:szCs w:val="28"/>
        </w:rPr>
      </w:pPr>
      <w:r>
        <w:rPr>
          <w:rFonts w:ascii="Times New Roman" w:hAnsi="Times New Roman" w:eastAsia="仿宋_GB2312"/>
          <w:bCs/>
          <w:sz w:val="32"/>
          <w:szCs w:val="32"/>
        </w:rPr>
        <w:t>2.2.3道路危化品运输企业职责</w:t>
      </w:r>
      <w:bookmarkEnd w:id="1"/>
    </w:p>
    <w:p w14:paraId="23DC11B9">
      <w:pPr>
        <w:spacing w:line="560" w:lineRule="exact"/>
        <w:ind w:firstLine="622" w:firstLineChars="200"/>
        <w:rPr>
          <w:rFonts w:ascii="Times New Roman" w:hAnsi="Times New Roman" w:eastAsia="仿宋_GB2312"/>
          <w:sz w:val="32"/>
          <w:szCs w:val="28"/>
        </w:rPr>
      </w:pPr>
      <w:r>
        <w:rPr>
          <w:rFonts w:ascii="Times New Roman" w:hAnsi="Times New Roman" w:eastAsia="仿宋"/>
          <w:sz w:val="32"/>
          <w:szCs w:val="28"/>
        </w:rPr>
        <w:t>（</w:t>
      </w:r>
      <w:r>
        <w:rPr>
          <w:rFonts w:ascii="Times New Roman" w:hAnsi="Times New Roman" w:eastAsia="仿宋_GB2312"/>
          <w:sz w:val="32"/>
          <w:szCs w:val="28"/>
        </w:rPr>
        <w:t>1）官渡区辖区内的道路危化品运输企业应当建立健全本企业的隧道内危化品泄漏事故应急工作机构，并在全区企业内部形成联动机制；</w:t>
      </w:r>
    </w:p>
    <w:p w14:paraId="6E70D22A">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（2）官渡区辖区内的道路危化品运输企业应编制与企业经营范围相适应的隧道内危化品泄漏事故应急预案，并按要求进行备案；</w:t>
      </w:r>
    </w:p>
    <w:p w14:paraId="06B377DD">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（3）实时监控本企业的危化品运输车辆情况，如遇事故立即展开应急处置，并按规定的时间和程序向区运管分局和应急管理部门报告情况；</w:t>
      </w:r>
    </w:p>
    <w:p w14:paraId="3454EBA3">
      <w:pPr>
        <w:spacing w:line="560" w:lineRule="exact"/>
        <w:ind w:firstLine="622" w:firstLineChars="200"/>
        <w:rPr>
          <w:rFonts w:ascii="Times New Roman" w:hAnsi="Times New Roman" w:eastAsia="仿宋"/>
          <w:sz w:val="32"/>
          <w:szCs w:val="28"/>
        </w:rPr>
      </w:pPr>
      <w:r>
        <w:rPr>
          <w:rFonts w:ascii="Times New Roman" w:hAnsi="Times New Roman" w:eastAsia="仿宋_GB2312"/>
          <w:sz w:val="32"/>
          <w:szCs w:val="28"/>
        </w:rPr>
        <w:t>（4）组建专业应急抢险、救援队伍，配备完善的应急设备、交通工具，向属</w:t>
      </w:r>
      <w:r>
        <w:rPr>
          <w:rFonts w:ascii="Times New Roman" w:hAnsi="Times New Roman" w:eastAsia="仿宋_GB2312"/>
          <w:sz w:val="32"/>
          <w:szCs w:val="32"/>
        </w:rPr>
        <w:t>地</w:t>
      </w:r>
      <w:r>
        <w:rPr>
          <w:rFonts w:ascii="Times New Roman" w:hAnsi="Times New Roman" w:eastAsia="仿宋_GB2312"/>
          <w:sz w:val="32"/>
          <w:szCs w:val="28"/>
        </w:rPr>
        <w:t>应急管理部门、交通运输主管部门报备；并落实应急演练和应急培训工作。</w:t>
      </w:r>
      <w:bookmarkStart w:id="2" w:name="_Toc522113949"/>
    </w:p>
    <w:p w14:paraId="0DB5D1DF">
      <w:pPr>
        <w:spacing w:line="560" w:lineRule="exact"/>
        <w:ind w:firstLine="622" w:firstLineChars="200"/>
        <w:rPr>
          <w:rFonts w:ascii="Times New Roman" w:hAnsi="Times New Roman" w:eastAsia="楷体_GB2312"/>
          <w:sz w:val="32"/>
          <w:szCs w:val="28"/>
        </w:rPr>
      </w:pPr>
      <w:r>
        <w:rPr>
          <w:rFonts w:ascii="Times New Roman" w:hAnsi="Times New Roman" w:eastAsia="楷体_GB2312"/>
          <w:bCs/>
          <w:sz w:val="32"/>
          <w:szCs w:val="32"/>
        </w:rPr>
        <w:t>2.3工作机构及职责</w:t>
      </w:r>
    </w:p>
    <w:p w14:paraId="5159C762">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应急工作组在应急指挥部决定启动事故预警状态和应急响应行动时自动成立，设8个工作小组：</w:t>
      </w:r>
    </w:p>
    <w:p w14:paraId="20DDF852">
      <w:pPr>
        <w:spacing w:line="560" w:lineRule="exact"/>
        <w:ind w:firstLine="622" w:firstLineChars="200"/>
        <w:rPr>
          <w:rFonts w:ascii="Times New Roman" w:hAnsi="Times New Roman" w:eastAsia="仿宋_GB2312"/>
          <w:bCs/>
          <w:sz w:val="32"/>
          <w:szCs w:val="28"/>
        </w:rPr>
      </w:pPr>
      <w:r>
        <w:rPr>
          <w:rFonts w:ascii="Times New Roman" w:hAnsi="Times New Roman" w:eastAsia="仿宋_GB2312"/>
          <w:sz w:val="32"/>
          <w:szCs w:val="28"/>
        </w:rPr>
        <w:t>（1）</w:t>
      </w:r>
      <w:r>
        <w:rPr>
          <w:rFonts w:ascii="Times New Roman" w:hAnsi="Times New Roman" w:eastAsia="仿宋_GB2312"/>
          <w:bCs/>
          <w:sz w:val="32"/>
          <w:szCs w:val="28"/>
        </w:rPr>
        <w:t>综合协调组</w:t>
      </w:r>
    </w:p>
    <w:p w14:paraId="2ED4AD2F">
      <w:pPr>
        <w:spacing w:line="560" w:lineRule="exact"/>
        <w:ind w:firstLine="622" w:firstLineChars="200"/>
        <w:rPr>
          <w:rFonts w:ascii="Times New Roman" w:hAnsi="Times New Roman" w:eastAsia="仿宋_GB2312"/>
          <w:bCs/>
          <w:sz w:val="32"/>
          <w:szCs w:val="28"/>
        </w:rPr>
      </w:pPr>
      <w:r>
        <w:rPr>
          <w:rFonts w:ascii="Times New Roman" w:hAnsi="Times New Roman" w:eastAsia="仿宋_GB2312"/>
          <w:bCs/>
          <w:sz w:val="32"/>
          <w:szCs w:val="28"/>
        </w:rPr>
        <w:t>由区运管分局、区应急局、区住房城乡建设局、区城市管理局、市公安局官渡分局、市交警三大队、市交警十一大队、区卫生健康局等部门组成。负责起草重要报告、综合类文件；根据应急指挥部的要求，统一向区委、区政府，市交通运输局、市应急局和其他部门报送应急工作文</w:t>
      </w:r>
      <w:r>
        <w:rPr>
          <w:rFonts w:ascii="Times New Roman" w:hAnsi="Times New Roman" w:eastAsia="仿宋_GB2312"/>
          <w:sz w:val="32"/>
          <w:szCs w:val="28"/>
        </w:rPr>
        <w:t>件；负责应急指挥部交办的其他工作。</w:t>
      </w:r>
    </w:p>
    <w:p w14:paraId="30901275">
      <w:pPr>
        <w:spacing w:line="560" w:lineRule="exact"/>
        <w:ind w:firstLine="622" w:firstLineChars="200"/>
        <w:rPr>
          <w:rFonts w:ascii="Times New Roman" w:hAnsi="Times New Roman" w:eastAsia="仿宋_GB2312"/>
          <w:bCs/>
          <w:sz w:val="32"/>
          <w:szCs w:val="28"/>
        </w:rPr>
      </w:pPr>
      <w:r>
        <w:rPr>
          <w:rFonts w:ascii="Times New Roman" w:hAnsi="Times New Roman" w:eastAsia="仿宋_GB2312"/>
          <w:sz w:val="32"/>
          <w:szCs w:val="28"/>
        </w:rPr>
        <w:t>（2）</w:t>
      </w:r>
      <w:r>
        <w:rPr>
          <w:rFonts w:ascii="Times New Roman" w:hAnsi="Times New Roman" w:eastAsia="仿宋_GB2312"/>
          <w:bCs/>
          <w:sz w:val="32"/>
          <w:szCs w:val="28"/>
        </w:rPr>
        <w:t>应急处置组</w:t>
      </w:r>
    </w:p>
    <w:p w14:paraId="0DEB3BFD">
      <w:pPr>
        <w:spacing w:line="560" w:lineRule="exact"/>
        <w:ind w:firstLine="622" w:firstLineChars="200"/>
        <w:rPr>
          <w:rFonts w:ascii="Times New Roman" w:hAnsi="Times New Roman" w:eastAsia="仿宋_GB2312"/>
          <w:bCs/>
          <w:sz w:val="32"/>
          <w:szCs w:val="28"/>
        </w:rPr>
      </w:pPr>
      <w:r>
        <w:rPr>
          <w:rFonts w:ascii="Times New Roman" w:hAnsi="Times New Roman" w:eastAsia="仿宋_GB2312"/>
          <w:bCs/>
          <w:sz w:val="32"/>
          <w:szCs w:val="28"/>
        </w:rPr>
        <w:t>由区区运管分局、市公安局官渡分局、市交警三大队、市交警十一大队、区住房城乡建设局、区城市管理局、区消防救援大队、区森林消防救援大队、各危化品专业救援队伍等部门组成。</w:t>
      </w:r>
      <w:r>
        <w:rPr>
          <w:rFonts w:ascii="Times New Roman" w:hAnsi="Times New Roman" w:eastAsia="仿宋_GB2312"/>
          <w:sz w:val="32"/>
          <w:szCs w:val="30"/>
        </w:rPr>
        <w:t>负责组织</w:t>
      </w:r>
      <w:r>
        <w:rPr>
          <w:rFonts w:ascii="Times New Roman" w:hAnsi="Times New Roman" w:eastAsia="仿宋_GB2312"/>
          <w:sz w:val="32"/>
          <w:szCs w:val="28"/>
        </w:rPr>
        <w:t>隧道内危化品泄漏</w:t>
      </w:r>
      <w:r>
        <w:rPr>
          <w:rFonts w:ascii="Times New Roman" w:hAnsi="Times New Roman" w:eastAsia="仿宋_GB2312"/>
          <w:sz w:val="32"/>
          <w:szCs w:val="30"/>
        </w:rPr>
        <w:t>事故的应急处置工作，研究制定</w:t>
      </w:r>
      <w:r>
        <w:rPr>
          <w:rFonts w:ascii="Times New Roman" w:hAnsi="Times New Roman" w:eastAsia="仿宋_GB2312"/>
          <w:sz w:val="32"/>
          <w:szCs w:val="28"/>
        </w:rPr>
        <w:t>隧道内危化品泄漏</w:t>
      </w:r>
      <w:r>
        <w:rPr>
          <w:rFonts w:ascii="Times New Roman" w:hAnsi="Times New Roman" w:eastAsia="仿宋_GB2312"/>
          <w:sz w:val="32"/>
          <w:szCs w:val="30"/>
        </w:rPr>
        <w:t>事故应急处置措施和救援方案并组织实施</w:t>
      </w:r>
      <w:r>
        <w:rPr>
          <w:rFonts w:ascii="Times New Roman" w:hAnsi="Times New Roman" w:eastAsia="仿宋_GB2312"/>
          <w:sz w:val="32"/>
          <w:szCs w:val="28"/>
        </w:rPr>
        <w:t>，组织协调道路抢修保通、应急通行保障工作，组织协调应急队伍调度和应急装备物资调配，拟定道路绕行方案并组织实施。</w:t>
      </w:r>
    </w:p>
    <w:p w14:paraId="28860D7F">
      <w:pPr>
        <w:spacing w:line="560" w:lineRule="exact"/>
        <w:ind w:firstLine="622" w:firstLineChars="200"/>
        <w:rPr>
          <w:rFonts w:ascii="Times New Roman" w:hAnsi="Times New Roman" w:eastAsia="仿宋_GB2312"/>
          <w:bCs/>
          <w:sz w:val="32"/>
          <w:szCs w:val="28"/>
        </w:rPr>
      </w:pPr>
      <w:r>
        <w:rPr>
          <w:rFonts w:ascii="Times New Roman" w:hAnsi="Times New Roman" w:eastAsia="仿宋_GB2312"/>
          <w:sz w:val="32"/>
          <w:szCs w:val="28"/>
        </w:rPr>
        <w:t>（3）</w:t>
      </w:r>
      <w:r>
        <w:rPr>
          <w:rFonts w:ascii="Times New Roman" w:hAnsi="Times New Roman" w:eastAsia="仿宋_GB2312"/>
          <w:bCs/>
          <w:sz w:val="32"/>
          <w:szCs w:val="28"/>
        </w:rPr>
        <w:t>环境监测组</w:t>
      </w:r>
    </w:p>
    <w:p w14:paraId="7021B042">
      <w:pPr>
        <w:spacing w:line="560" w:lineRule="exact"/>
        <w:ind w:firstLine="622" w:firstLineChars="200"/>
        <w:rPr>
          <w:rFonts w:ascii="Times New Roman" w:hAnsi="Times New Roman" w:eastAsia="仿宋_GB2312"/>
          <w:bCs/>
          <w:sz w:val="32"/>
          <w:szCs w:val="28"/>
        </w:rPr>
      </w:pPr>
      <w:r>
        <w:rPr>
          <w:rFonts w:ascii="Times New Roman" w:hAnsi="Times New Roman" w:eastAsia="仿宋_GB2312"/>
          <w:bCs/>
          <w:sz w:val="32"/>
          <w:szCs w:val="28"/>
        </w:rPr>
        <w:t>由市生态环境局官渡分局、市公安局官渡分局等部门组成。</w:t>
      </w:r>
      <w:r>
        <w:rPr>
          <w:rFonts w:ascii="Times New Roman" w:hAnsi="Times New Roman" w:eastAsia="仿宋_GB2312"/>
          <w:sz w:val="32"/>
          <w:szCs w:val="28"/>
        </w:rPr>
        <w:t>负责对事故隧道内进行环境监测，检测是否存在危化品泄漏情况及严重程度，并对周围人员进行及时疏散；负责应急救援处置后的泄漏危险化学品回收处置。</w:t>
      </w:r>
    </w:p>
    <w:p w14:paraId="15EC2763">
      <w:pPr>
        <w:spacing w:line="560" w:lineRule="exact"/>
        <w:ind w:firstLine="622" w:firstLineChars="200"/>
        <w:rPr>
          <w:rFonts w:ascii="Times New Roman" w:hAnsi="Times New Roman" w:eastAsia="仿宋_GB2312"/>
          <w:bCs/>
          <w:sz w:val="32"/>
          <w:szCs w:val="28"/>
        </w:rPr>
      </w:pPr>
      <w:r>
        <w:rPr>
          <w:rFonts w:ascii="Times New Roman" w:hAnsi="Times New Roman" w:eastAsia="仿宋_GB2312"/>
          <w:sz w:val="32"/>
          <w:szCs w:val="28"/>
        </w:rPr>
        <w:t>（4）</w:t>
      </w:r>
      <w:r>
        <w:rPr>
          <w:rFonts w:ascii="Times New Roman" w:hAnsi="Times New Roman" w:eastAsia="仿宋_GB2312"/>
          <w:bCs/>
          <w:sz w:val="32"/>
          <w:szCs w:val="28"/>
        </w:rPr>
        <w:t>运输保障组</w:t>
      </w:r>
    </w:p>
    <w:p w14:paraId="509118EC">
      <w:pPr>
        <w:spacing w:line="560" w:lineRule="exact"/>
        <w:ind w:firstLine="622" w:firstLineChars="200"/>
        <w:rPr>
          <w:rFonts w:ascii="Times New Roman" w:hAnsi="Times New Roman" w:eastAsia="仿宋_GB2312"/>
          <w:bCs/>
          <w:sz w:val="32"/>
          <w:szCs w:val="28"/>
        </w:rPr>
      </w:pPr>
      <w:r>
        <w:rPr>
          <w:rFonts w:ascii="Times New Roman" w:hAnsi="Times New Roman" w:eastAsia="仿宋_GB2312"/>
          <w:bCs/>
          <w:sz w:val="32"/>
          <w:szCs w:val="28"/>
        </w:rPr>
        <w:t>由</w:t>
      </w:r>
      <w:r>
        <w:rPr>
          <w:rFonts w:ascii="Times New Roman" w:hAnsi="Times New Roman" w:eastAsia="仿宋_GB2312"/>
          <w:sz w:val="32"/>
          <w:szCs w:val="28"/>
        </w:rPr>
        <w:t>区运管分局、区交通运输局、市交警三大队、市交警十一大队等</w:t>
      </w:r>
      <w:r>
        <w:rPr>
          <w:rFonts w:ascii="Times New Roman" w:hAnsi="Times New Roman" w:eastAsia="仿宋_GB2312"/>
          <w:bCs/>
          <w:sz w:val="32"/>
          <w:szCs w:val="28"/>
        </w:rPr>
        <w:t>部门组成。</w:t>
      </w:r>
      <w:r>
        <w:rPr>
          <w:rFonts w:ascii="Times New Roman" w:hAnsi="Times New Roman" w:eastAsia="仿宋_GB2312"/>
          <w:sz w:val="32"/>
          <w:szCs w:val="28"/>
        </w:rPr>
        <w:t>负责组织、协调人员、物资的应急运输保障工作；负责协调与其他运输方式的联运工作；拟定应急运输征用补偿资金补助方案；负责应急指挥部交办的其他工作。</w:t>
      </w:r>
    </w:p>
    <w:p w14:paraId="1C42641A">
      <w:pPr>
        <w:spacing w:line="560" w:lineRule="exact"/>
        <w:ind w:firstLine="622" w:firstLineChars="200"/>
        <w:rPr>
          <w:rFonts w:ascii="Times New Roman" w:hAnsi="Times New Roman" w:eastAsia="仿宋_GB2312"/>
          <w:bCs/>
          <w:sz w:val="32"/>
          <w:szCs w:val="28"/>
        </w:rPr>
      </w:pPr>
      <w:r>
        <w:rPr>
          <w:rFonts w:ascii="Times New Roman" w:hAnsi="Times New Roman" w:eastAsia="仿宋_GB2312"/>
          <w:sz w:val="32"/>
          <w:szCs w:val="28"/>
        </w:rPr>
        <w:t>（5）</w:t>
      </w:r>
      <w:r>
        <w:rPr>
          <w:rFonts w:ascii="Times New Roman" w:hAnsi="Times New Roman" w:eastAsia="仿宋_GB2312"/>
          <w:bCs/>
          <w:sz w:val="32"/>
          <w:szCs w:val="28"/>
        </w:rPr>
        <w:t>通信保障组</w:t>
      </w:r>
    </w:p>
    <w:p w14:paraId="4DC34902">
      <w:pPr>
        <w:spacing w:line="560" w:lineRule="exact"/>
        <w:ind w:firstLine="622" w:firstLineChars="200"/>
        <w:rPr>
          <w:rFonts w:ascii="Times New Roman" w:hAnsi="Times New Roman" w:eastAsia="仿宋_GB2312"/>
          <w:sz w:val="32"/>
          <w:szCs w:val="28"/>
        </w:rPr>
      </w:pPr>
      <w:r>
        <w:rPr>
          <w:rFonts w:ascii="Times New Roman" w:hAnsi="Times New Roman" w:eastAsia="仿宋_GB2312"/>
          <w:bCs/>
          <w:sz w:val="32"/>
          <w:szCs w:val="28"/>
        </w:rPr>
        <w:t>由区运管分局、区科技信息化局等部门组成。负责信息系统通信保障工作</w:t>
      </w:r>
      <w:r>
        <w:rPr>
          <w:rFonts w:ascii="Times New Roman" w:hAnsi="Times New Roman" w:eastAsia="仿宋_GB2312"/>
          <w:sz w:val="32"/>
          <w:szCs w:val="28"/>
        </w:rPr>
        <w:t>；负责电视电话会议通信保障工作；负责应急指挥部交办的其他工作。</w:t>
      </w:r>
    </w:p>
    <w:p w14:paraId="52F9AE95">
      <w:pPr>
        <w:spacing w:line="560" w:lineRule="exact"/>
        <w:ind w:firstLine="622" w:firstLineChars="200"/>
        <w:rPr>
          <w:rFonts w:ascii="Times New Roman" w:hAnsi="Times New Roman" w:eastAsia="仿宋_GB2312"/>
          <w:bCs/>
          <w:sz w:val="32"/>
          <w:szCs w:val="28"/>
        </w:rPr>
      </w:pPr>
      <w:r>
        <w:rPr>
          <w:rFonts w:ascii="Times New Roman" w:hAnsi="Times New Roman" w:eastAsia="仿宋_GB2312"/>
          <w:sz w:val="32"/>
          <w:szCs w:val="28"/>
        </w:rPr>
        <w:t>（6）</w:t>
      </w:r>
      <w:r>
        <w:rPr>
          <w:rFonts w:ascii="Times New Roman" w:hAnsi="Times New Roman" w:eastAsia="仿宋_GB2312"/>
          <w:bCs/>
          <w:sz w:val="32"/>
          <w:szCs w:val="28"/>
        </w:rPr>
        <w:t>新闻宣传组</w:t>
      </w:r>
    </w:p>
    <w:p w14:paraId="52D4B7A2">
      <w:pPr>
        <w:spacing w:line="560" w:lineRule="exact"/>
        <w:ind w:firstLine="622" w:firstLineChars="200"/>
        <w:rPr>
          <w:rFonts w:ascii="Times New Roman" w:hAnsi="Times New Roman" w:eastAsia="仿宋_GB2312"/>
          <w:sz w:val="32"/>
          <w:szCs w:val="28"/>
        </w:rPr>
      </w:pPr>
      <w:r>
        <w:rPr>
          <w:rFonts w:ascii="Times New Roman" w:hAnsi="Times New Roman" w:eastAsia="仿宋_GB2312"/>
          <w:bCs/>
          <w:sz w:val="32"/>
          <w:szCs w:val="28"/>
        </w:rPr>
        <w:t>由区融媒体中心、区运管分局、区交通运输局、市公安局官渡分局、区应急局组成。负责起草报审新闻通稿，及时发布权威消息；开展正面宣传引导，做好网上舆情监测与处置，澄清不实言论。</w:t>
      </w:r>
    </w:p>
    <w:p w14:paraId="1306ADFC">
      <w:pPr>
        <w:spacing w:line="560" w:lineRule="exact"/>
        <w:ind w:firstLine="622" w:firstLineChars="200"/>
        <w:rPr>
          <w:rFonts w:ascii="Times New Roman" w:hAnsi="Times New Roman" w:eastAsia="仿宋_GB2312"/>
          <w:bCs/>
          <w:sz w:val="32"/>
          <w:szCs w:val="28"/>
        </w:rPr>
      </w:pPr>
      <w:r>
        <w:rPr>
          <w:rFonts w:ascii="Times New Roman" w:hAnsi="Times New Roman" w:eastAsia="仿宋_GB2312"/>
          <w:sz w:val="32"/>
          <w:szCs w:val="28"/>
        </w:rPr>
        <w:t>（7）</w:t>
      </w:r>
      <w:r>
        <w:rPr>
          <w:rFonts w:ascii="Times New Roman" w:hAnsi="Times New Roman" w:eastAsia="仿宋_GB2312"/>
          <w:bCs/>
          <w:sz w:val="32"/>
          <w:szCs w:val="28"/>
        </w:rPr>
        <w:t>后勤保障组</w:t>
      </w:r>
    </w:p>
    <w:p w14:paraId="6AAC8460">
      <w:pPr>
        <w:spacing w:line="560" w:lineRule="exact"/>
        <w:ind w:firstLine="622" w:firstLineChars="200"/>
        <w:rPr>
          <w:rFonts w:ascii="Times New Roman" w:hAnsi="Times New Roman" w:eastAsia="仿宋_GB2312"/>
          <w:sz w:val="32"/>
          <w:szCs w:val="28"/>
        </w:rPr>
      </w:pPr>
      <w:r>
        <w:rPr>
          <w:rFonts w:ascii="Times New Roman" w:hAnsi="Times New Roman" w:eastAsia="仿宋_GB2312"/>
          <w:bCs/>
          <w:sz w:val="32"/>
          <w:szCs w:val="28"/>
        </w:rPr>
        <w:t>由事发地街道办事处、区交通运输局、市公安局官渡分局、区财政局、区卫生健康局、区民政局、</w:t>
      </w:r>
      <w:r>
        <w:rPr>
          <w:rFonts w:ascii="Times New Roman" w:hAnsi="Times New Roman" w:eastAsia="仿宋_GB2312"/>
          <w:sz w:val="32"/>
          <w:szCs w:val="28"/>
        </w:rPr>
        <w:t>昆明市官渡区气象局</w:t>
      </w:r>
      <w:r>
        <w:rPr>
          <w:rFonts w:ascii="Times New Roman" w:hAnsi="Times New Roman" w:eastAsia="仿宋_GB2312"/>
          <w:bCs/>
          <w:sz w:val="32"/>
          <w:szCs w:val="28"/>
        </w:rPr>
        <w:t>及参与救援的医疗卫生单位、医疗卫生救援队、医疗专家组和道路危险货物运输企业组成。</w:t>
      </w:r>
      <w:r>
        <w:rPr>
          <w:rFonts w:ascii="Times New Roman" w:hAnsi="Times New Roman" w:eastAsia="仿宋_GB2312"/>
          <w:sz w:val="32"/>
          <w:szCs w:val="28"/>
        </w:rPr>
        <w:t>负责应急状态期间24小时后勤服务保障工作；负责应急指挥部交办的其他工作。</w:t>
      </w:r>
    </w:p>
    <w:p w14:paraId="5AD7F497">
      <w:pPr>
        <w:spacing w:line="560" w:lineRule="exact"/>
        <w:ind w:firstLine="622" w:firstLineChars="200"/>
        <w:rPr>
          <w:rFonts w:ascii="Times New Roman" w:hAnsi="Times New Roman" w:eastAsia="仿宋_GB2312"/>
          <w:bCs/>
          <w:sz w:val="32"/>
          <w:szCs w:val="28"/>
        </w:rPr>
      </w:pPr>
      <w:r>
        <w:rPr>
          <w:rFonts w:ascii="Times New Roman" w:hAnsi="Times New Roman" w:eastAsia="仿宋_GB2312"/>
          <w:sz w:val="32"/>
          <w:szCs w:val="28"/>
        </w:rPr>
        <w:t>（8）</w:t>
      </w:r>
      <w:r>
        <w:rPr>
          <w:rFonts w:ascii="Times New Roman" w:hAnsi="Times New Roman" w:eastAsia="仿宋_GB2312"/>
          <w:bCs/>
          <w:sz w:val="32"/>
          <w:szCs w:val="28"/>
        </w:rPr>
        <w:t>总结评估组</w:t>
      </w:r>
    </w:p>
    <w:p w14:paraId="4F8FD4D3">
      <w:pPr>
        <w:spacing w:line="560" w:lineRule="exact"/>
        <w:ind w:firstLine="622" w:firstLineChars="200"/>
        <w:rPr>
          <w:rFonts w:ascii="Times New Roman" w:hAnsi="Times New Roman" w:eastAsia="仿宋_GB2312"/>
          <w:sz w:val="32"/>
          <w:szCs w:val="28"/>
        </w:rPr>
      </w:pPr>
      <w:r>
        <w:rPr>
          <w:rFonts w:ascii="Times New Roman" w:hAnsi="Times New Roman" w:eastAsia="仿宋_GB2312"/>
          <w:bCs/>
          <w:sz w:val="32"/>
          <w:szCs w:val="28"/>
        </w:rPr>
        <w:t>由</w:t>
      </w:r>
      <w:r>
        <w:rPr>
          <w:rFonts w:ascii="Times New Roman" w:hAnsi="Times New Roman" w:eastAsia="仿宋_GB2312"/>
          <w:sz w:val="32"/>
          <w:szCs w:val="28"/>
        </w:rPr>
        <w:t>区运管分局</w:t>
      </w:r>
      <w:r>
        <w:rPr>
          <w:rFonts w:ascii="Times New Roman" w:hAnsi="Times New Roman" w:eastAsia="仿宋_GB2312"/>
          <w:bCs/>
          <w:sz w:val="32"/>
          <w:szCs w:val="28"/>
        </w:rPr>
        <w:t>、区应急局、区融媒体中心、市公安局官渡分局、区财政局、区卫生健康局、区民政局和危险货物运输企业组成。</w:t>
      </w:r>
      <w:r>
        <w:rPr>
          <w:rFonts w:ascii="Times New Roman" w:hAnsi="Times New Roman" w:eastAsia="仿宋_GB2312"/>
          <w:sz w:val="32"/>
          <w:szCs w:val="28"/>
        </w:rPr>
        <w:t>负责编写应急处置工作大事记；对突发事件情况、应急处置措施、取得的主要成绩、存在的主要问题等进行总结和评估，提出下一步工作建议，并向应急指挥部提交总结评估报告；承办应急指挥部交办的其他工作。</w:t>
      </w:r>
    </w:p>
    <w:p w14:paraId="4F544E1C">
      <w:pPr>
        <w:spacing w:line="560" w:lineRule="exact"/>
        <w:ind w:firstLine="622" w:firstLineChars="200"/>
        <w:rPr>
          <w:rFonts w:ascii="Times New Roman" w:hAnsi="Times New Roman" w:eastAsia="楷体_GB2312"/>
          <w:bCs/>
          <w:sz w:val="32"/>
          <w:szCs w:val="32"/>
        </w:rPr>
      </w:pPr>
      <w:r>
        <w:rPr>
          <w:rFonts w:ascii="Times New Roman" w:hAnsi="Times New Roman" w:eastAsia="楷体_GB2312"/>
          <w:bCs/>
          <w:sz w:val="32"/>
          <w:szCs w:val="32"/>
        </w:rPr>
        <w:t>2.</w:t>
      </w:r>
      <w:bookmarkEnd w:id="2"/>
      <w:r>
        <w:rPr>
          <w:rFonts w:ascii="Times New Roman" w:hAnsi="Times New Roman" w:eastAsia="楷体_GB2312"/>
          <w:bCs/>
          <w:sz w:val="32"/>
          <w:szCs w:val="32"/>
        </w:rPr>
        <w:t>4现场指挥部及职责</w:t>
      </w:r>
    </w:p>
    <w:p w14:paraId="11441CF0">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发生隧道内危化品泄漏事故后，由应急指挥部根据需要成立现场指挥部，并确定指挥长。</w:t>
      </w:r>
    </w:p>
    <w:p w14:paraId="3FF75813">
      <w:pPr>
        <w:spacing w:line="560" w:lineRule="exact"/>
        <w:ind w:firstLine="622" w:firstLineChars="200"/>
        <w:rPr>
          <w:rFonts w:ascii="Times New Roman" w:hAnsi="Times New Roman" w:eastAsia="仿宋"/>
          <w:sz w:val="32"/>
          <w:szCs w:val="28"/>
        </w:rPr>
      </w:pPr>
      <w:r>
        <w:rPr>
          <w:rFonts w:ascii="Times New Roman" w:hAnsi="Times New Roman" w:eastAsia="仿宋_GB2312"/>
          <w:sz w:val="32"/>
          <w:szCs w:val="28"/>
        </w:rPr>
        <w:t>现场指挥部职责：执行应急指挥部下达的工作任务；向应急指挥部提出具体的应急处置措施和救援方案建议；组织专家对现场事故进行技术讨论和论证；开展事故应急救援的现场组织、协调和处置等工作。</w:t>
      </w:r>
      <w:bookmarkStart w:id="3" w:name="_Toc522113951"/>
    </w:p>
    <w:p w14:paraId="012FF47F">
      <w:pPr>
        <w:spacing w:line="560" w:lineRule="exact"/>
        <w:ind w:firstLine="622" w:firstLineChars="200"/>
        <w:rPr>
          <w:rFonts w:ascii="Times New Roman" w:hAnsi="Times New Roman" w:eastAsia="楷体_GB2312"/>
          <w:bCs/>
          <w:sz w:val="32"/>
          <w:szCs w:val="32"/>
        </w:rPr>
      </w:pPr>
      <w:r>
        <w:rPr>
          <w:rFonts w:ascii="Times New Roman" w:hAnsi="Times New Roman" w:eastAsia="楷体_GB2312"/>
          <w:bCs/>
          <w:sz w:val="32"/>
          <w:szCs w:val="32"/>
        </w:rPr>
        <w:t>2.5专家咨询机构及职责</w:t>
      </w:r>
      <w:bookmarkEnd w:id="3"/>
      <w:bookmarkStart w:id="4" w:name="_Toc522113952"/>
    </w:p>
    <w:p w14:paraId="253DDF90">
      <w:pPr>
        <w:spacing w:line="560" w:lineRule="exact"/>
        <w:ind w:firstLine="622" w:firstLineChars="200"/>
        <w:rPr>
          <w:rFonts w:ascii="Times New Roman" w:hAnsi="Times New Roman" w:eastAsia="仿宋"/>
          <w:sz w:val="32"/>
          <w:szCs w:val="28"/>
        </w:rPr>
      </w:pPr>
      <w:r>
        <w:rPr>
          <w:rFonts w:ascii="Times New Roman" w:hAnsi="Times New Roman" w:eastAsia="仿宋_GB2312"/>
          <w:bCs/>
          <w:sz w:val="32"/>
          <w:szCs w:val="32"/>
        </w:rPr>
        <w:t>2.5.1专家咨询机构</w:t>
      </w:r>
      <w:bookmarkEnd w:id="4"/>
    </w:p>
    <w:p w14:paraId="01E64E4A">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应急指挥部办公室从专家库中选择与隧道内危化品泄漏事故应急处置有关的专家组成。</w:t>
      </w:r>
      <w:bookmarkStart w:id="5" w:name="_Toc522113953"/>
    </w:p>
    <w:p w14:paraId="0A64BD69">
      <w:pPr>
        <w:spacing w:line="560" w:lineRule="exact"/>
        <w:ind w:firstLine="622" w:firstLineChars="200"/>
        <w:rPr>
          <w:rFonts w:ascii="Times New Roman" w:hAnsi="Times New Roman" w:eastAsia="仿宋_GB2312"/>
          <w:sz w:val="32"/>
          <w:szCs w:val="28"/>
        </w:rPr>
      </w:pPr>
      <w:r>
        <w:rPr>
          <w:rFonts w:ascii="Times New Roman" w:hAnsi="Times New Roman" w:eastAsia="仿宋_GB2312"/>
          <w:bCs/>
          <w:sz w:val="32"/>
          <w:szCs w:val="32"/>
        </w:rPr>
        <w:t>2.5.2专家咨询机构职责</w:t>
      </w:r>
      <w:bookmarkEnd w:id="5"/>
    </w:p>
    <w:p w14:paraId="4B12BDC5">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（1）根据应急指挥部的要求，对隧道内危化品泄漏事故状况进行研究分析，为应急决策提供专业咨询和建议；根据需要参加隧道内危化品泄漏事故的应急处置工作；</w:t>
      </w:r>
    </w:p>
    <w:p w14:paraId="3F4171AA">
      <w:pPr>
        <w:spacing w:line="560" w:lineRule="exact"/>
        <w:ind w:firstLine="622" w:firstLineChars="200"/>
        <w:rPr>
          <w:rFonts w:ascii="Times New Roman" w:hAnsi="Times New Roman" w:eastAsia="仿宋"/>
          <w:sz w:val="32"/>
          <w:szCs w:val="28"/>
        </w:rPr>
      </w:pPr>
      <w:r>
        <w:rPr>
          <w:rFonts w:ascii="Times New Roman" w:hAnsi="Times New Roman" w:eastAsia="仿宋_GB2312"/>
          <w:sz w:val="32"/>
          <w:szCs w:val="28"/>
        </w:rPr>
        <w:t>（2）参与事故调查，提供意见和建议。</w:t>
      </w:r>
    </w:p>
    <w:p w14:paraId="0B1216EF">
      <w:pPr>
        <w:spacing w:line="560" w:lineRule="exact"/>
        <w:ind w:firstLine="622" w:firstLineChars="200"/>
        <w:rPr>
          <w:rFonts w:ascii="Times New Roman" w:hAnsi="Times New Roman" w:eastAsia="仿宋"/>
          <w:sz w:val="32"/>
          <w:szCs w:val="28"/>
        </w:rPr>
      </w:pPr>
      <w:r>
        <w:rPr>
          <w:rFonts w:ascii="Times New Roman" w:hAnsi="Times New Roman" w:eastAsia="黑体"/>
          <w:bCs/>
          <w:kern w:val="44"/>
          <w:sz w:val="32"/>
          <w:szCs w:val="44"/>
        </w:rPr>
        <w:t>3预防与预警</w:t>
      </w:r>
    </w:p>
    <w:p w14:paraId="0473298E">
      <w:pPr>
        <w:spacing w:line="560" w:lineRule="exact"/>
        <w:ind w:firstLine="622" w:firstLineChars="200"/>
        <w:rPr>
          <w:rFonts w:ascii="Times New Roman" w:hAnsi="Times New Roman" w:eastAsia="楷体_GB2312"/>
          <w:bCs/>
          <w:sz w:val="32"/>
          <w:szCs w:val="32"/>
        </w:rPr>
      </w:pPr>
      <w:r>
        <w:rPr>
          <w:rFonts w:ascii="Times New Roman" w:hAnsi="Times New Roman" w:eastAsia="楷体_GB2312"/>
          <w:bCs/>
          <w:sz w:val="32"/>
          <w:szCs w:val="32"/>
        </w:rPr>
        <w:t>3.1事故预防</w:t>
      </w:r>
    </w:p>
    <w:p w14:paraId="6B00574D">
      <w:pPr>
        <w:spacing w:line="560" w:lineRule="exact"/>
        <w:ind w:firstLine="622" w:firstLineChars="200"/>
        <w:rPr>
          <w:rFonts w:ascii="Times New Roman" w:hAnsi="Times New Roman" w:eastAsia="仿宋"/>
          <w:sz w:val="32"/>
          <w:szCs w:val="28"/>
        </w:rPr>
      </w:pPr>
      <w:r>
        <w:rPr>
          <w:rFonts w:ascii="Times New Roman" w:hAnsi="Times New Roman" w:eastAsia="仿宋_GB2312"/>
          <w:bCs/>
          <w:sz w:val="32"/>
          <w:szCs w:val="32"/>
        </w:rPr>
        <w:t>3.1.1</w:t>
      </w:r>
      <w:bookmarkStart w:id="6" w:name="_Hlk28014102"/>
      <w:r>
        <w:rPr>
          <w:rFonts w:ascii="Times New Roman" w:hAnsi="Times New Roman" w:eastAsia="仿宋_GB2312"/>
          <w:bCs/>
          <w:sz w:val="32"/>
          <w:szCs w:val="32"/>
        </w:rPr>
        <w:t>道路危险货物运输主管部门</w:t>
      </w:r>
      <w:bookmarkEnd w:id="6"/>
      <w:r>
        <w:rPr>
          <w:rFonts w:ascii="Times New Roman" w:hAnsi="Times New Roman" w:eastAsia="仿宋_GB2312"/>
          <w:bCs/>
          <w:sz w:val="32"/>
          <w:szCs w:val="32"/>
        </w:rPr>
        <w:t>预防措施</w:t>
      </w:r>
    </w:p>
    <w:p w14:paraId="011866D5">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区运管分局开展以下预防工作：</w:t>
      </w:r>
    </w:p>
    <w:p w14:paraId="0924D498">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（1）加强对道路危险货物运输应急管理、安全管理制度、安全基础台账、安全操作规程的检查和监管；</w:t>
      </w:r>
    </w:p>
    <w:p w14:paraId="0A8B3C1D">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（2）建立风险源台账，定期对道路危险货物运输企业进行隐患排查，不定期对道路危险货物运输行业隐患治理进行抽查，做好安全监管；</w:t>
      </w:r>
    </w:p>
    <w:p w14:paraId="48613A7D">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（3）整合道路危险货物运输企业信息，建立与道路危险货物运输企业的沟通渠道，及时了解和掌握道路危险货物运输企业的整体运营状况，第一时间组织开展隧道内危化品泄漏事故信息报告工作；</w:t>
      </w:r>
    </w:p>
    <w:p w14:paraId="35FA99DB">
      <w:pPr>
        <w:spacing w:line="560" w:lineRule="exact"/>
        <w:ind w:firstLine="622" w:firstLineChars="200"/>
        <w:rPr>
          <w:rFonts w:ascii="Times New Roman" w:hAnsi="Times New Roman" w:eastAsia="仿宋"/>
          <w:sz w:val="32"/>
          <w:szCs w:val="28"/>
        </w:rPr>
      </w:pPr>
      <w:r>
        <w:rPr>
          <w:rFonts w:ascii="Times New Roman" w:hAnsi="Times New Roman" w:eastAsia="仿宋_GB2312"/>
          <w:sz w:val="32"/>
          <w:szCs w:val="28"/>
        </w:rPr>
        <w:t>（4）根据重大灾害性天气、地震等预测、监控信息，对经过长隧道、运载高风险危化品的危险货物运输企业发出预警。</w:t>
      </w:r>
    </w:p>
    <w:p w14:paraId="641DCA56">
      <w:pPr>
        <w:spacing w:line="560" w:lineRule="exact"/>
        <w:ind w:firstLine="622" w:firstLineChars="200"/>
        <w:rPr>
          <w:rFonts w:ascii="Times New Roman" w:hAnsi="Times New Roman" w:eastAsia="仿宋"/>
          <w:sz w:val="32"/>
          <w:szCs w:val="28"/>
        </w:rPr>
      </w:pPr>
      <w:r>
        <w:rPr>
          <w:rFonts w:ascii="Times New Roman" w:hAnsi="Times New Roman" w:eastAsia="仿宋_GB2312"/>
          <w:bCs/>
          <w:sz w:val="32"/>
          <w:szCs w:val="32"/>
        </w:rPr>
        <w:t>3.1.2道路危险货物运输企业预防措施</w:t>
      </w:r>
    </w:p>
    <w:p w14:paraId="15BB8CBB">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官渡区道路危险货物运输企业成立主要领导任组长的事故预防工作机构，组织开展以下预防工作：</w:t>
      </w:r>
    </w:p>
    <w:p w14:paraId="7FA66384">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（1）道路危险货物运输企业要建立和完善事故监测和预防制度，接受各</w:t>
      </w:r>
      <w:r>
        <w:rPr>
          <w:rFonts w:ascii="Times New Roman" w:hAnsi="Times New Roman" w:eastAsia="仿宋_GB2312"/>
          <w:sz w:val="32"/>
          <w:szCs w:val="32"/>
        </w:rPr>
        <w:t>属地应急管理部门</w:t>
      </w:r>
      <w:r>
        <w:rPr>
          <w:rFonts w:ascii="Times New Roman" w:hAnsi="Times New Roman" w:eastAsia="仿宋_GB2312"/>
          <w:sz w:val="32"/>
          <w:szCs w:val="28"/>
        </w:rPr>
        <w:t>、交通运输主管部门的监督和管理，确保对企业危险货物运输车辆运输全过程进行实时监测，对要经过长隧道、运载高风险危化品的危险货物运输车辆重点关注；</w:t>
      </w:r>
    </w:p>
    <w:p w14:paraId="6A75000B">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（2）指定专人监控车辆GPS，遇到异常情况，及时提醒运输人员核查运输车辆的异常情况，进行情况确认。若接到运输车辆事故报告，以最快捷的方法立即向属地应急管理部门、交通运输主管部门报告；</w:t>
      </w:r>
    </w:p>
    <w:p w14:paraId="41065782">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（3）落实企业安全生产主体责任，定期对企业的应急管理工作进行检查和评估，强化企业预防突发事件的手段和方法；</w:t>
      </w:r>
    </w:p>
    <w:p w14:paraId="79E84F72">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（4）加强运输沿线的道路交通日常安全管理，预防生产、交通、火灾、爆炸等事件和事故的发生；</w:t>
      </w:r>
    </w:p>
    <w:p w14:paraId="39FA1294">
      <w:pPr>
        <w:spacing w:line="560" w:lineRule="exact"/>
        <w:ind w:firstLine="622" w:firstLineChars="200"/>
        <w:rPr>
          <w:rFonts w:ascii="Times New Roman" w:hAnsi="Times New Roman" w:eastAsia="仿宋"/>
          <w:sz w:val="32"/>
          <w:szCs w:val="28"/>
        </w:rPr>
      </w:pPr>
      <w:r>
        <w:rPr>
          <w:rFonts w:ascii="Times New Roman" w:hAnsi="Times New Roman" w:eastAsia="仿宋_GB2312"/>
          <w:sz w:val="32"/>
          <w:szCs w:val="28"/>
        </w:rPr>
        <w:t>（5）深入开展各类自查自纠专项检查，及时整改和消除隐患；强化从业人员突发事故应对知识培训工作；定期将企业的整体运营状况报属地交通运输主管部门和应急管理部门。</w:t>
      </w:r>
    </w:p>
    <w:p w14:paraId="15C27A6A">
      <w:pPr>
        <w:spacing w:line="560" w:lineRule="exact"/>
        <w:ind w:firstLine="622" w:firstLineChars="200"/>
        <w:rPr>
          <w:rFonts w:ascii="Times New Roman" w:hAnsi="Times New Roman" w:eastAsia="楷体_GB2312"/>
          <w:bCs/>
          <w:sz w:val="32"/>
          <w:szCs w:val="32"/>
        </w:rPr>
      </w:pPr>
      <w:r>
        <w:rPr>
          <w:rFonts w:ascii="Times New Roman" w:hAnsi="Times New Roman" w:eastAsia="楷体_GB2312"/>
          <w:bCs/>
          <w:sz w:val="32"/>
          <w:szCs w:val="32"/>
        </w:rPr>
        <w:t>3.2事故预警</w:t>
      </w:r>
    </w:p>
    <w:p w14:paraId="099268E8">
      <w:pPr>
        <w:spacing w:line="560" w:lineRule="exact"/>
        <w:ind w:firstLine="622" w:firstLineChars="200"/>
        <w:rPr>
          <w:rFonts w:ascii="Times New Roman" w:hAnsi="Times New Roman" w:eastAsia="仿宋"/>
          <w:sz w:val="32"/>
          <w:szCs w:val="28"/>
        </w:rPr>
      </w:pPr>
      <w:r>
        <w:rPr>
          <w:rFonts w:ascii="Times New Roman" w:hAnsi="Times New Roman" w:eastAsia="仿宋_GB2312"/>
          <w:bCs/>
          <w:sz w:val="32"/>
          <w:szCs w:val="32"/>
        </w:rPr>
        <w:t>3.2.1预警级别</w:t>
      </w:r>
    </w:p>
    <w:p w14:paraId="6C774146">
      <w:pPr>
        <w:spacing w:line="560" w:lineRule="exact"/>
        <w:ind w:firstLine="622" w:firstLineChars="200"/>
        <w:rPr>
          <w:rFonts w:ascii="Times New Roman" w:hAnsi="Times New Roman" w:eastAsia="仿宋_GB2312"/>
          <w:sz w:val="32"/>
          <w:szCs w:val="32"/>
        </w:rPr>
      </w:pPr>
      <w:r>
        <w:rPr>
          <w:rFonts w:ascii="Times New Roman" w:hAnsi="Times New Roman" w:eastAsia="仿宋_GB2312"/>
          <w:sz w:val="32"/>
          <w:szCs w:val="32"/>
        </w:rPr>
        <w:t>根据隧道内危化品泄漏事故发生的可能性、可能造成的危害程度、紧急程度和发展态势，一般划分为四级：</w:t>
      </w:r>
      <w:r>
        <w:rPr>
          <w:rFonts w:ascii="Times New Roman" w:hAnsi="Times New Roman"/>
          <w:sz w:val="32"/>
          <w:szCs w:val="32"/>
        </w:rPr>
        <w:t>Ⅰ</w:t>
      </w:r>
      <w:r>
        <w:rPr>
          <w:rFonts w:ascii="Times New Roman" w:hAnsi="Times New Roman" w:eastAsia="仿宋_GB2312"/>
          <w:sz w:val="32"/>
          <w:szCs w:val="32"/>
        </w:rPr>
        <w:t>级（特别严重）、</w:t>
      </w:r>
      <w:r>
        <w:rPr>
          <w:rFonts w:ascii="Times New Roman" w:hAnsi="Times New Roman"/>
          <w:sz w:val="32"/>
          <w:szCs w:val="32"/>
        </w:rPr>
        <w:t>Ⅱ</w:t>
      </w:r>
      <w:r>
        <w:rPr>
          <w:rFonts w:ascii="Times New Roman" w:hAnsi="Times New Roman" w:eastAsia="仿宋_GB2312"/>
          <w:sz w:val="32"/>
          <w:szCs w:val="32"/>
        </w:rPr>
        <w:t>级（严重）、</w:t>
      </w:r>
      <w:r>
        <w:rPr>
          <w:rFonts w:ascii="Times New Roman" w:hAnsi="Times New Roman"/>
          <w:sz w:val="32"/>
          <w:szCs w:val="32"/>
        </w:rPr>
        <w:t>Ⅲ</w:t>
      </w:r>
      <w:r>
        <w:rPr>
          <w:rFonts w:ascii="Times New Roman" w:hAnsi="Times New Roman" w:eastAsia="仿宋_GB2312"/>
          <w:sz w:val="32"/>
          <w:szCs w:val="32"/>
        </w:rPr>
        <w:t>级（较大）和</w:t>
      </w:r>
      <w:r>
        <w:rPr>
          <w:rFonts w:ascii="Times New Roman" w:hAnsi="Times New Roman"/>
          <w:sz w:val="32"/>
          <w:szCs w:val="32"/>
        </w:rPr>
        <w:t>Ⅳ</w:t>
      </w:r>
      <w:r>
        <w:rPr>
          <w:rFonts w:ascii="Times New Roman" w:hAnsi="Times New Roman" w:eastAsia="仿宋_GB2312"/>
          <w:sz w:val="32"/>
          <w:szCs w:val="32"/>
        </w:rPr>
        <w:t>级（一般），并依次用红色、橙色、黄色和蓝色表示。</w:t>
      </w:r>
    </w:p>
    <w:p w14:paraId="17153AEB">
      <w:pPr>
        <w:spacing w:line="560" w:lineRule="exact"/>
        <w:ind w:firstLine="622" w:firstLineChars="200"/>
        <w:rPr>
          <w:rFonts w:ascii="Times New Roman" w:hAnsi="Times New Roman" w:eastAsia="仿宋"/>
          <w:sz w:val="32"/>
          <w:szCs w:val="28"/>
        </w:rPr>
      </w:pPr>
      <w:r>
        <w:rPr>
          <w:rFonts w:ascii="Times New Roman" w:hAnsi="Times New Roman" w:eastAsia="仿宋_GB2312"/>
          <w:bCs/>
          <w:sz w:val="32"/>
          <w:szCs w:val="32"/>
        </w:rPr>
        <w:t>3.2.2预警发布与解除</w:t>
      </w:r>
    </w:p>
    <w:p w14:paraId="0A4CC45F">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预警信息由应急指挥部办公室对隧道内危化品泄漏事故进行综合分析后，经应急指挥部批准，由区融媒体中心组织对外发布或宣布解除。</w:t>
      </w:r>
    </w:p>
    <w:p w14:paraId="508FE1CB">
      <w:pPr>
        <w:spacing w:line="560" w:lineRule="exact"/>
        <w:ind w:firstLine="622" w:firstLineChars="200"/>
        <w:rPr>
          <w:rFonts w:ascii="Times New Roman" w:hAnsi="Times New Roman" w:eastAsia="仿宋_GB2312"/>
          <w:sz w:val="32"/>
          <w:szCs w:val="28"/>
        </w:rPr>
      </w:pPr>
      <w:r>
        <w:rPr>
          <w:rFonts w:ascii="Times New Roman" w:hAnsi="Times New Roman" w:eastAsia="仿宋_GB2312"/>
          <w:bCs/>
          <w:sz w:val="32"/>
          <w:szCs w:val="32"/>
        </w:rPr>
        <w:t>3.2.3预警响应</w:t>
      </w:r>
      <w:r>
        <w:rPr>
          <w:rFonts w:ascii="Times New Roman" w:hAnsi="Times New Roman" w:eastAsia="仿宋_GB2312"/>
          <w:bCs/>
          <w:sz w:val="32"/>
          <w:szCs w:val="32"/>
        </w:rPr>
        <w:tab/>
      </w:r>
    </w:p>
    <w:p w14:paraId="59487967">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（1）</w:t>
      </w:r>
      <w:r>
        <w:rPr>
          <w:rFonts w:ascii="Times New Roman" w:hAnsi="Times New Roman"/>
          <w:sz w:val="32"/>
          <w:szCs w:val="28"/>
        </w:rPr>
        <w:t>Ⅳ</w:t>
      </w:r>
      <w:r>
        <w:rPr>
          <w:rFonts w:ascii="Times New Roman" w:hAnsi="Times New Roman" w:eastAsia="仿宋_GB2312"/>
          <w:sz w:val="32"/>
          <w:szCs w:val="28"/>
        </w:rPr>
        <w:t>级（一般、蓝色）预警响应。预警信息发布后，区道路危险货物运输企业按单位应急预案开展应急处置工作，实行主要负责人24小时值班制度；组织巡查人员对隐患部位进行重点排查并及时整改；做好相应的应急准备工作；保持通信联络畅通，随时向区隧道内危化品泄漏事故应急指挥部办公室上报情况。</w:t>
      </w:r>
    </w:p>
    <w:p w14:paraId="3D523D95">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（2）</w:t>
      </w:r>
      <w:r>
        <w:rPr>
          <w:rFonts w:ascii="Times New Roman" w:hAnsi="Times New Roman"/>
          <w:sz w:val="32"/>
          <w:szCs w:val="28"/>
        </w:rPr>
        <w:t>Ⅲ</w:t>
      </w:r>
      <w:r>
        <w:rPr>
          <w:rFonts w:ascii="Times New Roman" w:hAnsi="Times New Roman" w:eastAsia="仿宋_GB2312"/>
          <w:sz w:val="32"/>
          <w:szCs w:val="28"/>
        </w:rPr>
        <w:t>级（较大、黄色）预警响应。在蓝色预警响应的基础上，道路危险货物运输企业根据单位应急预案开展应急处置工作；组织巡查人员对隐患部位进行逐一排查并及时整改；采取防止事件发展或事态进一步扩大的相应措施，应急工作进入戒备状态；24小时保持通信联络畅通，随时向区隧道内危化品泄漏事故应急指挥部办公室上报情况。</w:t>
      </w:r>
    </w:p>
    <w:p w14:paraId="170020D9">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（3）</w:t>
      </w:r>
      <w:r>
        <w:rPr>
          <w:rFonts w:ascii="Times New Roman" w:hAnsi="Times New Roman"/>
          <w:sz w:val="32"/>
          <w:szCs w:val="28"/>
        </w:rPr>
        <w:t>Ⅱ</w:t>
      </w:r>
      <w:r>
        <w:rPr>
          <w:rFonts w:ascii="Times New Roman" w:hAnsi="Times New Roman" w:eastAsia="仿宋_GB2312"/>
          <w:sz w:val="32"/>
          <w:szCs w:val="28"/>
        </w:rPr>
        <w:t>级（严重、橙色）预警响应。在黄色预警响应的基础上，应急指挥部随时掌握情况；区道路危险货物运输企业的巡查人员全部上岗，并对整个区域进行逐一排查并及时整改；召集专家对事态发展作出研判，并提供决策建议；应急指挥部各成员单位做好应急准备工作。</w:t>
      </w:r>
    </w:p>
    <w:p w14:paraId="340BA0B7">
      <w:pPr>
        <w:spacing w:line="560" w:lineRule="exact"/>
        <w:ind w:firstLine="622" w:firstLineChars="200"/>
        <w:rPr>
          <w:rFonts w:ascii="Times New Roman" w:hAnsi="Times New Roman" w:eastAsia="仿宋"/>
          <w:sz w:val="32"/>
          <w:szCs w:val="28"/>
        </w:rPr>
      </w:pPr>
      <w:r>
        <w:rPr>
          <w:rFonts w:ascii="Times New Roman" w:hAnsi="Times New Roman" w:eastAsia="仿宋_GB2312"/>
          <w:sz w:val="32"/>
          <w:szCs w:val="28"/>
        </w:rPr>
        <w:t>（4）</w:t>
      </w:r>
      <w:r>
        <w:rPr>
          <w:rFonts w:ascii="Times New Roman" w:hAnsi="Times New Roman"/>
          <w:sz w:val="32"/>
          <w:szCs w:val="28"/>
        </w:rPr>
        <w:t>Ⅰ</w:t>
      </w:r>
      <w:r>
        <w:rPr>
          <w:rFonts w:ascii="Times New Roman" w:hAnsi="Times New Roman" w:eastAsia="仿宋_GB2312"/>
          <w:sz w:val="32"/>
          <w:szCs w:val="28"/>
        </w:rPr>
        <w:t>级（特别严重、红色）预警响应。在橙色预警响应的基础上，各级应急组织进入待命状态，24小时保持通信畅通，专业救援队伍随时待命，接到命令后立即出发并开展应急救援工作。</w:t>
      </w:r>
    </w:p>
    <w:p w14:paraId="0E198A00">
      <w:pPr>
        <w:spacing w:line="560" w:lineRule="exact"/>
        <w:ind w:firstLine="622" w:firstLineChars="200"/>
        <w:rPr>
          <w:rFonts w:ascii="Times New Roman" w:hAnsi="Times New Roman" w:eastAsia="黑体"/>
          <w:bCs/>
          <w:kern w:val="44"/>
          <w:sz w:val="32"/>
          <w:szCs w:val="44"/>
        </w:rPr>
      </w:pPr>
      <w:r>
        <w:rPr>
          <w:rFonts w:ascii="Times New Roman" w:hAnsi="Times New Roman" w:eastAsia="黑体"/>
          <w:bCs/>
          <w:kern w:val="44"/>
          <w:sz w:val="32"/>
          <w:szCs w:val="44"/>
        </w:rPr>
        <w:t>4应急响应</w:t>
      </w:r>
    </w:p>
    <w:p w14:paraId="6DCCCAC3">
      <w:pPr>
        <w:spacing w:line="560" w:lineRule="exact"/>
        <w:ind w:firstLine="622" w:firstLineChars="200"/>
        <w:rPr>
          <w:rFonts w:ascii="Times New Roman" w:hAnsi="Times New Roman" w:eastAsia="楷体_GB2312"/>
          <w:bCs/>
          <w:sz w:val="32"/>
          <w:szCs w:val="32"/>
        </w:rPr>
      </w:pPr>
      <w:r>
        <w:rPr>
          <w:rFonts w:ascii="Times New Roman" w:hAnsi="Times New Roman" w:eastAsia="楷体_GB2312"/>
          <w:bCs/>
          <w:sz w:val="32"/>
          <w:szCs w:val="32"/>
        </w:rPr>
        <w:t>4.1分级响应及启动程序</w:t>
      </w:r>
    </w:p>
    <w:p w14:paraId="7FFBDDE1">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官渡区隧道内危化品泄漏事故应急响应按照性质、严重程度、可控性和影响范围等因素，一般分为四级：</w:t>
      </w:r>
      <w:r>
        <w:rPr>
          <w:rFonts w:ascii="Times New Roman" w:hAnsi="Times New Roman"/>
          <w:sz w:val="32"/>
          <w:szCs w:val="28"/>
        </w:rPr>
        <w:t>Ⅰ</w:t>
      </w:r>
      <w:r>
        <w:rPr>
          <w:rFonts w:ascii="Times New Roman" w:hAnsi="Times New Roman" w:eastAsia="仿宋_GB2312"/>
          <w:sz w:val="32"/>
          <w:szCs w:val="28"/>
        </w:rPr>
        <w:t>级（特别重大）、</w:t>
      </w:r>
      <w:r>
        <w:rPr>
          <w:rFonts w:ascii="Times New Roman" w:hAnsi="Times New Roman"/>
          <w:sz w:val="32"/>
          <w:szCs w:val="28"/>
        </w:rPr>
        <w:t>Ⅱ</w:t>
      </w:r>
      <w:r>
        <w:rPr>
          <w:rFonts w:ascii="Times New Roman" w:hAnsi="Times New Roman" w:eastAsia="仿宋_GB2312"/>
          <w:sz w:val="32"/>
          <w:szCs w:val="28"/>
        </w:rPr>
        <w:t>级（重大）、</w:t>
      </w:r>
      <w:r>
        <w:rPr>
          <w:rFonts w:ascii="Times New Roman" w:hAnsi="Times New Roman"/>
          <w:sz w:val="32"/>
          <w:szCs w:val="28"/>
        </w:rPr>
        <w:t>Ⅲ</w:t>
      </w:r>
      <w:r>
        <w:rPr>
          <w:rFonts w:ascii="Times New Roman" w:hAnsi="Times New Roman" w:eastAsia="仿宋_GB2312"/>
          <w:sz w:val="32"/>
          <w:szCs w:val="28"/>
        </w:rPr>
        <w:t>级（较大）和</w:t>
      </w:r>
      <w:r>
        <w:rPr>
          <w:rFonts w:ascii="Times New Roman" w:hAnsi="Times New Roman"/>
          <w:sz w:val="32"/>
          <w:szCs w:val="28"/>
        </w:rPr>
        <w:t>Ⅳ</w:t>
      </w:r>
      <w:r>
        <w:rPr>
          <w:rFonts w:ascii="Times New Roman" w:hAnsi="Times New Roman" w:eastAsia="仿宋_GB2312"/>
          <w:sz w:val="32"/>
          <w:szCs w:val="28"/>
        </w:rPr>
        <w:t>级（一般）。分别依次对应本预案1.3.2款的</w:t>
      </w:r>
      <w:r>
        <w:rPr>
          <w:rFonts w:ascii="Times New Roman" w:hAnsi="Times New Roman"/>
          <w:sz w:val="32"/>
          <w:szCs w:val="28"/>
        </w:rPr>
        <w:t>Ⅰ</w:t>
      </w:r>
      <w:r>
        <w:rPr>
          <w:rFonts w:ascii="Times New Roman" w:hAnsi="Times New Roman" w:eastAsia="仿宋_GB2312"/>
          <w:sz w:val="32"/>
          <w:szCs w:val="28"/>
        </w:rPr>
        <w:t>级、</w:t>
      </w:r>
      <w:r>
        <w:rPr>
          <w:rFonts w:ascii="Times New Roman" w:hAnsi="Times New Roman"/>
          <w:sz w:val="32"/>
          <w:szCs w:val="28"/>
        </w:rPr>
        <w:t>Ⅱ</w:t>
      </w:r>
      <w:r>
        <w:rPr>
          <w:rFonts w:ascii="Times New Roman" w:hAnsi="Times New Roman" w:eastAsia="仿宋_GB2312"/>
          <w:sz w:val="32"/>
          <w:szCs w:val="28"/>
        </w:rPr>
        <w:t>级、</w:t>
      </w:r>
      <w:r>
        <w:rPr>
          <w:rFonts w:ascii="Times New Roman" w:hAnsi="Times New Roman"/>
          <w:sz w:val="32"/>
          <w:szCs w:val="28"/>
        </w:rPr>
        <w:t>Ⅲ</w:t>
      </w:r>
      <w:r>
        <w:rPr>
          <w:rFonts w:ascii="Times New Roman" w:hAnsi="Times New Roman" w:eastAsia="仿宋_GB2312"/>
          <w:sz w:val="32"/>
          <w:szCs w:val="28"/>
        </w:rPr>
        <w:t>级、</w:t>
      </w:r>
      <w:r>
        <w:rPr>
          <w:rFonts w:ascii="Times New Roman" w:hAnsi="Times New Roman"/>
          <w:sz w:val="32"/>
          <w:szCs w:val="28"/>
        </w:rPr>
        <w:t>Ⅳ</w:t>
      </w:r>
      <w:r>
        <w:rPr>
          <w:rFonts w:ascii="Times New Roman" w:hAnsi="Times New Roman" w:eastAsia="仿宋_GB2312"/>
          <w:sz w:val="32"/>
          <w:szCs w:val="28"/>
        </w:rPr>
        <w:t>级隧道内危化品泄漏事故。按照以块为主、条块结合的原则，应急工作以属地为主，由应急指挥部办公室统一组织实施应急响应工作，及时启动应急预案。</w:t>
      </w:r>
    </w:p>
    <w:p w14:paraId="125BDC22">
      <w:pPr>
        <w:spacing w:line="560" w:lineRule="exact"/>
        <w:ind w:firstLine="622" w:firstLineChars="200"/>
        <w:rPr>
          <w:rFonts w:ascii="Times New Roman" w:hAnsi="Times New Roman" w:eastAsia="仿宋_GB2312"/>
          <w:sz w:val="32"/>
          <w:szCs w:val="28"/>
        </w:rPr>
      </w:pPr>
      <w:r>
        <w:rPr>
          <w:rFonts w:ascii="Times New Roman" w:hAnsi="Times New Roman" w:eastAsia="仿宋_GB2312"/>
          <w:bCs/>
          <w:sz w:val="32"/>
          <w:szCs w:val="32"/>
        </w:rPr>
        <w:t>4.1.1</w:t>
      </w:r>
      <w:r>
        <w:rPr>
          <w:rFonts w:ascii="Times New Roman" w:hAnsi="Times New Roman"/>
          <w:bCs/>
          <w:sz w:val="32"/>
          <w:szCs w:val="32"/>
        </w:rPr>
        <w:t>Ⅰ</w:t>
      </w:r>
      <w:r>
        <w:rPr>
          <w:rFonts w:ascii="Times New Roman" w:hAnsi="Times New Roman" w:eastAsia="仿宋_GB2312"/>
          <w:bCs/>
          <w:sz w:val="32"/>
          <w:szCs w:val="32"/>
        </w:rPr>
        <w:t>级应急响应及启动程序</w:t>
      </w:r>
    </w:p>
    <w:p w14:paraId="5C0474A6">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（1）发生特别重大隧道内危化品泄漏事故后，应急指挥部办公室向应急指挥部报告情况，并建议启动本预案</w:t>
      </w:r>
      <w:r>
        <w:rPr>
          <w:rFonts w:ascii="Times New Roman" w:hAnsi="Times New Roman"/>
          <w:sz w:val="32"/>
          <w:szCs w:val="28"/>
        </w:rPr>
        <w:t>Ⅰ</w:t>
      </w:r>
      <w:r>
        <w:rPr>
          <w:rFonts w:ascii="Times New Roman" w:hAnsi="Times New Roman" w:eastAsia="仿宋_GB2312"/>
          <w:sz w:val="32"/>
          <w:szCs w:val="28"/>
        </w:rPr>
        <w:t>级响应；</w:t>
      </w:r>
    </w:p>
    <w:p w14:paraId="079FE22E">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（2）经应急指挥部指挥长批准，向昆明市人民政府、昆明市交通运输局、昆明市应急局上报，并同时组织先期处置工作；在省人民政府统一领导下，组织事故应急处置；必要时可以越级上报。</w:t>
      </w:r>
    </w:p>
    <w:p w14:paraId="084D19C1">
      <w:pPr>
        <w:spacing w:line="560" w:lineRule="exact"/>
        <w:ind w:firstLine="622" w:firstLineChars="200"/>
        <w:rPr>
          <w:rFonts w:ascii="Times New Roman" w:hAnsi="Times New Roman" w:eastAsia="仿宋"/>
          <w:sz w:val="32"/>
          <w:szCs w:val="28"/>
        </w:rPr>
      </w:pPr>
      <w:r>
        <w:rPr>
          <w:rFonts w:ascii="Times New Roman" w:hAnsi="Times New Roman" w:eastAsia="仿宋_GB2312"/>
          <w:sz w:val="32"/>
          <w:szCs w:val="28"/>
        </w:rPr>
        <w:t>（3）事发地街道办事处、区运管分局、应急指挥部及成员单位、应急指挥部办公室按照本预案的职责分工，开展相应的应急处置工作。</w:t>
      </w:r>
    </w:p>
    <w:p w14:paraId="2455502B">
      <w:pPr>
        <w:spacing w:line="560" w:lineRule="exact"/>
        <w:ind w:firstLine="622" w:firstLineChars="200"/>
        <w:rPr>
          <w:rFonts w:ascii="Times New Roman" w:hAnsi="Times New Roman" w:eastAsia="仿宋"/>
          <w:sz w:val="32"/>
          <w:szCs w:val="28"/>
        </w:rPr>
      </w:pPr>
      <w:r>
        <w:rPr>
          <w:rFonts w:ascii="Times New Roman" w:hAnsi="Times New Roman" w:eastAsia="仿宋_GB2312"/>
          <w:bCs/>
          <w:sz w:val="32"/>
          <w:szCs w:val="32"/>
        </w:rPr>
        <w:t>4.1.2</w:t>
      </w:r>
      <w:r>
        <w:rPr>
          <w:rFonts w:ascii="Times New Roman" w:hAnsi="Times New Roman"/>
          <w:bCs/>
          <w:sz w:val="32"/>
          <w:szCs w:val="32"/>
        </w:rPr>
        <w:t>Ⅱ</w:t>
      </w:r>
      <w:r>
        <w:rPr>
          <w:rFonts w:ascii="Times New Roman" w:hAnsi="Times New Roman" w:eastAsia="仿宋_GB2312"/>
          <w:bCs/>
          <w:sz w:val="32"/>
          <w:szCs w:val="32"/>
        </w:rPr>
        <w:t>级应急响应及启动程序</w:t>
      </w:r>
    </w:p>
    <w:p w14:paraId="13EBBE0F">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（1）发生隧道内危化品泄漏事故后，应急指挥部办公室向应急指挥部报告情况，并建议启动本预案</w:t>
      </w:r>
      <w:r>
        <w:rPr>
          <w:rFonts w:ascii="Times New Roman" w:hAnsi="Times New Roman"/>
          <w:sz w:val="32"/>
          <w:szCs w:val="28"/>
        </w:rPr>
        <w:t>Ⅱ</w:t>
      </w:r>
      <w:r>
        <w:rPr>
          <w:rFonts w:ascii="Times New Roman" w:hAnsi="Times New Roman" w:eastAsia="仿宋_GB2312"/>
          <w:sz w:val="32"/>
          <w:szCs w:val="28"/>
        </w:rPr>
        <w:t>级响应；</w:t>
      </w:r>
    </w:p>
    <w:p w14:paraId="2BCECDC6">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（2）经应急指挥部指挥长批准，向昆明市人民政府、昆明市交通运输局、昆明市应急局上报，并同时组织先期处置工作；在省人民政府统一领导下，组织事故应急处置；必要时可以越级上报。</w:t>
      </w:r>
    </w:p>
    <w:p w14:paraId="6561692B">
      <w:pPr>
        <w:spacing w:line="560" w:lineRule="exact"/>
        <w:ind w:firstLine="622" w:firstLineChars="200"/>
        <w:rPr>
          <w:rFonts w:ascii="Times New Roman" w:hAnsi="Times New Roman" w:eastAsia="仿宋"/>
          <w:sz w:val="32"/>
          <w:szCs w:val="28"/>
        </w:rPr>
      </w:pPr>
      <w:r>
        <w:rPr>
          <w:rFonts w:ascii="Times New Roman" w:hAnsi="Times New Roman" w:eastAsia="仿宋_GB2312"/>
          <w:sz w:val="32"/>
          <w:szCs w:val="28"/>
        </w:rPr>
        <w:t>（3）事发地街道办事处、区运管分局、应急指挥部及成员单位、应急指挥部办公室按照本预案的职责分工，开展相应的应急处置工作。</w:t>
      </w:r>
    </w:p>
    <w:p w14:paraId="4737EF2D">
      <w:pPr>
        <w:spacing w:line="560" w:lineRule="exact"/>
        <w:ind w:firstLine="622" w:firstLineChars="200"/>
        <w:rPr>
          <w:rFonts w:ascii="Times New Roman" w:hAnsi="Times New Roman" w:eastAsia="仿宋"/>
          <w:sz w:val="32"/>
          <w:szCs w:val="28"/>
        </w:rPr>
      </w:pPr>
      <w:r>
        <w:rPr>
          <w:rFonts w:ascii="Times New Roman" w:hAnsi="Times New Roman" w:eastAsia="仿宋_GB2312"/>
          <w:bCs/>
          <w:sz w:val="32"/>
          <w:szCs w:val="32"/>
        </w:rPr>
        <w:t>4.1.3</w:t>
      </w:r>
      <w:r>
        <w:rPr>
          <w:rFonts w:ascii="Times New Roman" w:hAnsi="Times New Roman"/>
          <w:bCs/>
          <w:sz w:val="32"/>
          <w:szCs w:val="32"/>
        </w:rPr>
        <w:t>Ⅲ</w:t>
      </w:r>
      <w:r>
        <w:rPr>
          <w:rFonts w:ascii="Times New Roman" w:hAnsi="Times New Roman" w:eastAsia="仿宋_GB2312"/>
          <w:bCs/>
          <w:sz w:val="32"/>
          <w:szCs w:val="32"/>
        </w:rPr>
        <w:t>级应急响应及启动程序</w:t>
      </w:r>
    </w:p>
    <w:p w14:paraId="18B3805D">
      <w:pPr>
        <w:spacing w:line="560" w:lineRule="exact"/>
        <w:ind w:firstLine="622" w:firstLineChars="200"/>
        <w:rPr>
          <w:rFonts w:ascii="Times New Roman" w:hAnsi="Times New Roman" w:eastAsia="仿宋_GB2312"/>
          <w:bCs/>
          <w:sz w:val="32"/>
          <w:szCs w:val="32"/>
        </w:rPr>
      </w:pPr>
      <w:r>
        <w:rPr>
          <w:rFonts w:ascii="Times New Roman" w:hAnsi="Times New Roman" w:eastAsia="仿宋_GB2312"/>
          <w:bCs/>
          <w:sz w:val="32"/>
          <w:szCs w:val="32"/>
        </w:rPr>
        <w:t>（1）发生较大隧道内危化品泄漏事故后，应急指挥部办公室向应急指挥部报告情况，并建议应急指挥部启动Ⅲ级应急响应；</w:t>
      </w:r>
    </w:p>
    <w:p w14:paraId="372EAE7A">
      <w:pPr>
        <w:spacing w:line="560" w:lineRule="exact"/>
        <w:ind w:firstLine="622" w:firstLineChars="200"/>
        <w:rPr>
          <w:rFonts w:ascii="Times New Roman" w:hAnsi="Times New Roman" w:eastAsia="仿宋_GB2312"/>
          <w:bCs/>
          <w:sz w:val="32"/>
          <w:szCs w:val="32"/>
        </w:rPr>
      </w:pPr>
      <w:r>
        <w:rPr>
          <w:rFonts w:ascii="Times New Roman" w:hAnsi="Times New Roman" w:eastAsia="仿宋_GB2312"/>
          <w:bCs/>
          <w:sz w:val="32"/>
          <w:szCs w:val="32"/>
        </w:rPr>
        <w:t>（2）经应急指挥部指挥长批准，向昆明市人民政府、昆明市交通运输局、昆明市应急局上报，并同时组织先期处置工作；在市人民政府统一领导下，组织事故应急处置。</w:t>
      </w:r>
    </w:p>
    <w:p w14:paraId="42F1C36B">
      <w:pPr>
        <w:spacing w:line="560" w:lineRule="exact"/>
        <w:ind w:firstLine="622" w:firstLineChars="200"/>
        <w:rPr>
          <w:rFonts w:ascii="Times New Roman" w:hAnsi="Times New Roman" w:eastAsia="仿宋_GB2312"/>
          <w:bCs/>
          <w:sz w:val="32"/>
          <w:szCs w:val="32"/>
        </w:rPr>
      </w:pPr>
      <w:r>
        <w:rPr>
          <w:rFonts w:ascii="Times New Roman" w:hAnsi="Times New Roman" w:eastAsia="仿宋_GB2312"/>
          <w:bCs/>
          <w:sz w:val="32"/>
          <w:szCs w:val="32"/>
        </w:rPr>
        <w:t>（3）事发地街道办事处、区运管分局、应急指挥部及成员单位、应急指挥部办公室按照本预案的职责分工，开展相应的应急处置工作。</w:t>
      </w:r>
    </w:p>
    <w:p w14:paraId="399342D3">
      <w:pPr>
        <w:spacing w:line="560" w:lineRule="exact"/>
        <w:ind w:firstLine="622" w:firstLineChars="200"/>
        <w:rPr>
          <w:rFonts w:ascii="Times New Roman" w:hAnsi="Times New Roman" w:eastAsia="仿宋"/>
          <w:sz w:val="32"/>
          <w:szCs w:val="28"/>
        </w:rPr>
      </w:pPr>
      <w:r>
        <w:rPr>
          <w:rFonts w:ascii="Times New Roman" w:hAnsi="Times New Roman" w:eastAsia="仿宋_GB2312"/>
          <w:bCs/>
          <w:sz w:val="32"/>
          <w:szCs w:val="32"/>
        </w:rPr>
        <w:t xml:space="preserve">4.1.4 </w:t>
      </w:r>
      <w:r>
        <w:rPr>
          <w:rFonts w:ascii="Times New Roman" w:hAnsi="Times New Roman"/>
          <w:bCs/>
          <w:sz w:val="32"/>
          <w:szCs w:val="32"/>
        </w:rPr>
        <w:t>Ⅳ</w:t>
      </w:r>
      <w:r>
        <w:rPr>
          <w:rFonts w:ascii="Times New Roman" w:hAnsi="Times New Roman" w:eastAsia="仿宋_GB2312"/>
          <w:bCs/>
          <w:sz w:val="32"/>
          <w:szCs w:val="32"/>
        </w:rPr>
        <w:t>级应急响应及启动程序</w:t>
      </w:r>
    </w:p>
    <w:p w14:paraId="3FF418EF">
      <w:pPr>
        <w:spacing w:line="560" w:lineRule="exact"/>
        <w:ind w:firstLine="622" w:firstLineChars="200"/>
        <w:rPr>
          <w:rFonts w:ascii="Times New Roman" w:hAnsi="Times New Roman" w:eastAsia="仿宋_GB2312"/>
          <w:bCs/>
          <w:sz w:val="32"/>
          <w:szCs w:val="32"/>
        </w:rPr>
      </w:pPr>
      <w:r>
        <w:rPr>
          <w:rFonts w:ascii="Times New Roman" w:hAnsi="Times New Roman" w:eastAsia="仿宋_GB2312"/>
          <w:bCs/>
          <w:sz w:val="32"/>
          <w:szCs w:val="32"/>
        </w:rPr>
        <w:t>（1）发生一般隧道内危化品泄漏事故后，应急指挥部办公室向应急指挥部报告情况，并建议应急指挥部启动Ⅳ级响应；</w:t>
      </w:r>
    </w:p>
    <w:p w14:paraId="30BEC59E">
      <w:pPr>
        <w:spacing w:line="560" w:lineRule="exact"/>
        <w:ind w:firstLine="622" w:firstLineChars="200"/>
        <w:rPr>
          <w:rFonts w:ascii="Times New Roman" w:hAnsi="Times New Roman" w:eastAsia="仿宋_GB2312"/>
          <w:bCs/>
          <w:sz w:val="32"/>
          <w:szCs w:val="32"/>
        </w:rPr>
      </w:pPr>
      <w:r>
        <w:rPr>
          <w:rFonts w:ascii="Times New Roman" w:hAnsi="Times New Roman" w:eastAsia="仿宋_GB2312"/>
          <w:bCs/>
          <w:sz w:val="32"/>
          <w:szCs w:val="32"/>
        </w:rPr>
        <w:t>（2）经应急指挥部指挥长批准，启动Ⅳ级应急响应，开展应急工作。应急指挥部办公室对险情进行快速评估，分析、判断险情可能产生的影响及后果；定时与事发地街道办事处、区运管分局联系，收集、更新事故信息，汇总参与应急处置单位的情况汇报和工作动态；做好与其他有关部门的联络，及时通报情况；密切跟踪事故进展情况，视情派出现场工作组或者专家组给予指导，根据应急处置需要，协调装备物资、救援、资金等方面的工作；指导事发地街道办事处、区运管分局开展应急处置，评估行动方案，及时提出对方案的修改建议，保证快速、合理施救，防止险情扩大或次生、衍生事故的发生；根据需要，在全区范围内协调应急救援队伍、物资、装备等支援及紧急征用等工作；</w:t>
      </w:r>
    </w:p>
    <w:p w14:paraId="51C98B7F">
      <w:pPr>
        <w:spacing w:line="560" w:lineRule="exact"/>
        <w:ind w:firstLine="622" w:firstLineChars="200"/>
        <w:rPr>
          <w:rFonts w:ascii="Times New Roman" w:hAnsi="Times New Roman" w:eastAsia="仿宋_GB2312"/>
          <w:bCs/>
          <w:sz w:val="32"/>
          <w:szCs w:val="32"/>
        </w:rPr>
      </w:pPr>
      <w:r>
        <w:rPr>
          <w:rFonts w:ascii="Times New Roman" w:hAnsi="Times New Roman" w:eastAsia="仿宋_GB2312"/>
          <w:bCs/>
          <w:sz w:val="32"/>
          <w:szCs w:val="32"/>
        </w:rPr>
        <w:t>（3）根据需要，成立现场工作组赶赴现场，协调各成员单位开展事故抢险救援工作；</w:t>
      </w:r>
    </w:p>
    <w:p w14:paraId="4421FD8B">
      <w:pPr>
        <w:spacing w:line="560" w:lineRule="exact"/>
        <w:ind w:firstLine="622" w:firstLineChars="200"/>
        <w:rPr>
          <w:rFonts w:ascii="Times New Roman" w:hAnsi="Times New Roman" w:eastAsia="仿宋_GB2312"/>
          <w:bCs/>
          <w:sz w:val="32"/>
          <w:szCs w:val="32"/>
        </w:rPr>
      </w:pPr>
      <w:r>
        <w:rPr>
          <w:rFonts w:ascii="Times New Roman" w:hAnsi="Times New Roman" w:eastAsia="仿宋_GB2312"/>
          <w:bCs/>
          <w:sz w:val="32"/>
          <w:szCs w:val="32"/>
        </w:rPr>
        <w:t>（4）有关成员单位配合区运管分局及有关部门组织开展救援；</w:t>
      </w:r>
    </w:p>
    <w:p w14:paraId="25038C20">
      <w:pPr>
        <w:spacing w:line="560" w:lineRule="exact"/>
        <w:ind w:firstLine="622" w:firstLineChars="200"/>
        <w:rPr>
          <w:rFonts w:ascii="Times New Roman" w:hAnsi="Times New Roman" w:eastAsia="仿宋_GB2312"/>
          <w:bCs/>
          <w:sz w:val="32"/>
          <w:szCs w:val="32"/>
        </w:rPr>
      </w:pPr>
      <w:bookmarkStart w:id="7" w:name="_Toc522113966"/>
      <w:r>
        <w:rPr>
          <w:rFonts w:ascii="Times New Roman" w:hAnsi="Times New Roman" w:eastAsia="仿宋_GB2312"/>
          <w:bCs/>
          <w:sz w:val="32"/>
          <w:szCs w:val="32"/>
        </w:rPr>
        <w:t>（5）当救援所需应急力量不足、需要支援时，及时报请市委、市政府给予支持。</w:t>
      </w:r>
    </w:p>
    <w:p w14:paraId="47BDF154">
      <w:pPr>
        <w:spacing w:line="560" w:lineRule="exact"/>
        <w:ind w:firstLine="622" w:firstLineChars="200"/>
        <w:rPr>
          <w:rFonts w:ascii="Times New Roman" w:hAnsi="Times New Roman" w:eastAsia="楷体_GB2312"/>
          <w:bCs/>
          <w:sz w:val="32"/>
          <w:szCs w:val="32"/>
        </w:rPr>
      </w:pPr>
      <w:r>
        <w:rPr>
          <w:rFonts w:ascii="Times New Roman" w:hAnsi="Times New Roman" w:eastAsia="楷体_GB2312"/>
          <w:bCs/>
          <w:sz w:val="32"/>
          <w:szCs w:val="32"/>
        </w:rPr>
        <w:t>4.2信息报告与处理</w:t>
      </w:r>
      <w:bookmarkEnd w:id="7"/>
      <w:bookmarkStart w:id="8" w:name="_Toc522113967"/>
      <w:bookmarkStart w:id="9" w:name="_Toc501460809"/>
    </w:p>
    <w:p w14:paraId="78051A08">
      <w:pPr>
        <w:spacing w:line="560" w:lineRule="exact"/>
        <w:ind w:firstLine="622" w:firstLineChars="200"/>
        <w:rPr>
          <w:rFonts w:ascii="Times New Roman" w:hAnsi="Times New Roman" w:eastAsia="仿宋"/>
          <w:sz w:val="32"/>
          <w:szCs w:val="28"/>
        </w:rPr>
      </w:pPr>
      <w:r>
        <w:rPr>
          <w:rFonts w:ascii="Times New Roman" w:hAnsi="Times New Roman" w:eastAsia="仿宋_GB2312"/>
          <w:bCs/>
          <w:sz w:val="32"/>
          <w:szCs w:val="32"/>
        </w:rPr>
        <w:t>4.2.1报告要求</w:t>
      </w:r>
      <w:bookmarkEnd w:id="8"/>
      <w:bookmarkEnd w:id="9"/>
    </w:p>
    <w:p w14:paraId="442AF356">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（1）报告迅速。最先接到事故的单位及个人应立即向属地党委、政府及行业主管部门报告。</w:t>
      </w:r>
    </w:p>
    <w:p w14:paraId="20FF856B">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（2）内容准确。报告内容要真实准确，不得因为任何原因隐瞒、虚报、漏报。</w:t>
      </w:r>
    </w:p>
    <w:p w14:paraId="4357E9E6">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（3）信息直报。事故发生后，道路危险货物运输企业应当立即向区运管分局报告；事故等级为较大及以上级别的，事故现场有关人员或单位负责人可越级上报，并立即向区运管分局等有关部门报告。</w:t>
      </w:r>
    </w:p>
    <w:p w14:paraId="62B6E423">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区运管分局接到事故信息报告或者监测到有关信息后，应当立即进行信息核实，对事故的性质和类别作出初步认定，按照规定的时限、程序和要求向上级交通运输主管部门和区人民政府报告，并通报有关部门和单位；事故已经或者可能涉及相邻县区的，区运管分局应当及时通报相邻县区运管分局主管部门。</w:t>
      </w:r>
    </w:p>
    <w:p w14:paraId="18AFCD9C">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（4）信息续报。事故发生期间，有关部门和单位应根据事故的发展连续上报事故的进展与应急处置的进展情况，当发生较大事件及以上级别的，应急指挥部要形成书面报告分别上报市人民政府、市交通运输局。</w:t>
      </w:r>
    </w:p>
    <w:p w14:paraId="2ABD0818">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（5）信息终报。隧道内危化品泄漏事故应急处置结束后，应急响应实施机构应及时总结事故预测预警、发生、发展、研判、处置等整个过程情况，形成终报上报应急指挥部。</w:t>
      </w:r>
      <w:bookmarkStart w:id="10" w:name="_Toc501460810"/>
      <w:bookmarkStart w:id="11" w:name="_Toc522113968"/>
    </w:p>
    <w:p w14:paraId="2FB8A32C">
      <w:pPr>
        <w:spacing w:line="560" w:lineRule="exact"/>
        <w:ind w:firstLine="622" w:firstLineChars="200"/>
        <w:rPr>
          <w:rFonts w:ascii="Times New Roman" w:hAnsi="Times New Roman" w:eastAsia="仿宋"/>
          <w:sz w:val="32"/>
          <w:szCs w:val="28"/>
        </w:rPr>
      </w:pPr>
      <w:r>
        <w:rPr>
          <w:rFonts w:ascii="Times New Roman" w:hAnsi="Times New Roman" w:eastAsia="仿宋_GB2312"/>
          <w:bCs/>
          <w:sz w:val="32"/>
          <w:szCs w:val="32"/>
        </w:rPr>
        <w:t>4.2.2报告流程</w:t>
      </w:r>
      <w:bookmarkEnd w:id="10"/>
      <w:bookmarkEnd w:id="11"/>
    </w:p>
    <w:p w14:paraId="4B3C18E5">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1）道路危险货物运输企业要建立和完善报告制度，明确企业的责任、义务和权利，确保信息畅通，危险货物运输车辆发生事故后，事故企业必须以最快捷的方法将所发生事故的情况报告区运管分局，并抄送区应急局，情况紧急时，可越级直接向区隧道内危化品泄漏事故应急指挥部办公室电话报告；</w:t>
      </w:r>
    </w:p>
    <w:p w14:paraId="39A09D44">
      <w:pPr>
        <w:spacing w:line="560" w:lineRule="exact"/>
        <w:ind w:firstLine="622" w:firstLineChars="200"/>
        <w:rPr>
          <w:rFonts w:ascii="Times New Roman" w:hAnsi="Times New Roman" w:eastAsia="仿宋"/>
          <w:sz w:val="32"/>
          <w:szCs w:val="30"/>
        </w:rPr>
      </w:pPr>
      <w:r>
        <w:rPr>
          <w:rFonts w:ascii="Times New Roman" w:hAnsi="Times New Roman" w:eastAsia="仿宋_GB2312"/>
          <w:sz w:val="32"/>
          <w:szCs w:val="28"/>
        </w:rPr>
        <w:t>（2）</w:t>
      </w:r>
      <w:r>
        <w:rPr>
          <w:rFonts w:ascii="Times New Roman" w:hAnsi="Times New Roman" w:eastAsia="仿宋_GB2312"/>
          <w:sz w:val="32"/>
          <w:szCs w:val="30"/>
        </w:rPr>
        <w:t>应急指挥部办公室</w:t>
      </w:r>
      <w:r>
        <w:rPr>
          <w:rFonts w:ascii="Times New Roman" w:hAnsi="Times New Roman" w:eastAsia="仿宋_GB2312"/>
          <w:sz w:val="32"/>
          <w:szCs w:val="28"/>
        </w:rPr>
        <w:t>在接到事故报告后，应及时了解情况、收集材料，根据事故详情、初步原因等，确定事故相应等级后及时请示应急指挥部，在得到应急指挥部同意后，立即部署相应事故等级的应急措施，并于30分钟内向区委、区政府报告，按规定及时报市交通运输管理部门。</w:t>
      </w:r>
      <w:bookmarkStart w:id="12" w:name="_Toc522113969"/>
      <w:bookmarkStart w:id="13" w:name="_Toc501460811"/>
    </w:p>
    <w:p w14:paraId="5F750FAB">
      <w:pPr>
        <w:spacing w:line="560" w:lineRule="exact"/>
        <w:ind w:firstLine="622" w:firstLineChars="200"/>
        <w:rPr>
          <w:rFonts w:ascii="Times New Roman" w:hAnsi="Times New Roman" w:eastAsia="仿宋"/>
          <w:sz w:val="32"/>
          <w:szCs w:val="30"/>
        </w:rPr>
      </w:pPr>
      <w:r>
        <w:rPr>
          <w:rFonts w:ascii="Times New Roman" w:hAnsi="Times New Roman" w:eastAsia="仿宋_GB2312"/>
          <w:bCs/>
          <w:sz w:val="32"/>
          <w:szCs w:val="32"/>
        </w:rPr>
        <w:t>4.2.3报告内容</w:t>
      </w:r>
      <w:bookmarkEnd w:id="12"/>
      <w:bookmarkEnd w:id="13"/>
    </w:p>
    <w:p w14:paraId="575AB599">
      <w:pPr>
        <w:spacing w:line="560" w:lineRule="exact"/>
        <w:ind w:firstLine="622" w:firstLineChars="200"/>
        <w:rPr>
          <w:rFonts w:ascii="Times New Roman" w:hAnsi="Times New Roman" w:eastAsia="仿宋"/>
          <w:sz w:val="32"/>
          <w:szCs w:val="28"/>
        </w:rPr>
      </w:pPr>
      <w:r>
        <w:rPr>
          <w:rFonts w:ascii="Times New Roman" w:hAnsi="Times New Roman" w:eastAsia="仿宋_GB2312"/>
          <w:sz w:val="32"/>
          <w:szCs w:val="28"/>
        </w:rPr>
        <w:t>发生事故车辆的归属单位、事故发生时间、事故发生具体地点及周围环境情况；事故造成伤亡人数和直接经济损失的初步估计；发生事故的危险货物类型，是否发生泄漏及严重程度；事故的简要经过、事故发生原因和性质的初步判断；事故现场抢救处理的情况和采取的初步措施；需要有关部门和单位协助事故抢救和处理的有关事宜；事故的报告单位、签发人和报告时间</w:t>
      </w:r>
      <w:bookmarkStart w:id="14" w:name="_Toc522113970"/>
      <w:r>
        <w:rPr>
          <w:rFonts w:ascii="Times New Roman" w:hAnsi="Times New Roman" w:eastAsia="仿宋_GB2312"/>
          <w:sz w:val="32"/>
          <w:szCs w:val="28"/>
        </w:rPr>
        <w:t>。</w:t>
      </w:r>
    </w:p>
    <w:p w14:paraId="2E858373">
      <w:pPr>
        <w:spacing w:line="560" w:lineRule="exact"/>
        <w:ind w:firstLine="622" w:firstLineChars="200"/>
        <w:rPr>
          <w:rFonts w:ascii="Times New Roman" w:hAnsi="Times New Roman" w:eastAsia="楷体_GB2312"/>
          <w:bCs/>
          <w:sz w:val="32"/>
          <w:szCs w:val="32"/>
        </w:rPr>
      </w:pPr>
      <w:r>
        <w:rPr>
          <w:rFonts w:ascii="Times New Roman" w:hAnsi="Times New Roman" w:eastAsia="楷体_GB2312"/>
          <w:bCs/>
          <w:sz w:val="32"/>
          <w:szCs w:val="32"/>
        </w:rPr>
        <w:t>4.3响应措施</w:t>
      </w:r>
      <w:bookmarkEnd w:id="14"/>
      <w:bookmarkStart w:id="15" w:name="_Toc522113971"/>
    </w:p>
    <w:p w14:paraId="1F6D9911">
      <w:pPr>
        <w:spacing w:line="560" w:lineRule="exact"/>
        <w:ind w:firstLine="622" w:firstLineChars="200"/>
        <w:rPr>
          <w:rFonts w:ascii="Times New Roman" w:hAnsi="Times New Roman" w:eastAsia="仿宋"/>
          <w:sz w:val="32"/>
          <w:szCs w:val="28"/>
        </w:rPr>
      </w:pPr>
      <w:r>
        <w:rPr>
          <w:rFonts w:ascii="Times New Roman" w:hAnsi="Times New Roman" w:eastAsia="仿宋_GB2312"/>
          <w:bCs/>
          <w:sz w:val="32"/>
          <w:szCs w:val="32"/>
        </w:rPr>
        <w:t>4.3.1</w:t>
      </w:r>
      <w:bookmarkStart w:id="16" w:name="_Hlk28021471"/>
      <w:r>
        <w:rPr>
          <w:rFonts w:ascii="Times New Roman" w:hAnsi="Times New Roman" w:eastAsia="仿宋_GB2312"/>
          <w:bCs/>
          <w:sz w:val="32"/>
          <w:szCs w:val="32"/>
        </w:rPr>
        <w:t xml:space="preserve"> </w:t>
      </w:r>
      <w:r>
        <w:rPr>
          <w:rFonts w:ascii="Times New Roman" w:hAnsi="Times New Roman"/>
          <w:bCs/>
          <w:sz w:val="32"/>
          <w:szCs w:val="32"/>
        </w:rPr>
        <w:t>Ⅳ</w:t>
      </w:r>
      <w:bookmarkEnd w:id="16"/>
      <w:r>
        <w:rPr>
          <w:rFonts w:ascii="Times New Roman" w:hAnsi="Times New Roman" w:eastAsia="仿宋_GB2312"/>
          <w:bCs/>
          <w:sz w:val="32"/>
          <w:szCs w:val="32"/>
        </w:rPr>
        <w:t>级响应措施</w:t>
      </w:r>
      <w:bookmarkEnd w:id="15"/>
    </w:p>
    <w:p w14:paraId="1BD553EF">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发生</w:t>
      </w:r>
      <w:r>
        <w:rPr>
          <w:rFonts w:ascii="Times New Roman" w:hAnsi="Times New Roman"/>
          <w:sz w:val="32"/>
          <w:szCs w:val="28"/>
        </w:rPr>
        <w:t>Ⅳ</w:t>
      </w:r>
      <w:r>
        <w:rPr>
          <w:rFonts w:ascii="Times New Roman" w:hAnsi="Times New Roman" w:eastAsia="仿宋_GB2312"/>
          <w:sz w:val="32"/>
          <w:szCs w:val="28"/>
        </w:rPr>
        <w:t>级隧道内危化品泄漏事故，由区隧道内危化品泄漏事故应急指挥部根据需要成立现场指挥部，并确定指挥长，负责指挥协调应急处置工作。</w:t>
      </w:r>
    </w:p>
    <w:p w14:paraId="5B69A081">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（1）立即通知隧道内危化品泄漏事故应急救援队伍赶赴现场，开展人员疏散、医疗救护、交通管制、现场警戒、现场监控、抢险救助等应急处置工作；</w:t>
      </w:r>
    </w:p>
    <w:p w14:paraId="33318E73">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（2）调配应急物资、装备，支援救援工作；</w:t>
      </w:r>
    </w:p>
    <w:p w14:paraId="337784B6">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（3）组织专家咨询，为应急处置工作提供技术支持；</w:t>
      </w:r>
    </w:p>
    <w:p w14:paraId="49E5527B">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（4）维护现场秩序，收集证据，严格保护现场；</w:t>
      </w:r>
    </w:p>
    <w:p w14:paraId="5DC84555">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（5）及时向公众和媒体发布信息；</w:t>
      </w:r>
    </w:p>
    <w:p w14:paraId="459091DE">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（6）核查事故车辆所属企业，立即启动专项应急预案，并开展前期应急处置工作；</w:t>
      </w:r>
    </w:p>
    <w:p w14:paraId="3F6B5BE4">
      <w:pPr>
        <w:spacing w:line="560" w:lineRule="exact"/>
        <w:ind w:firstLine="622" w:firstLineChars="200"/>
        <w:rPr>
          <w:rFonts w:ascii="Times New Roman" w:hAnsi="Times New Roman" w:eastAsia="仿宋"/>
          <w:sz w:val="32"/>
          <w:szCs w:val="28"/>
        </w:rPr>
      </w:pPr>
      <w:r>
        <w:rPr>
          <w:rFonts w:ascii="Times New Roman" w:hAnsi="Times New Roman" w:eastAsia="仿宋_GB2312"/>
          <w:sz w:val="32"/>
          <w:szCs w:val="28"/>
        </w:rPr>
        <w:t>（7）事发车辆所属企业在事发后立即向隧道内危化品泄漏事故应急指挥部办公室报告。</w:t>
      </w:r>
      <w:bookmarkStart w:id="17" w:name="_Toc522113972"/>
    </w:p>
    <w:p w14:paraId="42EB1629">
      <w:pPr>
        <w:spacing w:line="560" w:lineRule="exact"/>
        <w:ind w:firstLine="622" w:firstLineChars="200"/>
        <w:rPr>
          <w:rFonts w:ascii="Times New Roman" w:hAnsi="Times New Roman" w:eastAsia="仿宋"/>
          <w:sz w:val="32"/>
          <w:szCs w:val="28"/>
        </w:rPr>
      </w:pPr>
      <w:r>
        <w:rPr>
          <w:rFonts w:ascii="Times New Roman" w:hAnsi="Times New Roman" w:eastAsia="仿宋_GB2312"/>
          <w:bCs/>
          <w:sz w:val="32"/>
          <w:szCs w:val="32"/>
        </w:rPr>
        <w:t>4.3.2</w:t>
      </w:r>
      <w:bookmarkStart w:id="18" w:name="_Hlk28021440"/>
      <w:r>
        <w:rPr>
          <w:rFonts w:ascii="Times New Roman" w:hAnsi="Times New Roman" w:eastAsia="仿宋_GB2312"/>
          <w:bCs/>
          <w:sz w:val="32"/>
          <w:szCs w:val="32"/>
        </w:rPr>
        <w:t xml:space="preserve"> </w:t>
      </w:r>
      <w:bookmarkEnd w:id="18"/>
      <w:r>
        <w:rPr>
          <w:rFonts w:ascii="Times New Roman" w:hAnsi="Times New Roman" w:eastAsia="仿宋_GB2312"/>
          <w:sz w:val="32"/>
          <w:szCs w:val="28"/>
        </w:rPr>
        <w:t>Ⅰ级、Ⅱ级、Ⅲ级响应措施</w:t>
      </w:r>
      <w:bookmarkEnd w:id="17"/>
    </w:p>
    <w:p w14:paraId="077DE66D">
      <w:pPr>
        <w:numPr>
          <w:ilvl w:val="0"/>
          <w:numId w:val="4"/>
        </w:numPr>
        <w:spacing w:line="560" w:lineRule="exact"/>
        <w:ind w:firstLine="622" w:firstLineChars="200"/>
        <w:rPr>
          <w:rFonts w:ascii="Times New Roman" w:hAnsi="Times New Roman" w:eastAsia="仿宋_GB2312"/>
          <w:sz w:val="32"/>
          <w:szCs w:val="30"/>
        </w:rPr>
      </w:pPr>
      <w:r>
        <w:rPr>
          <w:rFonts w:ascii="Times New Roman" w:hAnsi="Times New Roman" w:eastAsia="仿宋_GB2312"/>
          <w:sz w:val="32"/>
          <w:szCs w:val="30"/>
        </w:rPr>
        <w:t>事故车辆所属企业在事发后立即向隧道内危化品泄漏事故应急指挥部办公室和区运管分局报告；</w:t>
      </w:r>
    </w:p>
    <w:p w14:paraId="52957C3F">
      <w:pPr>
        <w:numPr>
          <w:ilvl w:val="0"/>
          <w:numId w:val="4"/>
        </w:numPr>
        <w:spacing w:line="560" w:lineRule="exact"/>
        <w:ind w:firstLine="622" w:firstLineChars="200"/>
        <w:rPr>
          <w:rFonts w:ascii="Times New Roman" w:hAnsi="Times New Roman" w:eastAsia="仿宋_GB2312"/>
          <w:sz w:val="32"/>
          <w:szCs w:val="30"/>
        </w:rPr>
      </w:pPr>
      <w:r>
        <w:rPr>
          <w:rFonts w:ascii="Times New Roman" w:hAnsi="Times New Roman" w:eastAsia="仿宋_GB2312"/>
          <w:sz w:val="32"/>
          <w:szCs w:val="30"/>
        </w:rPr>
        <w:t>在Ⅳ级响应的基础上，</w:t>
      </w:r>
      <w:bookmarkStart w:id="19" w:name="_Toc522113973"/>
      <w:r>
        <w:rPr>
          <w:rFonts w:ascii="Times New Roman" w:hAnsi="Times New Roman" w:eastAsia="仿宋_GB2312"/>
          <w:sz w:val="32"/>
          <w:szCs w:val="30"/>
        </w:rPr>
        <w:t>由区政府分管交通工作副区长担任指挥长组织先期应急处置，直至上级应急领导机构履行指挥权。</w:t>
      </w:r>
    </w:p>
    <w:bookmarkEnd w:id="19"/>
    <w:p w14:paraId="57BA135B">
      <w:pPr>
        <w:spacing w:line="560" w:lineRule="exact"/>
        <w:ind w:firstLine="622" w:firstLineChars="200"/>
        <w:rPr>
          <w:rFonts w:ascii="Times New Roman" w:hAnsi="Times New Roman" w:eastAsia="楷体_GB2312"/>
          <w:bCs/>
          <w:sz w:val="32"/>
          <w:szCs w:val="32"/>
        </w:rPr>
      </w:pPr>
      <w:bookmarkStart w:id="20" w:name="_Toc521674091"/>
      <w:bookmarkStart w:id="21" w:name="_Toc497298736"/>
      <w:r>
        <w:rPr>
          <w:rFonts w:ascii="Times New Roman" w:hAnsi="Times New Roman" w:eastAsia="楷体_GB2312"/>
          <w:bCs/>
          <w:sz w:val="32"/>
          <w:szCs w:val="32"/>
        </w:rPr>
        <w:t>4.4响应终止</w:t>
      </w:r>
      <w:bookmarkEnd w:id="20"/>
      <w:bookmarkEnd w:id="21"/>
    </w:p>
    <w:p w14:paraId="42861FC6">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应急行动的终止必须同时具备以下条件：</w:t>
      </w:r>
    </w:p>
    <w:p w14:paraId="3CA8BB78">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（1）当遇险人员全部获救，事故现场得到控制，事故现场隐患得到消除，现场抢险救援工作结束；</w:t>
      </w:r>
    </w:p>
    <w:p w14:paraId="71E8FC8B">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（2）受伤人员得到妥善医疗，紧急疏散人员得到妥善安置；</w:t>
      </w:r>
    </w:p>
    <w:p w14:paraId="4C0C027D">
      <w:pPr>
        <w:spacing w:line="560" w:lineRule="exact"/>
        <w:ind w:firstLine="622" w:firstLineChars="200"/>
        <w:rPr>
          <w:rFonts w:ascii="Times New Roman" w:hAnsi="Times New Roman" w:eastAsia="仿宋_GB2312"/>
          <w:sz w:val="32"/>
          <w:szCs w:val="30"/>
        </w:rPr>
      </w:pPr>
      <w:r>
        <w:rPr>
          <w:rFonts w:ascii="Times New Roman" w:hAnsi="Times New Roman" w:eastAsia="仿宋_GB2312"/>
          <w:sz w:val="32"/>
          <w:szCs w:val="28"/>
        </w:rPr>
        <w:t>（3）无危险货物存在泄漏和扩散情况，危险货物得到处理或</w:t>
      </w:r>
      <w:r>
        <w:rPr>
          <w:rFonts w:ascii="Times New Roman" w:hAnsi="Times New Roman" w:eastAsia="仿宋_GB2312"/>
          <w:sz w:val="32"/>
          <w:szCs w:val="30"/>
        </w:rPr>
        <w:t>转移；</w:t>
      </w:r>
    </w:p>
    <w:p w14:paraId="46089350">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（4）无其他险情发生或者险情得到妥善控制，环境符合有关标准；</w:t>
      </w:r>
    </w:p>
    <w:p w14:paraId="392F42F3">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（5）导致社会不稳定因素已经得到有效控制。</w:t>
      </w:r>
    </w:p>
    <w:p w14:paraId="7EE58423">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应急响应满足终止条件时，由应急指挥部办公室向应急指挥部提出应急响应终止建议；应急指挥部决定是否终止Ⅳ级及以上应急响应状态，如确定终止响应，签署终止指令，并宣布解散有关现场指挥部。应急指挥部办公室通知有关单位。</w:t>
      </w:r>
    </w:p>
    <w:p w14:paraId="6754E333">
      <w:pPr>
        <w:spacing w:line="560" w:lineRule="exact"/>
        <w:ind w:firstLine="622" w:firstLineChars="200"/>
        <w:rPr>
          <w:rFonts w:ascii="Times New Roman" w:hAnsi="Times New Roman" w:eastAsia="楷体_GB2312"/>
          <w:bCs/>
          <w:sz w:val="32"/>
          <w:szCs w:val="32"/>
        </w:rPr>
      </w:pPr>
      <w:bookmarkStart w:id="22" w:name="_Toc522113975"/>
      <w:r>
        <w:rPr>
          <w:rFonts w:ascii="Times New Roman" w:hAnsi="Times New Roman" w:eastAsia="楷体_GB2312"/>
          <w:bCs/>
          <w:sz w:val="32"/>
          <w:szCs w:val="32"/>
        </w:rPr>
        <w:t>4.5后期处置</w:t>
      </w:r>
      <w:bookmarkEnd w:id="22"/>
      <w:bookmarkStart w:id="23" w:name="_Toc522113976"/>
    </w:p>
    <w:p w14:paraId="50E372A1">
      <w:pPr>
        <w:spacing w:line="560" w:lineRule="exact"/>
        <w:ind w:firstLine="622" w:firstLineChars="200"/>
        <w:rPr>
          <w:rFonts w:ascii="Times New Roman" w:hAnsi="Times New Roman" w:eastAsia="仿宋"/>
          <w:sz w:val="32"/>
          <w:szCs w:val="28"/>
        </w:rPr>
      </w:pPr>
      <w:r>
        <w:rPr>
          <w:rFonts w:ascii="Times New Roman" w:hAnsi="Times New Roman" w:eastAsia="仿宋_GB2312"/>
          <w:bCs/>
          <w:sz w:val="32"/>
          <w:szCs w:val="32"/>
        </w:rPr>
        <w:t>4.5.1善后处置</w:t>
      </w:r>
      <w:bookmarkEnd w:id="23"/>
    </w:p>
    <w:p w14:paraId="56F8E1DF">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（1）区民政局负责做好伤亡人员的善后处置工作；</w:t>
      </w:r>
    </w:p>
    <w:p w14:paraId="398600AF">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（2）与事发企业有关的保险机构根据及时开展理赔工作；</w:t>
      </w:r>
    </w:p>
    <w:p w14:paraId="4748662E">
      <w:pPr>
        <w:spacing w:line="560" w:lineRule="exact"/>
        <w:ind w:firstLine="622" w:firstLineChars="200"/>
        <w:rPr>
          <w:rFonts w:ascii="Times New Roman" w:hAnsi="Times New Roman" w:eastAsia="仿宋"/>
          <w:sz w:val="32"/>
          <w:szCs w:val="28"/>
        </w:rPr>
      </w:pPr>
      <w:r>
        <w:rPr>
          <w:rFonts w:ascii="Times New Roman" w:hAnsi="Times New Roman" w:eastAsia="仿宋_GB2312"/>
          <w:sz w:val="32"/>
          <w:szCs w:val="28"/>
        </w:rPr>
        <w:t>（3）发生事故的道路危险货物运输企业配合有关单位做好事故伤亡人员家属的安抚和赔偿工作。</w:t>
      </w:r>
      <w:bookmarkStart w:id="24" w:name="_Toc522113977"/>
    </w:p>
    <w:p w14:paraId="06576930">
      <w:pPr>
        <w:spacing w:line="560" w:lineRule="exact"/>
        <w:ind w:firstLine="622" w:firstLineChars="200"/>
        <w:rPr>
          <w:rFonts w:ascii="Times New Roman" w:hAnsi="Times New Roman" w:eastAsia="仿宋"/>
          <w:sz w:val="32"/>
          <w:szCs w:val="28"/>
        </w:rPr>
      </w:pPr>
      <w:r>
        <w:rPr>
          <w:rFonts w:ascii="Times New Roman" w:hAnsi="Times New Roman" w:eastAsia="仿宋_GB2312"/>
          <w:bCs/>
          <w:sz w:val="32"/>
          <w:szCs w:val="32"/>
        </w:rPr>
        <w:t>4.5.2事件调查</w:t>
      </w:r>
      <w:bookmarkEnd w:id="24"/>
    </w:p>
    <w:p w14:paraId="69D1E3DF">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在区人民政府授权或者委托下，由区运管分局、区应急局、市公安局官渡分局、区总工会参与，发生事故的道路危险货物运输企业等配合，成立事故调查组，负责分析事故原因，查找工作漏洞，研究改进措施，形成调查报告，在规定时限内上报。</w:t>
      </w:r>
    </w:p>
    <w:p w14:paraId="3D92EA39">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1）发生一般伤亡事故和危化品泄漏、燃烧、爆炸事故，运输企业应按照要求，对事故的管理责任和领导责任进行调查处理。事故调查组负责对社会影响恶劣的事故进行调查处理，并根据交通事故处理机关的结论及运输企业、车站、驾驶人员在事故中应负的责任，按照有关法规和规章，对肇事企业和有关责任人进行严肃处理；</w:t>
      </w:r>
    </w:p>
    <w:p w14:paraId="33AB538A">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（2）对迟报、谎报、瞒报和漏报突发事故灾难重要情况，或者应急管理工作中有其他失职、渎职行为，造成严重后果的，事故调查组按有关规定追究有关人员的责任；构成犯罪的，依法追究刑事责任。</w:t>
      </w:r>
      <w:bookmarkStart w:id="25" w:name="_Toc522113978"/>
    </w:p>
    <w:p w14:paraId="22473DCE">
      <w:pPr>
        <w:spacing w:line="560" w:lineRule="exact"/>
        <w:ind w:firstLine="622" w:firstLineChars="200"/>
        <w:rPr>
          <w:rFonts w:ascii="Times New Roman" w:hAnsi="Times New Roman" w:eastAsia="仿宋_GB2312"/>
          <w:sz w:val="32"/>
          <w:szCs w:val="28"/>
        </w:rPr>
      </w:pPr>
      <w:r>
        <w:rPr>
          <w:rFonts w:ascii="Times New Roman" w:hAnsi="Times New Roman" w:eastAsia="仿宋_GB2312"/>
          <w:bCs/>
          <w:sz w:val="32"/>
          <w:szCs w:val="32"/>
        </w:rPr>
        <w:t>4.5.3处置评估</w:t>
      </w:r>
      <w:bookmarkEnd w:id="25"/>
    </w:p>
    <w:p w14:paraId="377A8962">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（1）隧道内危化品泄漏事故的基本情况；</w:t>
      </w:r>
    </w:p>
    <w:p w14:paraId="73BFFCB4">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（2）隧道内危化品泄漏事故的经过及采取的主要应急响应措施、有效性等情况；</w:t>
      </w:r>
    </w:p>
    <w:p w14:paraId="0265B75E">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（3）隧道内危化品泄漏事故发生的原因、性质、发展过程及所造成的后果（包括人员伤亡、经济损失）以及事件分析、评价；</w:t>
      </w:r>
    </w:p>
    <w:p w14:paraId="42E6C365">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（4）事故责任认定及对事故责任人的处理建议；</w:t>
      </w:r>
    </w:p>
    <w:p w14:paraId="2AAC4DF3">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（5）事故防范和整改措施等。</w:t>
      </w:r>
      <w:bookmarkStart w:id="26" w:name="_Toc522113979"/>
    </w:p>
    <w:p w14:paraId="54C7F020">
      <w:pPr>
        <w:spacing w:line="560" w:lineRule="exact"/>
        <w:ind w:firstLine="622" w:firstLineChars="200"/>
        <w:rPr>
          <w:rFonts w:ascii="Times New Roman" w:hAnsi="Times New Roman" w:eastAsia="仿宋_GB2312"/>
          <w:sz w:val="32"/>
          <w:szCs w:val="28"/>
        </w:rPr>
      </w:pPr>
      <w:r>
        <w:rPr>
          <w:rFonts w:ascii="Times New Roman" w:hAnsi="Times New Roman" w:eastAsia="黑体"/>
          <w:bCs/>
          <w:kern w:val="44"/>
          <w:sz w:val="32"/>
          <w:szCs w:val="44"/>
        </w:rPr>
        <w:t>5应急保障</w:t>
      </w:r>
      <w:bookmarkEnd w:id="26"/>
      <w:bookmarkStart w:id="27" w:name="_Toc229217415"/>
      <w:bookmarkStart w:id="28" w:name="_Toc522113980"/>
    </w:p>
    <w:p w14:paraId="019584FE">
      <w:pPr>
        <w:spacing w:line="560" w:lineRule="exact"/>
        <w:ind w:firstLine="622" w:firstLineChars="200"/>
        <w:rPr>
          <w:rFonts w:ascii="Times New Roman" w:hAnsi="Times New Roman" w:eastAsia="楷体_GB2312"/>
          <w:bCs/>
          <w:sz w:val="32"/>
          <w:szCs w:val="32"/>
        </w:rPr>
      </w:pPr>
      <w:r>
        <w:rPr>
          <w:rFonts w:ascii="Times New Roman" w:hAnsi="Times New Roman" w:eastAsia="楷体_GB2312"/>
          <w:bCs/>
          <w:sz w:val="32"/>
          <w:szCs w:val="32"/>
        </w:rPr>
        <w:t>5.1</w:t>
      </w:r>
      <w:bookmarkEnd w:id="27"/>
      <w:r>
        <w:rPr>
          <w:rFonts w:ascii="Times New Roman" w:hAnsi="Times New Roman" w:eastAsia="楷体_GB2312"/>
          <w:bCs/>
          <w:sz w:val="32"/>
          <w:szCs w:val="32"/>
        </w:rPr>
        <w:t>队伍保障</w:t>
      </w:r>
      <w:bookmarkEnd w:id="28"/>
    </w:p>
    <w:p w14:paraId="4EE231CA">
      <w:pPr>
        <w:spacing w:line="560" w:lineRule="exact"/>
        <w:ind w:firstLine="622" w:firstLineChars="200"/>
        <w:rPr>
          <w:rFonts w:ascii="Times New Roman" w:hAnsi="Times New Roman" w:eastAsia="仿宋_GB2312"/>
          <w:bCs/>
          <w:sz w:val="32"/>
          <w:szCs w:val="28"/>
        </w:rPr>
      </w:pPr>
      <w:bookmarkStart w:id="29" w:name="_Toc193440940"/>
      <w:bookmarkEnd w:id="29"/>
      <w:bookmarkStart w:id="30" w:name="_Toc522113981"/>
      <w:r>
        <w:rPr>
          <w:rFonts w:ascii="Times New Roman" w:hAnsi="Times New Roman" w:eastAsia="仿宋_GB2312"/>
          <w:sz w:val="32"/>
          <w:szCs w:val="28"/>
        </w:rPr>
        <w:t>区运管分局应牵头建立健全隧道内危化品泄漏事故应急处置专业队伍，完善应急救援专业队伍的管理机制，并根据人员的实际变动情况，每年适时调整应急救援队伍成员，确保应急救援队伍的落实。</w:t>
      </w:r>
    </w:p>
    <w:p w14:paraId="3457C263">
      <w:pPr>
        <w:spacing w:line="560" w:lineRule="exact"/>
        <w:ind w:firstLine="622" w:firstLineChars="200"/>
        <w:rPr>
          <w:rFonts w:ascii="Times New Roman" w:hAnsi="Times New Roman" w:eastAsia="楷体_GB2312"/>
          <w:bCs/>
          <w:sz w:val="32"/>
          <w:szCs w:val="32"/>
        </w:rPr>
      </w:pPr>
      <w:r>
        <w:rPr>
          <w:rFonts w:ascii="Times New Roman" w:hAnsi="Times New Roman" w:eastAsia="楷体_GB2312"/>
          <w:bCs/>
          <w:sz w:val="32"/>
          <w:szCs w:val="32"/>
        </w:rPr>
        <w:t>5.2通信保障</w:t>
      </w:r>
      <w:bookmarkEnd w:id="30"/>
    </w:p>
    <w:p w14:paraId="0CEF02A5">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加强通信保障，准确公布应急指挥部、应急指挥部办公室、区运管分局负责人及相关责任人、各级道路危险货物运输重点企业负责人等有关人员电话，保证及时准确报送信息，确保通信畅通。</w:t>
      </w:r>
      <w:bookmarkStart w:id="31" w:name="_Toc522113982"/>
    </w:p>
    <w:p w14:paraId="78D3FE60">
      <w:pPr>
        <w:spacing w:line="560" w:lineRule="exact"/>
        <w:ind w:firstLine="622" w:firstLineChars="200"/>
        <w:rPr>
          <w:rFonts w:ascii="Times New Roman" w:hAnsi="Times New Roman" w:eastAsia="楷体_GB2312"/>
          <w:bCs/>
          <w:sz w:val="32"/>
          <w:szCs w:val="32"/>
        </w:rPr>
      </w:pPr>
      <w:r>
        <w:rPr>
          <w:rFonts w:ascii="Times New Roman" w:hAnsi="Times New Roman" w:eastAsia="楷体_GB2312"/>
          <w:bCs/>
          <w:sz w:val="32"/>
          <w:szCs w:val="32"/>
        </w:rPr>
        <w:t>5.3资金保障</w:t>
      </w:r>
      <w:bookmarkEnd w:id="31"/>
    </w:p>
    <w:p w14:paraId="1C39B83E">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应急保障所需的各项经费，应按照现行事权、财权划分原则，分级负担，并按规定程序列入各级交通运输、应急管理主管部门年度财政预算中。</w:t>
      </w:r>
    </w:p>
    <w:p w14:paraId="535569C8">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应急指挥部办公室要根据每年开展宣传、教育、培训、演练等日常工作所需经费编列年度预算，报应急指挥部审批，并统一负责该项工作经费的管理与使用。</w:t>
      </w:r>
    </w:p>
    <w:p w14:paraId="6FA69C49">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区运管分局应建立有效的监管和评估体系，对隧道内危化品泄漏事故应急保障资金的使用和效果进行监管和评估。</w:t>
      </w:r>
      <w:bookmarkStart w:id="32" w:name="_Toc522113983"/>
    </w:p>
    <w:p w14:paraId="1D887A69">
      <w:pPr>
        <w:spacing w:line="560" w:lineRule="exact"/>
        <w:ind w:firstLine="622" w:firstLineChars="200"/>
        <w:rPr>
          <w:rFonts w:ascii="Times New Roman" w:hAnsi="Times New Roman" w:eastAsia="楷体_GB2312"/>
          <w:bCs/>
          <w:sz w:val="32"/>
          <w:szCs w:val="32"/>
        </w:rPr>
      </w:pPr>
      <w:r>
        <w:rPr>
          <w:rFonts w:ascii="Times New Roman" w:hAnsi="Times New Roman" w:eastAsia="楷体_GB2312"/>
          <w:bCs/>
          <w:sz w:val="32"/>
          <w:szCs w:val="32"/>
        </w:rPr>
        <w:t>5.4应急演练</w:t>
      </w:r>
      <w:bookmarkEnd w:id="32"/>
    </w:p>
    <w:p w14:paraId="17AE3124">
      <w:pPr>
        <w:spacing w:line="560" w:lineRule="exact"/>
        <w:ind w:firstLine="622" w:firstLineChars="200"/>
        <w:rPr>
          <w:rFonts w:ascii="Times New Roman" w:hAnsi="Times New Roman" w:eastAsia="仿宋_GB2312"/>
          <w:sz w:val="32"/>
          <w:szCs w:val="30"/>
        </w:rPr>
      </w:pPr>
      <w:r>
        <w:rPr>
          <w:rFonts w:ascii="Times New Roman" w:hAnsi="Times New Roman" w:eastAsia="仿宋_GB2312"/>
          <w:sz w:val="32"/>
          <w:szCs w:val="30"/>
        </w:rPr>
        <w:t>应急指挥部办公室负责协同有关部门制订应急演练计划并组织应急演练活动。</w:t>
      </w:r>
    </w:p>
    <w:p w14:paraId="3E437026">
      <w:pPr>
        <w:spacing w:line="560" w:lineRule="exact"/>
        <w:ind w:firstLine="622" w:firstLineChars="200"/>
        <w:rPr>
          <w:rFonts w:ascii="Times New Roman" w:hAnsi="Times New Roman" w:eastAsia="仿宋"/>
          <w:sz w:val="32"/>
          <w:szCs w:val="30"/>
        </w:rPr>
      </w:pPr>
      <w:r>
        <w:rPr>
          <w:rFonts w:ascii="Times New Roman" w:hAnsi="Times New Roman" w:eastAsia="仿宋_GB2312"/>
          <w:sz w:val="32"/>
          <w:szCs w:val="30"/>
        </w:rPr>
        <w:t>区</w:t>
      </w:r>
      <w:r>
        <w:rPr>
          <w:rFonts w:hint="eastAsia" w:ascii="Times New Roman" w:hAnsi="Times New Roman" w:eastAsia="仿宋_GB2312"/>
          <w:sz w:val="32"/>
          <w:szCs w:val="30"/>
          <w:lang w:eastAsia="zh-CN"/>
        </w:rPr>
        <w:t>应急管理局</w:t>
      </w:r>
      <w:r>
        <w:rPr>
          <w:rFonts w:ascii="Times New Roman" w:hAnsi="Times New Roman" w:eastAsia="仿宋_GB2312"/>
          <w:sz w:val="32"/>
          <w:szCs w:val="30"/>
        </w:rPr>
        <w:t>、区运管分局要结合工作实际，有计划、有重点地组织预案演练。应急演练结束后，演练组织单位应当及时组织演练评估。鼓励委托第三方进行演练评估。</w:t>
      </w:r>
      <w:bookmarkStart w:id="33" w:name="_Toc522113984"/>
    </w:p>
    <w:p w14:paraId="650B1A86">
      <w:pPr>
        <w:spacing w:line="560" w:lineRule="exact"/>
        <w:ind w:firstLine="622" w:firstLineChars="200"/>
        <w:rPr>
          <w:rFonts w:ascii="Times New Roman" w:hAnsi="Times New Roman" w:eastAsia="楷体_GB2312"/>
          <w:bCs/>
          <w:sz w:val="32"/>
          <w:szCs w:val="32"/>
        </w:rPr>
      </w:pPr>
      <w:r>
        <w:rPr>
          <w:rFonts w:ascii="Times New Roman" w:hAnsi="Times New Roman" w:eastAsia="楷体_GB2312"/>
          <w:bCs/>
          <w:sz w:val="32"/>
          <w:szCs w:val="32"/>
        </w:rPr>
        <w:t>5.5应急培训</w:t>
      </w:r>
      <w:bookmarkEnd w:id="33"/>
    </w:p>
    <w:p w14:paraId="21585216">
      <w:pPr>
        <w:spacing w:line="560" w:lineRule="exact"/>
        <w:ind w:firstLine="622" w:firstLineChars="200"/>
        <w:rPr>
          <w:rFonts w:ascii="Times New Roman" w:hAnsi="Times New Roman" w:eastAsia="仿宋_GB2312"/>
          <w:sz w:val="32"/>
          <w:szCs w:val="30"/>
        </w:rPr>
      </w:pPr>
      <w:r>
        <w:rPr>
          <w:rFonts w:ascii="Times New Roman" w:hAnsi="Times New Roman" w:eastAsia="仿宋_GB2312"/>
          <w:sz w:val="32"/>
          <w:szCs w:val="30"/>
        </w:rPr>
        <w:t>区运管分局应当将应急教育培训纳入日常管理工作，并定期开展应急培训。</w:t>
      </w:r>
      <w:bookmarkStart w:id="34" w:name="_Toc522113985"/>
    </w:p>
    <w:p w14:paraId="294AB140">
      <w:pPr>
        <w:spacing w:line="560" w:lineRule="exact"/>
        <w:ind w:firstLine="622" w:firstLineChars="200"/>
        <w:rPr>
          <w:rFonts w:ascii="Times New Roman" w:hAnsi="Times New Roman" w:eastAsia="黑体"/>
          <w:bCs/>
          <w:kern w:val="44"/>
          <w:sz w:val="32"/>
          <w:szCs w:val="44"/>
        </w:rPr>
      </w:pPr>
      <w:r>
        <w:rPr>
          <w:rFonts w:ascii="Times New Roman" w:hAnsi="Times New Roman" w:eastAsia="黑体"/>
          <w:bCs/>
          <w:kern w:val="44"/>
          <w:sz w:val="32"/>
          <w:szCs w:val="44"/>
        </w:rPr>
        <w:t>6附则</w:t>
      </w:r>
      <w:bookmarkEnd w:id="34"/>
      <w:bookmarkStart w:id="35" w:name="_Toc229217435"/>
      <w:bookmarkStart w:id="36" w:name="_Toc522113986"/>
    </w:p>
    <w:p w14:paraId="6F2E3BEA">
      <w:pPr>
        <w:spacing w:line="560" w:lineRule="exact"/>
        <w:ind w:firstLine="622" w:firstLineChars="200"/>
        <w:rPr>
          <w:rFonts w:ascii="Times New Roman" w:hAnsi="Times New Roman" w:eastAsia="楷体_GB2312"/>
          <w:sz w:val="32"/>
          <w:szCs w:val="30"/>
        </w:rPr>
      </w:pPr>
      <w:r>
        <w:rPr>
          <w:rFonts w:ascii="Times New Roman" w:hAnsi="Times New Roman" w:eastAsia="楷体_GB2312"/>
          <w:bCs/>
          <w:sz w:val="32"/>
          <w:szCs w:val="32"/>
        </w:rPr>
        <w:t>6.1预案管理与更新</w:t>
      </w:r>
      <w:bookmarkEnd w:id="35"/>
      <w:bookmarkEnd w:id="36"/>
    </w:p>
    <w:p w14:paraId="7A5D810D">
      <w:pPr>
        <w:spacing w:line="560" w:lineRule="exact"/>
        <w:ind w:firstLine="622" w:firstLineChars="200"/>
        <w:rPr>
          <w:rFonts w:ascii="Times New Roman" w:hAnsi="Times New Roman" w:eastAsia="仿宋_GB2312"/>
          <w:sz w:val="32"/>
          <w:szCs w:val="30"/>
        </w:rPr>
      </w:pPr>
      <w:r>
        <w:rPr>
          <w:rFonts w:ascii="Times New Roman" w:hAnsi="Times New Roman" w:eastAsia="仿宋_GB2312"/>
          <w:sz w:val="32"/>
          <w:szCs w:val="30"/>
        </w:rPr>
        <w:t>应急指挥部办公室会同有关部门定期对应急预案的执行情况进行检查，发现问题和提出改进意见，并根据实际情况的变化，及时修订本预案，并进行备案。</w:t>
      </w:r>
    </w:p>
    <w:p w14:paraId="435D49B7">
      <w:pPr>
        <w:spacing w:line="560" w:lineRule="exact"/>
        <w:ind w:firstLine="622" w:firstLineChars="200"/>
        <w:rPr>
          <w:rFonts w:ascii="Times New Roman" w:hAnsi="Times New Roman" w:eastAsia="仿宋_GB2312"/>
          <w:sz w:val="32"/>
          <w:szCs w:val="30"/>
        </w:rPr>
      </w:pPr>
      <w:r>
        <w:rPr>
          <w:rFonts w:ascii="Times New Roman" w:hAnsi="Times New Roman" w:eastAsia="仿宋_GB2312"/>
          <w:sz w:val="32"/>
          <w:szCs w:val="30"/>
        </w:rPr>
        <w:t>下列情况，本预案应进行更新：</w:t>
      </w:r>
    </w:p>
    <w:p w14:paraId="4D1C0BD1">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（1）预案依据的有关法律、行政法规、规章、标准、上位预案中的有关规定发生变化的；</w:t>
      </w:r>
    </w:p>
    <w:p w14:paraId="2955252A">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（2）隧道内危化品泄漏事故应急机构及其职责发生重大变化或调整的；</w:t>
      </w:r>
    </w:p>
    <w:p w14:paraId="689E4EFB">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（3）预案中的其他重要信息发生变化的；</w:t>
      </w:r>
    </w:p>
    <w:p w14:paraId="40639C69">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（4）在突发事件实际应对和应急演练中发现问题需要进行重大调整的；</w:t>
      </w:r>
    </w:p>
    <w:p w14:paraId="06CF7C32">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（5）预案制定单位认为应当修订的其他情况。</w:t>
      </w:r>
    </w:p>
    <w:p w14:paraId="0EF5F8DE">
      <w:pPr>
        <w:spacing w:line="560" w:lineRule="exact"/>
        <w:ind w:firstLine="622" w:firstLineChars="200"/>
        <w:rPr>
          <w:rFonts w:ascii="Times New Roman" w:hAnsi="Times New Roman" w:eastAsia="仿宋_GB2312"/>
          <w:sz w:val="32"/>
          <w:szCs w:val="28"/>
        </w:rPr>
      </w:pPr>
      <w:r>
        <w:rPr>
          <w:rFonts w:ascii="Times New Roman" w:hAnsi="Times New Roman" w:eastAsia="仿宋_GB2312"/>
          <w:sz w:val="32"/>
          <w:szCs w:val="28"/>
        </w:rPr>
        <w:t>区</w:t>
      </w:r>
      <w:r>
        <w:rPr>
          <w:rFonts w:hint="eastAsia" w:ascii="Times New Roman" w:hAnsi="Times New Roman" w:eastAsia="仿宋_GB2312"/>
          <w:sz w:val="32"/>
          <w:szCs w:val="28"/>
          <w:lang w:eastAsia="zh-CN"/>
        </w:rPr>
        <w:t>应急管理局</w:t>
      </w:r>
      <w:r>
        <w:rPr>
          <w:rFonts w:ascii="Times New Roman" w:hAnsi="Times New Roman" w:eastAsia="仿宋_GB2312"/>
          <w:sz w:val="32"/>
          <w:szCs w:val="28"/>
        </w:rPr>
        <w:t>、区运管分局应根据形势变化和实际需要，及时修订和更新应急预案。</w:t>
      </w:r>
      <w:bookmarkStart w:id="37" w:name="_Toc522113988"/>
    </w:p>
    <w:p w14:paraId="79D19E59">
      <w:pPr>
        <w:spacing w:line="560" w:lineRule="exact"/>
        <w:ind w:firstLine="622" w:firstLineChars="200"/>
        <w:rPr>
          <w:rFonts w:ascii="Times New Roman" w:hAnsi="Times New Roman" w:eastAsia="楷体_GB2312"/>
          <w:bCs/>
          <w:sz w:val="32"/>
          <w:szCs w:val="32"/>
        </w:rPr>
      </w:pPr>
      <w:r>
        <w:rPr>
          <w:rFonts w:ascii="Times New Roman" w:hAnsi="Times New Roman" w:eastAsia="楷体_GB2312"/>
          <w:bCs/>
          <w:sz w:val="32"/>
          <w:szCs w:val="32"/>
        </w:rPr>
        <w:t>6.2预案实施时间</w:t>
      </w:r>
      <w:bookmarkEnd w:id="37"/>
    </w:p>
    <w:p w14:paraId="2050996C">
      <w:pPr>
        <w:spacing w:line="560" w:lineRule="exact"/>
        <w:ind w:firstLine="622" w:firstLineChars="200"/>
        <w:rPr>
          <w:rFonts w:ascii="Times New Roman" w:hAnsi="Times New Roman" w:eastAsia="仿宋_GB2312"/>
          <w:sz w:val="32"/>
          <w:szCs w:val="30"/>
        </w:rPr>
      </w:pPr>
      <w:r>
        <w:rPr>
          <w:rFonts w:ascii="Times New Roman" w:hAnsi="Times New Roman" w:eastAsia="仿宋_GB2312"/>
          <w:sz w:val="32"/>
          <w:szCs w:val="30"/>
        </w:rPr>
        <w:t>本预案自发布之日起实施。</w:t>
      </w:r>
      <w:bookmarkStart w:id="38" w:name="_Toc522113989"/>
    </w:p>
    <w:p w14:paraId="3815B59B">
      <w:pPr>
        <w:spacing w:line="560" w:lineRule="exact"/>
        <w:ind w:firstLine="622" w:firstLineChars="200"/>
        <w:rPr>
          <w:rFonts w:ascii="Times New Roman" w:hAnsi="Times New Roman" w:eastAsia="楷体_GB2312"/>
          <w:bCs/>
          <w:sz w:val="32"/>
          <w:szCs w:val="32"/>
        </w:rPr>
      </w:pPr>
      <w:r>
        <w:rPr>
          <w:rFonts w:ascii="Times New Roman" w:hAnsi="Times New Roman" w:eastAsia="楷体_GB2312"/>
          <w:bCs/>
          <w:sz w:val="32"/>
          <w:szCs w:val="32"/>
        </w:rPr>
        <w:t>6.3名词解释</w:t>
      </w:r>
      <w:bookmarkEnd w:id="38"/>
    </w:p>
    <w:p w14:paraId="160F269D">
      <w:pPr>
        <w:spacing w:line="560" w:lineRule="exact"/>
        <w:ind w:firstLine="622" w:firstLineChars="200"/>
        <w:rPr>
          <w:rFonts w:ascii="Times New Roman" w:hAnsi="Times New Roman" w:eastAsia="仿宋_GB2312"/>
          <w:sz w:val="32"/>
          <w:szCs w:val="30"/>
        </w:rPr>
      </w:pPr>
      <w:r>
        <w:rPr>
          <w:rFonts w:ascii="Times New Roman" w:hAnsi="Times New Roman" w:eastAsia="仿宋_GB2312"/>
          <w:sz w:val="32"/>
          <w:szCs w:val="30"/>
        </w:rPr>
        <w:t>本预案所称的“以上”含本数，“以下”不含本数。</w:t>
      </w:r>
    </w:p>
    <w:p w14:paraId="281B797E">
      <w:pPr>
        <w:spacing w:line="560" w:lineRule="exact"/>
        <w:ind w:firstLine="622" w:firstLineChars="200"/>
        <w:rPr>
          <w:rFonts w:ascii="Times New Roman" w:hAnsi="Times New Roman" w:eastAsia="仿宋_GB2312"/>
          <w:sz w:val="32"/>
          <w:szCs w:val="30"/>
        </w:rPr>
      </w:pPr>
    </w:p>
    <w:p w14:paraId="44DFC2DB">
      <w:pPr>
        <w:spacing w:line="560" w:lineRule="exact"/>
        <w:rPr>
          <w:rFonts w:ascii="Times New Roman" w:hAnsi="Times New Roman"/>
        </w:rPr>
      </w:pPr>
    </w:p>
    <w:p w14:paraId="16259C16">
      <w:pPr>
        <w:pStyle w:val="6"/>
        <w:shd w:val="clear" w:color="auto" w:fill="FFFFFF"/>
        <w:spacing w:beforeAutospacing="0" w:afterAutospacing="0" w:line="560" w:lineRule="exact"/>
        <w:jc w:val="both"/>
        <w:rPr>
          <w:rFonts w:ascii="Times New Roman" w:hAnsi="Times New Roman" w:eastAsia="方正小标宋_GBK" w:cs="Times New Roman"/>
          <w:sz w:val="44"/>
          <w:szCs w:val="44"/>
          <w:shd w:val="clear" w:color="auto" w:fill="FFFFFF"/>
        </w:rPr>
      </w:pPr>
    </w:p>
    <w:p w14:paraId="27D6A36A">
      <w:pPr>
        <w:pStyle w:val="6"/>
        <w:shd w:val="clear" w:color="auto" w:fill="FFFFFF"/>
        <w:spacing w:beforeAutospacing="0" w:afterAutospacing="0" w:line="560" w:lineRule="exact"/>
        <w:jc w:val="center"/>
        <w:rPr>
          <w:rFonts w:ascii="Times New Roman" w:hAnsi="Times New Roman" w:eastAsia="方正小标宋_GBK" w:cs="Times New Roman"/>
          <w:sz w:val="44"/>
          <w:szCs w:val="44"/>
          <w:shd w:val="clear" w:color="auto" w:fill="FFFFFF"/>
        </w:rPr>
      </w:pPr>
    </w:p>
    <w:p w14:paraId="0D7FD54D">
      <w:pPr>
        <w:pStyle w:val="6"/>
        <w:shd w:val="clear" w:color="auto" w:fill="FFFFFF"/>
        <w:spacing w:beforeAutospacing="0" w:afterAutospacing="0" w:line="560" w:lineRule="exact"/>
        <w:jc w:val="center"/>
        <w:rPr>
          <w:rFonts w:ascii="Times New Roman" w:hAnsi="Times New Roman" w:eastAsia="方正小标宋_GBK" w:cs="Times New Roman"/>
          <w:sz w:val="44"/>
          <w:szCs w:val="44"/>
          <w:shd w:val="clear" w:color="auto" w:fill="FFFFFF"/>
        </w:rPr>
      </w:pPr>
    </w:p>
    <w:p w14:paraId="1B33BFCD">
      <w:pPr>
        <w:pStyle w:val="6"/>
        <w:shd w:val="clear" w:color="auto" w:fill="FFFFFF"/>
        <w:spacing w:beforeAutospacing="0" w:afterAutospacing="0" w:line="560" w:lineRule="exact"/>
        <w:jc w:val="center"/>
        <w:rPr>
          <w:rFonts w:ascii="Times New Roman" w:hAnsi="Times New Roman" w:eastAsia="方正小标宋_GBK" w:cs="Times New Roman"/>
          <w:sz w:val="44"/>
          <w:szCs w:val="44"/>
          <w:shd w:val="clear" w:color="auto" w:fill="FFFFFF"/>
        </w:rPr>
      </w:pPr>
    </w:p>
    <w:p w14:paraId="4DFA17AC">
      <w:pPr>
        <w:pStyle w:val="6"/>
        <w:shd w:val="clear" w:color="auto" w:fill="FFFFFF"/>
        <w:spacing w:beforeAutospacing="0" w:afterAutospacing="0" w:line="560" w:lineRule="exact"/>
        <w:jc w:val="center"/>
        <w:rPr>
          <w:rFonts w:ascii="Times New Roman" w:hAnsi="Times New Roman" w:eastAsia="方正小标宋_GBK" w:cs="Times New Roman"/>
          <w:sz w:val="44"/>
          <w:szCs w:val="44"/>
          <w:shd w:val="clear" w:color="auto" w:fill="FFFFFF"/>
        </w:rPr>
      </w:pPr>
    </w:p>
    <w:p w14:paraId="789F972B">
      <w:pPr>
        <w:pStyle w:val="6"/>
        <w:shd w:val="clear" w:color="auto" w:fill="FFFFFF"/>
        <w:spacing w:beforeAutospacing="0" w:afterAutospacing="0" w:line="560" w:lineRule="exact"/>
        <w:jc w:val="center"/>
        <w:rPr>
          <w:rFonts w:ascii="Times New Roman" w:hAnsi="Times New Roman" w:eastAsia="方正小标宋_GBK" w:cs="Times New Roman"/>
          <w:sz w:val="44"/>
          <w:szCs w:val="44"/>
          <w:shd w:val="clear" w:color="auto" w:fill="FFFFFF"/>
        </w:rPr>
      </w:pPr>
    </w:p>
    <w:p w14:paraId="0322BC70">
      <w:pPr>
        <w:pStyle w:val="6"/>
        <w:shd w:val="clear" w:color="auto" w:fill="FFFFFF"/>
        <w:spacing w:beforeAutospacing="0" w:afterAutospacing="0" w:line="560" w:lineRule="exact"/>
        <w:jc w:val="center"/>
        <w:rPr>
          <w:rFonts w:ascii="Times New Roman" w:hAnsi="Times New Roman" w:eastAsia="方正小标宋_GBK" w:cs="Times New Roman"/>
          <w:sz w:val="44"/>
          <w:szCs w:val="44"/>
          <w:shd w:val="clear" w:color="auto" w:fill="FFFFFF"/>
        </w:rPr>
      </w:pPr>
    </w:p>
    <w:p w14:paraId="0E655CF1">
      <w:pPr>
        <w:pStyle w:val="6"/>
        <w:shd w:val="clear" w:color="auto" w:fill="FFFFFF"/>
        <w:spacing w:beforeAutospacing="0" w:afterAutospacing="0" w:line="560" w:lineRule="exact"/>
        <w:jc w:val="center"/>
        <w:rPr>
          <w:rFonts w:ascii="Times New Roman" w:hAnsi="Times New Roman" w:eastAsia="方正小标宋_GBK" w:cs="Times New Roman"/>
          <w:sz w:val="44"/>
          <w:szCs w:val="44"/>
          <w:shd w:val="clear" w:color="auto" w:fill="FFFFFF"/>
        </w:rPr>
      </w:pPr>
    </w:p>
    <w:p w14:paraId="1E62A765">
      <w:pPr>
        <w:spacing w:line="560" w:lineRule="exact"/>
        <w:rPr>
          <w:rFonts w:ascii="Times New Roman" w:hAnsi="Times New Roman"/>
        </w:rPr>
      </w:pPr>
    </w:p>
    <w:p w14:paraId="7FE37039">
      <w:pPr>
        <w:overflowPunct w:val="0"/>
        <w:spacing w:line="560" w:lineRule="exact"/>
        <w:jc w:val="center"/>
        <w:rPr>
          <w:rFonts w:ascii="Times New Roman" w:hAnsi="Times New Roman" w:eastAsia="仿宋_GB2312"/>
          <w:sz w:val="32"/>
          <w:szCs w:val="32"/>
        </w:rPr>
      </w:pPr>
    </w:p>
    <w:p w14:paraId="77A0C665">
      <w:pPr>
        <w:tabs>
          <w:tab w:val="left" w:pos="284"/>
        </w:tabs>
        <w:spacing w:line="580" w:lineRule="exact"/>
        <w:ind w:firstLine="266" w:firstLineChars="98"/>
        <w:rPr>
          <w:rFonts w:hint="eastAsia" w:ascii="仿宋_GB2312" w:hAnsi="华文中宋" w:eastAsia="仿宋_GB2312"/>
          <w:color w:val="000000"/>
          <w:sz w:val="28"/>
          <w:szCs w:val="28"/>
        </w:rPr>
      </w:pPr>
      <w:bookmarkStart w:id="39" w:name="title"/>
      <w:bookmarkEnd w:id="39"/>
    </w:p>
    <w:sectPr>
      <w:footerReference r:id="rId17" w:type="default"/>
      <w:footerReference r:id="rId18" w:type="even"/>
      <w:pgSz w:w="11906" w:h="16838"/>
      <w:pgMar w:top="2041" w:right="1474" w:bottom="1928" w:left="1588" w:header="851" w:footer="1493" w:gutter="0"/>
      <w:cols w:space="720" w:num="1"/>
      <w:docGrid w:type="linesAndChars" w:linePitch="312" w:charSpace="-184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楷体_GB2312">
    <w:altName w:val="楷体"/>
    <w:panose1 w:val="02010609030101010101"/>
    <w:charset w:val="86"/>
    <w:family w:val="modern"/>
    <w:pitch w:val="default"/>
    <w:sig w:usb0="00000001" w:usb1="080E0000" w:usb2="00000000" w:usb3="00000000" w:csb0="00040000" w:csb1="00000000"/>
  </w:font>
  <w:font w:name="仿宋_GB2312">
    <w:altName w:val="仿宋"/>
    <w:panose1 w:val="02010609030101010101"/>
    <w:charset w:val="86"/>
    <w:family w:val="modern"/>
    <w:pitch w:val="default"/>
    <w:sig w:usb0="00000001" w:usb1="080E0000" w:usb2="00000000" w:usb3="00000000" w:csb0="00040000" w:csb1="00000000"/>
  </w:font>
  <w:font w:name="方正小标宋_GBK">
    <w:altName w:val="微软雅黑"/>
    <w:panose1 w:val="03000509000000000000"/>
    <w:charset w:val="86"/>
    <w:family w:val="script"/>
    <w:pitch w:val="default"/>
    <w:sig w:usb0="00000001" w:usb1="080E0000" w:usb2="00000000" w:usb3="00000000" w:csb0="00040000" w:csb1="00000000"/>
  </w:font>
  <w:font w:name="方正小标宋简体">
    <w:altName w:val="方正舒体"/>
    <w:panose1 w:val="03000509000000000000"/>
    <w:charset w:val="86"/>
    <w:family w:val="auto"/>
    <w:pitch w:val="default"/>
    <w:sig w:usb0="00000001" w:usb1="080E0000" w:usb2="00000000" w:usb3="00000000" w:csb0="00040000" w:csb1="00000000"/>
  </w:font>
  <w:font w:name="方正仿宋_GBK">
    <w:altName w:val="微软雅黑"/>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5CAE28">
    <w:pPr>
      <w:pStyle w:val="4"/>
      <w:framePr w:wrap="around" w:vAnchor="text" w:hAnchor="margin" w:xAlign="outside" w:y="1"/>
      <w:rPr>
        <w:rStyle w:val="10"/>
        <w:rFonts w:ascii="宋体" w:hAnsi="宋体"/>
        <w:sz w:val="28"/>
        <w:szCs w:val="28"/>
      </w:rPr>
    </w:pPr>
    <w:r>
      <w:rPr>
        <w:rStyle w:val="10"/>
        <w:rFonts w:hint="eastAsia" w:ascii="宋体" w:hAnsi="宋体"/>
        <w:color w:val="FFFFFF"/>
        <w:sz w:val="28"/>
        <w:szCs w:val="28"/>
      </w:rPr>
      <w:t>—</w:t>
    </w:r>
    <w:r>
      <w:rPr>
        <w:rStyle w:val="10"/>
        <w:rFonts w:hint="eastAsia" w:ascii="宋体" w:hAnsi="宋体"/>
        <w:sz w:val="28"/>
        <w:szCs w:val="28"/>
      </w:rPr>
      <w:t xml:space="preserve">— </w:t>
    </w:r>
    <w:r>
      <w:rPr>
        <w:rStyle w:val="10"/>
        <w:rFonts w:ascii="宋体" w:hAnsi="宋体"/>
        <w:sz w:val="28"/>
        <w:szCs w:val="28"/>
      </w:rPr>
      <w:fldChar w:fldCharType="begin"/>
    </w:r>
    <w:r>
      <w:rPr>
        <w:rStyle w:val="10"/>
        <w:rFonts w:ascii="宋体" w:hAnsi="宋体"/>
        <w:sz w:val="28"/>
        <w:szCs w:val="28"/>
      </w:rPr>
      <w:instrText xml:space="preserve">PAGE  </w:instrText>
    </w:r>
    <w:r>
      <w:rPr>
        <w:rStyle w:val="10"/>
        <w:rFonts w:ascii="宋体" w:hAnsi="宋体"/>
        <w:sz w:val="28"/>
        <w:szCs w:val="28"/>
      </w:rPr>
      <w:fldChar w:fldCharType="separate"/>
    </w:r>
    <w:r>
      <w:rPr>
        <w:rStyle w:val="10"/>
        <w:rFonts w:ascii="宋体" w:hAnsi="宋体"/>
        <w:sz w:val="28"/>
        <w:szCs w:val="28"/>
        <w:lang/>
      </w:rPr>
      <w:t>16</w:t>
    </w:r>
    <w:r>
      <w:rPr>
        <w:rStyle w:val="10"/>
        <w:rFonts w:ascii="宋体" w:hAnsi="宋体"/>
        <w:sz w:val="28"/>
        <w:szCs w:val="28"/>
      </w:rPr>
      <w:fldChar w:fldCharType="end"/>
    </w:r>
    <w:r>
      <w:rPr>
        <w:rStyle w:val="10"/>
        <w:rFonts w:hint="eastAsia" w:ascii="宋体" w:hAnsi="宋体"/>
        <w:sz w:val="28"/>
        <w:szCs w:val="28"/>
      </w:rPr>
      <w:t xml:space="preserve"> —</w:t>
    </w:r>
    <w:r>
      <w:rPr>
        <w:rStyle w:val="10"/>
        <w:rFonts w:hint="eastAsia" w:ascii="宋体" w:hAnsi="宋体"/>
        <w:color w:val="FFFFFF"/>
        <w:sz w:val="28"/>
        <w:szCs w:val="28"/>
      </w:rPr>
      <w:t>—</w:t>
    </w:r>
  </w:p>
  <w:p w14:paraId="10CC987D">
    <w:pPr>
      <w:pStyle w:val="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D00404">
    <w:pPr>
      <w:pStyle w:val="4"/>
      <w:framePr w:wrap="around" w:vAnchor="text" w:hAnchor="margin" w:xAlign="outside" w:y="1"/>
      <w:ind w:left="211" w:leftChars="74" w:hanging="56" w:hangingChars="20"/>
      <w:rPr>
        <w:rStyle w:val="10"/>
        <w:rFonts w:ascii="宋体"/>
        <w:sz w:val="28"/>
        <w:szCs w:val="28"/>
      </w:rPr>
    </w:pPr>
    <w:r>
      <w:rPr>
        <w:rStyle w:val="10"/>
        <w:rFonts w:ascii="宋体" w:hAnsi="宋体" w:cs="宋体"/>
        <w:sz w:val="28"/>
        <w:szCs w:val="28"/>
      </w:rPr>
      <w:t xml:space="preserve">— </w:t>
    </w:r>
    <w:r>
      <w:rPr>
        <w:rStyle w:val="10"/>
        <w:rFonts w:ascii="宋体" w:hAnsi="宋体" w:cs="宋体"/>
        <w:sz w:val="28"/>
        <w:szCs w:val="28"/>
      </w:rPr>
      <w:fldChar w:fldCharType="begin"/>
    </w:r>
    <w:r>
      <w:rPr>
        <w:rStyle w:val="10"/>
        <w:rFonts w:ascii="宋体" w:hAnsi="宋体" w:cs="宋体"/>
        <w:sz w:val="28"/>
        <w:szCs w:val="28"/>
      </w:rPr>
      <w:instrText xml:space="preserve">PAGE  </w:instrText>
    </w:r>
    <w:r>
      <w:rPr>
        <w:rStyle w:val="10"/>
        <w:rFonts w:ascii="宋体" w:hAnsi="宋体" w:cs="宋体"/>
        <w:sz w:val="28"/>
        <w:szCs w:val="28"/>
      </w:rPr>
      <w:fldChar w:fldCharType="separate"/>
    </w:r>
    <w:r>
      <w:rPr>
        <w:rStyle w:val="10"/>
        <w:rFonts w:ascii="宋体" w:hAnsi="宋体" w:cs="宋体"/>
        <w:sz w:val="28"/>
        <w:szCs w:val="28"/>
      </w:rPr>
      <w:t>2</w:t>
    </w:r>
    <w:r>
      <w:rPr>
        <w:rStyle w:val="10"/>
        <w:rFonts w:ascii="宋体" w:hAnsi="宋体" w:cs="宋体"/>
        <w:sz w:val="28"/>
        <w:szCs w:val="28"/>
      </w:rPr>
      <w:fldChar w:fldCharType="end"/>
    </w:r>
    <w:r>
      <w:rPr>
        <w:rStyle w:val="10"/>
        <w:rFonts w:ascii="宋体" w:hAnsi="宋体" w:cs="宋体"/>
        <w:sz w:val="28"/>
        <w:szCs w:val="28"/>
      </w:rPr>
      <w:t xml:space="preserve"> —</w:t>
    </w:r>
  </w:p>
  <w:p w14:paraId="3CAD79D3">
    <w:pPr>
      <w:pStyle w:val="4"/>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2C77B7">
    <w:pPr>
      <w:pStyle w:val="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690738">
    <w:pPr>
      <w:pStyle w:val="4"/>
      <w:framePr w:wrap="around" w:vAnchor="text" w:hAnchor="margin" w:xAlign="outside" w:y="1"/>
      <w:rPr>
        <w:rStyle w:val="10"/>
        <w:rFonts w:ascii="宋体" w:hAnsi="宋体"/>
        <w:sz w:val="28"/>
        <w:szCs w:val="28"/>
      </w:rPr>
    </w:pPr>
    <w:r>
      <w:rPr>
        <w:rStyle w:val="10"/>
        <w:rFonts w:hint="eastAsia" w:ascii="宋体" w:hAnsi="宋体"/>
        <w:color w:val="FFFFFF"/>
        <w:sz w:val="28"/>
        <w:szCs w:val="28"/>
      </w:rPr>
      <w:t>—</w:t>
    </w:r>
    <w:r>
      <w:rPr>
        <w:rStyle w:val="10"/>
        <w:rFonts w:hint="eastAsia" w:ascii="宋体" w:hAnsi="宋体"/>
        <w:sz w:val="28"/>
        <w:szCs w:val="28"/>
      </w:rPr>
      <w:t xml:space="preserve">— </w:t>
    </w:r>
    <w:r>
      <w:rPr>
        <w:rStyle w:val="10"/>
        <w:rFonts w:ascii="宋体" w:hAnsi="宋体"/>
        <w:sz w:val="28"/>
        <w:szCs w:val="28"/>
      </w:rPr>
      <w:fldChar w:fldCharType="begin"/>
    </w:r>
    <w:r>
      <w:rPr>
        <w:rStyle w:val="10"/>
        <w:rFonts w:ascii="宋体" w:hAnsi="宋体"/>
        <w:sz w:val="28"/>
        <w:szCs w:val="28"/>
      </w:rPr>
      <w:instrText xml:space="preserve">PAGE  </w:instrText>
    </w:r>
    <w:r>
      <w:rPr>
        <w:rStyle w:val="10"/>
        <w:rFonts w:ascii="宋体" w:hAnsi="宋体"/>
        <w:sz w:val="28"/>
        <w:szCs w:val="28"/>
      </w:rPr>
      <w:fldChar w:fldCharType="separate"/>
    </w:r>
    <w:r>
      <w:rPr>
        <w:rStyle w:val="10"/>
        <w:rFonts w:ascii="宋体" w:hAnsi="宋体"/>
        <w:sz w:val="28"/>
        <w:szCs w:val="28"/>
        <w:lang/>
      </w:rPr>
      <w:t>30</w:t>
    </w:r>
    <w:r>
      <w:rPr>
        <w:rStyle w:val="10"/>
        <w:rFonts w:ascii="宋体" w:hAnsi="宋体"/>
        <w:sz w:val="28"/>
        <w:szCs w:val="28"/>
      </w:rPr>
      <w:fldChar w:fldCharType="end"/>
    </w:r>
    <w:r>
      <w:rPr>
        <w:rStyle w:val="10"/>
        <w:rFonts w:hint="eastAsia" w:ascii="宋体" w:hAnsi="宋体"/>
        <w:sz w:val="28"/>
        <w:szCs w:val="28"/>
      </w:rPr>
      <w:t xml:space="preserve"> —</w:t>
    </w:r>
    <w:r>
      <w:rPr>
        <w:rStyle w:val="10"/>
        <w:rFonts w:hint="eastAsia" w:ascii="宋体" w:hAnsi="宋体"/>
        <w:color w:val="FFFFFF"/>
        <w:sz w:val="28"/>
        <w:szCs w:val="28"/>
      </w:rPr>
      <w:t>—</w:t>
    </w:r>
  </w:p>
  <w:p w14:paraId="344182FC">
    <w:pPr>
      <w:pStyle w:val="4"/>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90BEE8">
    <w:pPr>
      <w:pStyle w:val="4"/>
      <w:framePr w:wrap="around" w:vAnchor="text" w:hAnchor="margin" w:xAlign="outside" w:y="1"/>
      <w:rPr>
        <w:rStyle w:val="10"/>
        <w:rFonts w:ascii="宋体" w:hAnsi="宋体"/>
        <w:sz w:val="28"/>
        <w:szCs w:val="28"/>
      </w:rPr>
    </w:pPr>
    <w:r>
      <w:rPr>
        <w:rStyle w:val="10"/>
        <w:rFonts w:hint="eastAsia" w:ascii="宋体" w:hAnsi="宋体"/>
        <w:color w:val="FFFFFF"/>
        <w:sz w:val="28"/>
        <w:szCs w:val="28"/>
      </w:rPr>
      <w:t>—</w:t>
    </w:r>
    <w:r>
      <w:rPr>
        <w:rStyle w:val="10"/>
        <w:rFonts w:hint="eastAsia" w:ascii="宋体" w:hAnsi="宋体"/>
        <w:sz w:val="28"/>
        <w:szCs w:val="28"/>
      </w:rPr>
      <w:t xml:space="preserve">— </w:t>
    </w:r>
    <w:r>
      <w:rPr>
        <w:rStyle w:val="10"/>
        <w:rFonts w:ascii="宋体" w:hAnsi="宋体"/>
        <w:sz w:val="28"/>
        <w:szCs w:val="28"/>
      </w:rPr>
      <w:fldChar w:fldCharType="begin"/>
    </w:r>
    <w:r>
      <w:rPr>
        <w:rStyle w:val="10"/>
        <w:rFonts w:ascii="宋体" w:hAnsi="宋体"/>
        <w:sz w:val="28"/>
        <w:szCs w:val="28"/>
      </w:rPr>
      <w:instrText xml:space="preserve">PAGE  </w:instrText>
    </w:r>
    <w:r>
      <w:rPr>
        <w:rStyle w:val="10"/>
        <w:rFonts w:ascii="宋体" w:hAnsi="宋体"/>
        <w:sz w:val="28"/>
        <w:szCs w:val="28"/>
      </w:rPr>
      <w:fldChar w:fldCharType="separate"/>
    </w:r>
    <w:r>
      <w:rPr>
        <w:rStyle w:val="10"/>
        <w:rFonts w:ascii="宋体" w:hAnsi="宋体"/>
        <w:sz w:val="28"/>
        <w:szCs w:val="28"/>
        <w:lang/>
      </w:rPr>
      <w:t>51</w:t>
    </w:r>
    <w:r>
      <w:rPr>
        <w:rStyle w:val="10"/>
        <w:rFonts w:ascii="宋体" w:hAnsi="宋体"/>
        <w:sz w:val="28"/>
        <w:szCs w:val="28"/>
      </w:rPr>
      <w:fldChar w:fldCharType="end"/>
    </w:r>
    <w:r>
      <w:rPr>
        <w:rStyle w:val="10"/>
        <w:rFonts w:hint="eastAsia" w:ascii="宋体" w:hAnsi="宋体"/>
        <w:sz w:val="28"/>
        <w:szCs w:val="28"/>
      </w:rPr>
      <w:t xml:space="preserve"> —</w:t>
    </w:r>
    <w:r>
      <w:rPr>
        <w:rStyle w:val="10"/>
        <w:rFonts w:hint="eastAsia" w:ascii="宋体" w:hAnsi="宋体"/>
        <w:color w:val="FFFFFF"/>
        <w:sz w:val="28"/>
        <w:szCs w:val="28"/>
      </w:rPr>
      <w:t>—</w:t>
    </w:r>
  </w:p>
  <w:p w14:paraId="27686F79">
    <w:pPr>
      <w:pStyle w:val="4"/>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3D6F86">
    <w:pPr>
      <w:pStyle w:val="4"/>
      <w:framePr w:wrap="around" w:vAnchor="text" w:hAnchor="margin" w:xAlign="outside" w:y="1"/>
      <w:ind w:left="211" w:leftChars="74" w:hanging="56" w:hangingChars="20"/>
      <w:rPr>
        <w:rStyle w:val="10"/>
        <w:rFonts w:ascii="宋体"/>
        <w:sz w:val="28"/>
        <w:szCs w:val="28"/>
      </w:rPr>
    </w:pPr>
    <w:r>
      <w:rPr>
        <w:rStyle w:val="10"/>
        <w:rFonts w:ascii="宋体" w:hAnsi="宋体" w:cs="宋体"/>
        <w:sz w:val="28"/>
        <w:szCs w:val="28"/>
      </w:rPr>
      <w:t xml:space="preserve">— </w:t>
    </w:r>
    <w:r>
      <w:rPr>
        <w:rStyle w:val="10"/>
        <w:rFonts w:ascii="宋体" w:hAnsi="宋体" w:cs="宋体"/>
        <w:sz w:val="28"/>
        <w:szCs w:val="28"/>
      </w:rPr>
      <w:fldChar w:fldCharType="begin"/>
    </w:r>
    <w:r>
      <w:rPr>
        <w:rStyle w:val="10"/>
        <w:rFonts w:ascii="宋体" w:hAnsi="宋体" w:cs="宋体"/>
        <w:sz w:val="28"/>
        <w:szCs w:val="28"/>
      </w:rPr>
      <w:instrText xml:space="preserve">PAGE  </w:instrText>
    </w:r>
    <w:r>
      <w:rPr>
        <w:rStyle w:val="10"/>
        <w:rFonts w:ascii="宋体" w:hAnsi="宋体" w:cs="宋体"/>
        <w:sz w:val="28"/>
        <w:szCs w:val="28"/>
      </w:rPr>
      <w:fldChar w:fldCharType="separate"/>
    </w:r>
    <w:r>
      <w:rPr>
        <w:rStyle w:val="10"/>
        <w:rFonts w:ascii="宋体" w:hAnsi="宋体" w:cs="宋体"/>
        <w:sz w:val="28"/>
        <w:szCs w:val="28"/>
      </w:rPr>
      <w:t>2</w:t>
    </w:r>
    <w:r>
      <w:rPr>
        <w:rStyle w:val="10"/>
        <w:rFonts w:ascii="宋体" w:hAnsi="宋体" w:cs="宋体"/>
        <w:sz w:val="28"/>
        <w:szCs w:val="28"/>
      </w:rPr>
      <w:fldChar w:fldCharType="end"/>
    </w:r>
    <w:r>
      <w:rPr>
        <w:rStyle w:val="10"/>
        <w:rFonts w:ascii="宋体" w:hAnsi="宋体" w:cs="宋体"/>
        <w:sz w:val="28"/>
        <w:szCs w:val="28"/>
      </w:rPr>
      <w:t xml:space="preserve"> —</w:t>
    </w:r>
  </w:p>
  <w:p w14:paraId="2AADB112">
    <w:pPr>
      <w:pStyle w:val="4"/>
      <w:ind w:right="360"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712330">
    <w:pPr>
      <w:pStyle w:val="4"/>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DB4C60">
    <w:pPr>
      <w:pStyle w:val="4"/>
      <w:framePr w:wrap="around" w:vAnchor="text" w:hAnchor="margin" w:xAlign="outside" w:y="1"/>
      <w:rPr>
        <w:rStyle w:val="10"/>
        <w:rFonts w:hint="eastAsia" w:ascii="宋体" w:hAnsi="宋体"/>
        <w:sz w:val="28"/>
        <w:szCs w:val="28"/>
      </w:rPr>
    </w:pPr>
    <w:r>
      <w:rPr>
        <w:rStyle w:val="10"/>
        <w:rFonts w:hint="eastAsia" w:ascii="宋体" w:hAnsi="宋体"/>
        <w:color w:val="FFFFFF"/>
        <w:sz w:val="28"/>
        <w:szCs w:val="28"/>
      </w:rPr>
      <w:t>—</w:t>
    </w:r>
    <w:r>
      <w:rPr>
        <w:rStyle w:val="10"/>
        <w:rFonts w:hint="eastAsia" w:ascii="宋体" w:hAnsi="宋体"/>
        <w:sz w:val="28"/>
        <w:szCs w:val="28"/>
      </w:rPr>
      <w:t xml:space="preserve">— </w:t>
    </w:r>
    <w:r>
      <w:rPr>
        <w:rFonts w:ascii="宋体" w:hAnsi="宋体"/>
        <w:sz w:val="28"/>
        <w:szCs w:val="28"/>
      </w:rPr>
      <w:fldChar w:fldCharType="begin"/>
    </w:r>
    <w:r>
      <w:rPr>
        <w:rStyle w:val="10"/>
        <w:rFonts w:ascii="宋体" w:hAnsi="宋体"/>
        <w:sz w:val="28"/>
        <w:szCs w:val="28"/>
      </w:rPr>
      <w:instrText xml:space="preserve">PAGE  </w:instrText>
    </w:r>
    <w:r>
      <w:rPr>
        <w:rFonts w:ascii="宋体" w:hAnsi="宋体"/>
        <w:sz w:val="28"/>
        <w:szCs w:val="28"/>
      </w:rPr>
      <w:fldChar w:fldCharType="separate"/>
    </w:r>
    <w:r>
      <w:rPr>
        <w:rStyle w:val="10"/>
        <w:rFonts w:ascii="宋体" w:hAnsi="宋体"/>
        <w:sz w:val="28"/>
        <w:szCs w:val="28"/>
        <w:lang/>
      </w:rPr>
      <w:t>75</w:t>
    </w:r>
    <w:r>
      <w:rPr>
        <w:rFonts w:ascii="宋体" w:hAnsi="宋体"/>
        <w:sz w:val="28"/>
        <w:szCs w:val="28"/>
      </w:rPr>
      <w:fldChar w:fldCharType="end"/>
    </w:r>
    <w:r>
      <w:rPr>
        <w:rStyle w:val="10"/>
        <w:rFonts w:hint="eastAsia" w:ascii="宋体" w:hAnsi="宋体"/>
        <w:sz w:val="28"/>
        <w:szCs w:val="28"/>
      </w:rPr>
      <w:t xml:space="preserve"> —</w:t>
    </w:r>
    <w:r>
      <w:rPr>
        <w:rStyle w:val="10"/>
        <w:rFonts w:hint="eastAsia" w:ascii="宋体" w:hAnsi="宋体"/>
        <w:color w:val="FFFFFF"/>
        <w:sz w:val="28"/>
        <w:szCs w:val="28"/>
      </w:rPr>
      <w:t>—</w:t>
    </w:r>
  </w:p>
  <w:p w14:paraId="46F3D914">
    <w:pPr>
      <w:pStyle w:val="4"/>
      <w:ind w:right="360" w:firstLine="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0BA44">
    <w:pPr>
      <w:pStyle w:val="4"/>
      <w:framePr w:wrap="around" w:vAnchor="text" w:hAnchor="margin" w:xAlign="outside" w:y="1"/>
      <w:ind w:left="211" w:leftChars="74" w:hanging="56" w:hangingChars="20"/>
      <w:rPr>
        <w:rStyle w:val="10"/>
        <w:rFonts w:ascii="宋体"/>
        <w:sz w:val="28"/>
        <w:szCs w:val="28"/>
      </w:rPr>
    </w:pPr>
    <w:r>
      <w:rPr>
        <w:rStyle w:val="10"/>
        <w:rFonts w:ascii="宋体" w:hAnsi="宋体"/>
        <w:sz w:val="28"/>
        <w:szCs w:val="28"/>
      </w:rPr>
      <w:t xml:space="preserve">— </w:t>
    </w:r>
    <w:r>
      <w:rPr>
        <w:rFonts w:ascii="宋体" w:hAnsi="宋体"/>
        <w:sz w:val="28"/>
        <w:szCs w:val="28"/>
      </w:rPr>
      <w:fldChar w:fldCharType="begin"/>
    </w:r>
    <w:r>
      <w:rPr>
        <w:rStyle w:val="10"/>
        <w:rFonts w:ascii="宋体" w:hAnsi="宋体"/>
        <w:sz w:val="28"/>
        <w:szCs w:val="28"/>
      </w:rPr>
      <w:instrText xml:space="preserve">PAGE  </w:instrText>
    </w:r>
    <w:r>
      <w:rPr>
        <w:rFonts w:ascii="宋体" w:hAnsi="宋体"/>
        <w:sz w:val="28"/>
        <w:szCs w:val="28"/>
      </w:rPr>
      <w:fldChar w:fldCharType="separate"/>
    </w:r>
    <w:r>
      <w:rPr>
        <w:rStyle w:val="10"/>
        <w:rFonts w:ascii="宋体" w:hAnsi="宋体"/>
        <w:sz w:val="28"/>
        <w:szCs w:val="28"/>
        <w:lang/>
      </w:rPr>
      <w:t>4</w:t>
    </w:r>
    <w:r>
      <w:rPr>
        <w:rFonts w:ascii="宋体" w:hAnsi="宋体"/>
        <w:sz w:val="28"/>
        <w:szCs w:val="28"/>
      </w:rPr>
      <w:fldChar w:fldCharType="end"/>
    </w:r>
    <w:r>
      <w:rPr>
        <w:rStyle w:val="10"/>
        <w:rFonts w:ascii="宋体" w:hAnsi="宋体"/>
        <w:sz w:val="28"/>
        <w:szCs w:val="28"/>
      </w:rPr>
      <w:t xml:space="preserve"> —</w:t>
    </w:r>
  </w:p>
  <w:p w14:paraId="5FE3291D">
    <w:pPr>
      <w:pStyle w:val="4"/>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F34F7F">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031603">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DB2DA7">
    <w:pPr>
      <w:pStyle w:val="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79C4BF">
    <w:pPr>
      <w:pStyle w:val="5"/>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4D1685">
    <w:pPr>
      <w:pStyle w:val="5"/>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3CDEDA">
    <w:pPr>
      <w:pStyle w:val="5"/>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68793D">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3B5315"/>
    <w:multiLevelType w:val="singleLevel"/>
    <w:tmpl w:val="993B5315"/>
    <w:lvl w:ilvl="0" w:tentative="0">
      <w:start w:val="1"/>
      <w:numFmt w:val="decimal"/>
      <w:suff w:val="nothing"/>
      <w:lvlText w:val="（%1）"/>
      <w:lvlJc w:val="left"/>
    </w:lvl>
  </w:abstractNum>
  <w:abstractNum w:abstractNumId="1">
    <w:nsid w:val="A807722E"/>
    <w:multiLevelType w:val="singleLevel"/>
    <w:tmpl w:val="A807722E"/>
    <w:lvl w:ilvl="0" w:tentative="0">
      <w:start w:val="1"/>
      <w:numFmt w:val="decimal"/>
      <w:suff w:val="nothing"/>
      <w:lvlText w:val="（%1）"/>
      <w:lvlJc w:val="left"/>
    </w:lvl>
  </w:abstractNum>
  <w:abstractNum w:abstractNumId="2">
    <w:nsid w:val="00000003"/>
    <w:multiLevelType w:val="multilevel"/>
    <w:tmpl w:val="00000003"/>
    <w:lvl w:ilvl="0" w:tentative="0">
      <w:start w:val="1"/>
      <w:numFmt w:val="japaneseCounting"/>
      <w:lvlText w:val="%1、"/>
      <w:lvlJc w:val="left"/>
      <w:pPr>
        <w:ind w:left="720" w:hanging="720"/>
      </w:pPr>
      <w:rPr>
        <w:rFonts w:hint="default"/>
      </w:rPr>
    </w:lvl>
    <w:lvl w:ilvl="1" w:tentative="0">
      <w:start w:val="1"/>
      <w:numFmt w:val="decimal"/>
      <w:suff w:val="nothing"/>
      <w:lvlText w:val="（%2）"/>
      <w:lvlJc w:val="left"/>
      <w:pPr>
        <w:ind w:left="0" w:firstLine="400"/>
      </w:pPr>
      <w:rPr>
        <w:rFonts w:hint="default"/>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3">
    <w:nsid w:val="00000005"/>
    <w:multiLevelType w:val="singleLevel"/>
    <w:tmpl w:val="00000005"/>
    <w:lvl w:ilvl="0" w:tentative="0">
      <w:start w:val="1"/>
      <w:numFmt w:val="decimal"/>
      <w:suff w:val="nothing"/>
      <w:lvlText w:val="（%1）"/>
      <w:lvlJc w:val="left"/>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lhYTc5NDc4NDUxMTc0YzljM2FkNzNkNjQyOGQ0Y2EifQ=="/>
  </w:docVars>
  <w:rsids>
    <w:rsidRoot w:val="00D3351B"/>
    <w:rsid w:val="000420BD"/>
    <w:rsid w:val="000A73EE"/>
    <w:rsid w:val="000B09E0"/>
    <w:rsid w:val="001222EA"/>
    <w:rsid w:val="00122BE8"/>
    <w:rsid w:val="00202C2F"/>
    <w:rsid w:val="00215D90"/>
    <w:rsid w:val="002D2E0F"/>
    <w:rsid w:val="002D6EE2"/>
    <w:rsid w:val="002F5FE8"/>
    <w:rsid w:val="00370357"/>
    <w:rsid w:val="003E74B0"/>
    <w:rsid w:val="003F5814"/>
    <w:rsid w:val="00401FC6"/>
    <w:rsid w:val="00411455"/>
    <w:rsid w:val="00460EFB"/>
    <w:rsid w:val="004C2F08"/>
    <w:rsid w:val="00525100"/>
    <w:rsid w:val="0053177A"/>
    <w:rsid w:val="005E0E26"/>
    <w:rsid w:val="00694B67"/>
    <w:rsid w:val="006E65F0"/>
    <w:rsid w:val="0074142B"/>
    <w:rsid w:val="007A4EBD"/>
    <w:rsid w:val="00804B11"/>
    <w:rsid w:val="00875980"/>
    <w:rsid w:val="00921993"/>
    <w:rsid w:val="00921FC2"/>
    <w:rsid w:val="00935B19"/>
    <w:rsid w:val="00964030"/>
    <w:rsid w:val="009B7E84"/>
    <w:rsid w:val="009C0316"/>
    <w:rsid w:val="009E6209"/>
    <w:rsid w:val="00AA3ED0"/>
    <w:rsid w:val="00AB10F2"/>
    <w:rsid w:val="00AB3BB1"/>
    <w:rsid w:val="00B01059"/>
    <w:rsid w:val="00B0206F"/>
    <w:rsid w:val="00B70FAB"/>
    <w:rsid w:val="00C00B7D"/>
    <w:rsid w:val="00CD04D4"/>
    <w:rsid w:val="00CD0893"/>
    <w:rsid w:val="00CE4DC5"/>
    <w:rsid w:val="00D235BF"/>
    <w:rsid w:val="00D2475E"/>
    <w:rsid w:val="00D3351B"/>
    <w:rsid w:val="00D5604E"/>
    <w:rsid w:val="00DD3670"/>
    <w:rsid w:val="00DE276D"/>
    <w:rsid w:val="00DE502E"/>
    <w:rsid w:val="00DF43A8"/>
    <w:rsid w:val="00E143A5"/>
    <w:rsid w:val="00E26A8F"/>
    <w:rsid w:val="00EC7717"/>
    <w:rsid w:val="00F259FE"/>
    <w:rsid w:val="00F31E0B"/>
    <w:rsid w:val="00F44B77"/>
    <w:rsid w:val="00F60966"/>
    <w:rsid w:val="00F92B66"/>
    <w:rsid w:val="00FA51B1"/>
    <w:rsid w:val="00FB0E72"/>
    <w:rsid w:val="00FD4CF8"/>
    <w:rsid w:val="0C155445"/>
    <w:rsid w:val="174E16C6"/>
    <w:rsid w:val="26456BE3"/>
    <w:rsid w:val="272808FC"/>
    <w:rsid w:val="3F824CA0"/>
    <w:rsid w:val="57B15B12"/>
    <w:rsid w:val="5B52300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kern w:val="2"/>
      <w:sz w:val="21"/>
      <w:szCs w:val="24"/>
      <w:lang w:val="en-US" w:eastAsia="zh-CN" w:bidi="ar-SA"/>
    </w:rPr>
  </w:style>
  <w:style w:type="paragraph" w:styleId="2">
    <w:name w:val="heading 2"/>
    <w:basedOn w:val="1"/>
    <w:next w:val="1"/>
    <w:qFormat/>
    <w:uiPriority w:val="0"/>
    <w:pPr>
      <w:keepNext/>
      <w:keepLines/>
      <w:adjustRightInd w:val="0"/>
      <w:snapToGrid w:val="0"/>
      <w:spacing w:beforeLines="0" w:beforeAutospacing="0" w:afterLines="0" w:afterAutospacing="0" w:line="560" w:lineRule="exact"/>
      <w:ind w:firstLine="862" w:firstLineChars="200"/>
      <w:outlineLvl w:val="1"/>
    </w:pPr>
    <w:rPr>
      <w:rFonts w:ascii="Arial" w:hAnsi="Arial" w:eastAsia="楷体_GB2312"/>
      <w:sz w:val="32"/>
    </w:rPr>
  </w:style>
  <w:style w:type="character" w:default="1" w:styleId="9">
    <w:name w:val="Default Paragraph Font"/>
    <w:semiHidden/>
    <w:uiPriority w:val="0"/>
  </w:style>
  <w:style w:type="table" w:default="1" w:styleId="7">
    <w:name w:val="Normal Table"/>
    <w:semiHidden/>
    <w:uiPriority w:val="0"/>
    <w:tblPr>
      <w:tblStyle w:val="7"/>
      <w:tblCellMar>
        <w:top w:w="0" w:type="dxa"/>
        <w:left w:w="108" w:type="dxa"/>
        <w:bottom w:w="0" w:type="dxa"/>
        <w:right w:w="108" w:type="dxa"/>
      </w:tblCellMar>
    </w:tblPr>
  </w:style>
  <w:style w:type="paragraph" w:styleId="3">
    <w:name w:val="Body Text"/>
    <w:basedOn w:val="1"/>
    <w:qFormat/>
    <w:uiPriority w:val="0"/>
    <w:pPr>
      <w:spacing w:after="120"/>
    </w:pPr>
  </w:style>
  <w:style w:type="paragraph" w:styleId="4">
    <w:name w:val="footer"/>
    <w:basedOn w:val="1"/>
    <w:uiPriority w:val="0"/>
    <w:pPr>
      <w:tabs>
        <w:tab w:val="center" w:pos="4153"/>
        <w:tab w:val="right" w:pos="8306"/>
      </w:tabs>
      <w:snapToGrid w:val="0"/>
      <w:jc w:val="left"/>
    </w:pPr>
    <w:rPr>
      <w:sz w:val="18"/>
      <w:szCs w:val="18"/>
    </w:rPr>
  </w:style>
  <w:style w:type="paragraph" w:styleId="5">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qFormat/>
    <w:uiPriority w:val="0"/>
    <w:pPr>
      <w:widowControl w:val="0"/>
      <w:jc w:val="both"/>
    </w:pPr>
    <w:tblPr>
      <w:tblStyle w:val="7"/>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uiPriority w:val="0"/>
    <w:rPr>
      <w:rFonts w:cs="Times New Roman"/>
    </w:rPr>
  </w:style>
  <w:style w:type="character" w:customStyle="1" w:styleId="11">
    <w:name w:val="font151"/>
    <w:basedOn w:val="9"/>
    <w:qFormat/>
    <w:uiPriority w:val="0"/>
    <w:rPr>
      <w:rFonts w:hint="eastAsia" w:ascii="宋体" w:hAnsi="宋体" w:eastAsia="宋体" w:cs="宋体"/>
      <w:color w:val="000000"/>
      <w:sz w:val="20"/>
      <w:szCs w:val="20"/>
      <w:u w:val="none"/>
    </w:rPr>
  </w:style>
  <w:style w:type="character" w:customStyle="1" w:styleId="12">
    <w:name w:val="公文文号"/>
    <w:basedOn w:val="9"/>
    <w:uiPriority w:val="0"/>
    <w:rPr>
      <w:rFonts w:eastAsia="仿宋_GB2312" w:cs="Times New Roman"/>
      <w:sz w:val="32"/>
    </w:rPr>
  </w:style>
  <w:style w:type="character" w:customStyle="1" w:styleId="13">
    <w:name w:val="font171"/>
    <w:basedOn w:val="9"/>
    <w:qFormat/>
    <w:uiPriority w:val="0"/>
    <w:rPr>
      <w:rFonts w:hint="default" w:ascii="仿宋_GB2312" w:eastAsia="仿宋_GB2312" w:cs="仿宋_GB2312"/>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9.xml"/><Relationship Id="rId17" Type="http://schemas.openxmlformats.org/officeDocument/2006/relationships/footer" Target="footer8.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header" Target="header7.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75</Pages>
  <Words>6882</Words>
  <Characters>7057</Characters>
  <Lines>235</Lines>
  <Paragraphs>66</Paragraphs>
  <TotalTime>10</TotalTime>
  <ScaleCrop>false</ScaleCrop>
  <LinksUpToDate>false</LinksUpToDate>
  <CharactersWithSpaces>7220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2019-12-31T08:19:00Z</dcterms:created>
  <dc:creator>hp</dc:creator>
  <cp:lastModifiedBy>符号</cp:lastModifiedBy>
  <cp:lastPrinted>2020-01-02T01:05:00Z</cp:lastPrinted>
  <dcterms:modified xsi:type="dcterms:W3CDTF">2026-07-15T08:30:01Z</dcterms:modified>
  <dc:title>昆  明  市  人  民  政  府</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14AE1DE2290842CEB1A5049584100F09_13</vt:lpwstr>
  </property>
  <property fmtid="{D5CDD505-2E9C-101B-9397-08002B2CF9AE}" pid="4" name="KSOTemplateDocerSaveRecord">
    <vt:lpwstr>eyJoZGlkIjoiNGI0NTYxYTJlZGY2MTJiZTAzNTdkNzA5NGExNjZkYTMiLCJ1c2VySWQiOiIzNjE2NjA5NTcifQ==</vt:lpwstr>
  </property>
</Properties>
</file>