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eastAsia="zh-CN"/>
        </w:rPr>
        <w:t>古渡启新・智守合规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Times New Roman" w:hAnsi="Times New Roman" w:eastAsia="楷体_GB2312" w:cs="楷体_GB2312"/>
          <w:b w:val="0"/>
          <w:bCs w:val="0"/>
          <w:sz w:val="32"/>
          <w:szCs w:val="32"/>
        </w:rPr>
      </w:pPr>
      <w:r>
        <w:rPr>
          <w:rFonts w:hint="eastAsia" w:ascii="Times New Roman" w:hAnsi="Times New Roman" w:eastAsia="楷体_GB2312" w:cs="楷体_GB2312"/>
          <w:b w:val="0"/>
          <w:bCs w:val="0"/>
          <w:sz w:val="32"/>
          <w:szCs w:val="32"/>
        </w:rPr>
        <w:t>官渡</w:t>
      </w:r>
      <w:r>
        <w:rPr>
          <w:rFonts w:hint="eastAsia" w:ascii="Times New Roman" w:hAnsi="Times New Roman" w:eastAsia="楷体_GB2312" w:cs="楷体_GB2312"/>
          <w:b w:val="0"/>
          <w:bCs w:val="0"/>
          <w:sz w:val="32"/>
          <w:szCs w:val="32"/>
          <w:lang w:eastAsia="zh-CN"/>
        </w:rPr>
        <w:t>区</w:t>
      </w:r>
      <w:r>
        <w:rPr>
          <w:rFonts w:hint="eastAsia" w:ascii="Times New Roman" w:hAnsi="Times New Roman" w:eastAsia="楷体_GB2312" w:cs="楷体_GB2312"/>
          <w:b w:val="0"/>
          <w:bCs w:val="0"/>
          <w:sz w:val="32"/>
          <w:szCs w:val="32"/>
        </w:rPr>
        <w:t>AI赋能单人创业市场主体合规指引与风险防控实操手册</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pPr>
        <w:keepNext w:val="0"/>
        <w:keepLines w:val="0"/>
        <w:pageBreakBefore w:val="0"/>
        <w:kinsoku/>
        <w:wordWrap w:val="0"/>
        <w:overflowPunct/>
        <w:topLinePunct w:val="0"/>
        <w:autoSpaceDE/>
        <w:autoSpaceDN/>
        <w:bidi w:val="0"/>
        <w:adjustRightInd/>
        <w:snapToGrid/>
        <w:spacing w:line="560" w:lineRule="exact"/>
        <w:jc w:val="both"/>
        <w:textAlignment w:val="auto"/>
        <w:rPr>
          <w:rFonts w:hint="eastAsia" w:ascii="Times New Roman" w:hAnsi="Times New Roman" w:eastAsia="宋体" w:cs="宋体"/>
          <w:sz w:val="21"/>
          <w:szCs w:val="21"/>
          <w:lang w:eastAsia="zh-CN"/>
        </w:rPr>
      </w:pPr>
    </w:p>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审定发布：官渡区人民政府</w:t>
      </w:r>
    </w:p>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编制单位：</w:t>
      </w:r>
      <w:r>
        <w:rPr>
          <w:rFonts w:hint="eastAsia" w:ascii="Times New Roman" w:hAnsi="Times New Roman" w:eastAsia="仿宋_GB2312" w:cs="仿宋_GB2312"/>
          <w:sz w:val="32"/>
          <w:szCs w:val="32"/>
          <w:lang w:eastAsia="zh-CN"/>
        </w:rPr>
        <w:t>官渡区</w:t>
      </w:r>
      <w:r>
        <w:rPr>
          <w:rFonts w:hint="eastAsia" w:ascii="Times New Roman" w:hAnsi="Times New Roman" w:eastAsia="仿宋_GB2312" w:cs="仿宋_GB2312"/>
          <w:sz w:val="32"/>
          <w:szCs w:val="32"/>
        </w:rPr>
        <w:t>市场监督管理局</w:t>
      </w:r>
    </w:p>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版本：动态修订版</w:t>
      </w:r>
    </w:p>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宋体" w:cs="宋体"/>
          <w:sz w:val="21"/>
          <w:szCs w:val="21"/>
        </w:rPr>
      </w:pPr>
    </w:p>
    <w:p>
      <w:pPr>
        <w:keepNext w:val="0"/>
        <w:keepLines w:val="0"/>
        <w:pageBreakBefore w:val="0"/>
        <w:kinsoku/>
        <w:wordWrap w:val="0"/>
        <w:overflowPunct/>
        <w:topLinePunct w:val="0"/>
        <w:autoSpaceDE/>
        <w:autoSpaceDN/>
        <w:bidi w:val="0"/>
        <w:adjustRightInd/>
        <w:snapToGrid/>
        <w:spacing w:line="560" w:lineRule="exact"/>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前言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当前，以人工智能为核心生产工具的轻量化单人创业模式在官渡区蓬勃兴起，大量自然人依托 AI 技术设立一人有限责任公司，深耕数字文创、咨询服务、线上运营、技术外包等多元赛道，成为我区培育和发展新质生产力、激活民营小微创业活力的重要新生力量。官渡区作为昆明市主城核心区，数字经济集聚效应凸显，线上新业态、轻量化创业主体数量增长迅速，但该类</w:t>
      </w:r>
      <w:r>
        <w:rPr>
          <w:rFonts w:hint="eastAsia" w:ascii="Times New Roman" w:hAnsi="Times New Roman" w:eastAsia="仿宋_GB2312" w:cs="仿宋_GB2312"/>
          <w:b/>
          <w:bCs/>
          <w:sz w:val="32"/>
          <w:szCs w:val="32"/>
        </w:rPr>
        <w:t>AI 赋能单人创业市场主体（简称 AI</w:t>
      </w:r>
      <w:r>
        <w:rPr>
          <w:rFonts w:hint="eastAsia" w:ascii="Times New Roman" w:hAnsi="Times New Roman" w:eastAsia="仿宋_GB2312" w:cs="仿宋_GB2312"/>
          <w:b/>
          <w:bCs/>
          <w:sz w:val="32"/>
          <w:szCs w:val="32"/>
        </w:rPr>
        <w:noBreakHyphen/>
      </w:r>
      <w:r>
        <w:rPr>
          <w:rFonts w:hint="eastAsia" w:ascii="Times New Roman" w:hAnsi="Times New Roman" w:eastAsia="仿宋_GB2312" w:cs="仿宋_GB2312"/>
          <w:b/>
          <w:bCs/>
          <w:sz w:val="32"/>
          <w:szCs w:val="32"/>
        </w:rPr>
        <w:t>OPC）</w:t>
      </w:r>
      <w:r>
        <w:rPr>
          <w:rFonts w:hint="eastAsia" w:ascii="Times New Roman" w:hAnsi="Times New Roman" w:eastAsia="仿宋_GB2312" w:cs="仿宋_GB2312"/>
          <w:sz w:val="32"/>
          <w:szCs w:val="32"/>
        </w:rPr>
        <w:t>普遍存在创业启动门槛低、业务线上化程度高、业务跨行业跨界经营、股东个人与企业经营深度绑定的特征，随之衍生注册住所失联、实际经营与登记范围错位、公私财产边界混淆、AI 生成内容侵权违规、牟利式恶意投诉索赔、跨领域行业合规缺位等现实治理难题。</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全面落实国家、省、市关于发展新质生产力、持续优化营商环境的工作部署，坚持“鼓励创新发展、严守合规底线”双向发力，官渡区创新构建“区级统筹抓总、市场监管牵头、行业主管分域履职、多部门协同闭环”的全生命周期治理模式，既给新业态创业者提供靠前陪伴式服务指导，也系统性化解跨行业叠加风险。本手册立足官渡区产业实际与基层监管实践，面向辖区已注册及拟筹备设立的AI赋能单人创业市场主体，提供通俗易懂、可落地的合规操作指引，同时作为全区各职能部门开展新业态服务与风险处置的实操工作规范，推动实现创业有支撑、监管有尺度、风险可防控，助力官渡数字经济小微创业业态健康有序发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注解：AI</w:t>
      </w:r>
      <w:r>
        <w:rPr>
          <w:rFonts w:hint="eastAsia" w:ascii="Times New Roman" w:hAnsi="Times New Roman" w:eastAsia="仿宋_GB2312" w:cs="仿宋_GB2312"/>
          <w:sz w:val="32"/>
          <w:szCs w:val="32"/>
        </w:rPr>
        <w:noBreakHyphen/>
      </w:r>
      <w:r>
        <w:rPr>
          <w:rFonts w:hint="eastAsia" w:ascii="Times New Roman" w:hAnsi="Times New Roman" w:eastAsia="仿宋_GB2312" w:cs="仿宋_GB2312"/>
          <w:sz w:val="32"/>
          <w:szCs w:val="32"/>
        </w:rPr>
        <w:t>OPC即人工智能赋能单人创业市场主体，核心为单一自然人股东出资设立的一人有限责任公司，以人工智能作为核心生产要素开展经营，决策由核心自然人承担，非核心业务环节可通过外包、协作完成商业闭环；个体工商户、个人独资企业等同类轻量化线上创业主体可参照本手册执行。</w:t>
      </w:r>
    </w:p>
    <w:p>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sz w:val="21"/>
          <w:szCs w:val="21"/>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第一</w:t>
      </w:r>
      <w:r>
        <w:rPr>
          <w:rFonts w:hint="eastAsia" w:ascii="Times New Roman" w:hAnsi="Times New Roman" w:eastAsia="黑体" w:cs="黑体"/>
          <w:sz w:val="32"/>
          <w:szCs w:val="32"/>
          <w:lang w:eastAsia="zh-CN"/>
        </w:rPr>
        <w:t>篇</w:t>
      </w:r>
      <w:r>
        <w:rPr>
          <w:rFonts w:hint="eastAsia" w:ascii="Times New Roman" w:hAnsi="Times New Roman" w:eastAsia="黑体" w:cs="黑体"/>
          <w:sz w:val="32"/>
          <w:szCs w:val="32"/>
        </w:rPr>
        <w:t xml:space="preserve"> 总则与区级组织体系</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w:t>
      </w:r>
      <w:r>
        <w:rPr>
          <w:rFonts w:hint="eastAsia" w:ascii="Times New Roman" w:hAnsi="Times New Roman" w:eastAsia="楷体_GB2312" w:cs="楷体_GB2312"/>
          <w:sz w:val="32"/>
          <w:szCs w:val="32"/>
          <w:lang w:eastAsia="zh-CN"/>
        </w:rPr>
        <w:t>章</w:t>
      </w:r>
      <w:r>
        <w:rPr>
          <w:rFonts w:hint="eastAsia" w:ascii="Times New Roman" w:hAnsi="Times New Roman" w:eastAsia="楷体_GB2312" w:cs="楷体_GB2312"/>
          <w:sz w:val="32"/>
          <w:szCs w:val="32"/>
        </w:rPr>
        <w:t xml:space="preserve"> 编制目的与适用范围</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一、</w:t>
      </w:r>
      <w:r>
        <w:rPr>
          <w:rFonts w:hint="eastAsia" w:ascii="Times New Roman" w:hAnsi="Times New Roman" w:eastAsia="仿宋_GB2312" w:cs="仿宋_GB2312"/>
          <w:b/>
          <w:bCs/>
          <w:sz w:val="32"/>
          <w:szCs w:val="32"/>
        </w:rPr>
        <w:t>编制目的</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b/>
          <w:bCs/>
          <w:color w:val="000000"/>
          <w:kern w:val="0"/>
          <w:sz w:val="32"/>
          <w:szCs w:val="32"/>
          <w:lang w:val="en-US" w:eastAsia="zh-CN" w:bidi="ar"/>
        </w:rPr>
        <w:t>一是</w:t>
      </w:r>
      <w:r>
        <w:rPr>
          <w:rFonts w:hint="eastAsia" w:ascii="Times New Roman" w:hAnsi="Times New Roman" w:eastAsia="仿宋_GB2312" w:cs="仿宋_GB2312"/>
          <w:color w:val="000000"/>
          <w:kern w:val="0"/>
          <w:sz w:val="32"/>
          <w:szCs w:val="32"/>
          <w:lang w:val="en-US" w:eastAsia="zh-CN" w:bidi="ar"/>
        </w:rPr>
        <w:t>面向创业者，提供从开办登记、行业准入、日常经营到风险预警的全链条陪伴式合规指引，降低单人AI创业的试错成本；</w:t>
      </w:r>
      <w:r>
        <w:rPr>
          <w:rFonts w:hint="eastAsia" w:ascii="Times New Roman" w:hAnsi="Times New Roman" w:eastAsia="仿宋_GB2312" w:cs="仿宋_GB2312"/>
          <w:b/>
          <w:bCs/>
          <w:color w:val="000000"/>
          <w:kern w:val="0"/>
          <w:sz w:val="32"/>
          <w:szCs w:val="32"/>
          <w:lang w:val="en-US" w:eastAsia="zh-CN" w:bidi="ar"/>
        </w:rPr>
        <w:t>二是</w:t>
      </w:r>
      <w:r>
        <w:rPr>
          <w:rFonts w:hint="eastAsia" w:ascii="Times New Roman" w:hAnsi="Times New Roman" w:eastAsia="仿宋_GB2312" w:cs="仿宋_GB2312"/>
          <w:color w:val="000000"/>
          <w:kern w:val="0"/>
          <w:sz w:val="32"/>
          <w:szCs w:val="32"/>
          <w:lang w:val="en-US" w:eastAsia="zh-CN" w:bidi="ar"/>
        </w:rPr>
        <w:t>为全区各行政监管部门统一新业态治理标尺，明确权责边界、操作流 程、风险处置路径，破解跨行业监管盲区，实现扶持发展和风险防控一体推进。</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二、</w:t>
      </w:r>
      <w:r>
        <w:rPr>
          <w:rFonts w:hint="eastAsia" w:ascii="Times New Roman" w:hAnsi="Times New Roman" w:eastAsia="仿宋_GB2312" w:cs="仿宋_GB2312"/>
          <w:b/>
          <w:bCs/>
          <w:sz w:val="32"/>
          <w:szCs w:val="32"/>
        </w:rPr>
        <w:t>适用范围</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本手册主要适用于注册登记于昆明市官渡区，以人工智能工具作为核心生产要素开展经营活动的一人有限责任公司；辖区意向筹备设立该类市场主体的创业个人同步适用。辖区从事同类AI轻量化创业的个体工商户、个人独资企业可参照手册开展自我合规管理。</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三、</w:t>
      </w:r>
      <w:r>
        <w:rPr>
          <w:rFonts w:hint="eastAsia" w:ascii="Times New Roman" w:hAnsi="Times New Roman" w:eastAsia="仿宋_GB2312" w:cs="仿宋_GB2312"/>
          <w:b/>
          <w:bCs/>
          <w:sz w:val="32"/>
          <w:szCs w:val="32"/>
        </w:rPr>
        <w:t>工作原则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b w:val="0"/>
          <w:bCs/>
          <w:color w:val="000000"/>
          <w:sz w:val="32"/>
          <w:szCs w:val="32"/>
          <w:lang w:val="en-US" w:eastAsia="zh-CN"/>
        </w:rPr>
        <w:t>1.</w:t>
      </w:r>
      <w:r>
        <w:rPr>
          <w:rStyle w:val="10"/>
          <w:rFonts w:hint="eastAsia" w:ascii="Times New Roman" w:hAnsi="Times New Roman" w:eastAsia="仿宋_GB2312" w:cs="仿宋_GB2312"/>
          <w:b w:val="0"/>
          <w:bCs/>
          <w:color w:val="000000"/>
          <w:sz w:val="32"/>
          <w:szCs w:val="32"/>
        </w:rPr>
        <w:t>陪伴式准入，服务关口前移</w:t>
      </w:r>
      <w:r>
        <w:rPr>
          <w:rFonts w:hint="eastAsia" w:ascii="Times New Roman" w:hAnsi="Times New Roman" w:eastAsia="仿宋_GB2312" w:cs="仿宋_GB2312"/>
          <w:b w:val="0"/>
          <w:bCs/>
          <w:color w:val="000000"/>
          <w:sz w:val="32"/>
          <w:szCs w:val="32"/>
        </w:rPr>
        <w:t>。</w:t>
      </w:r>
      <w:r>
        <w:rPr>
          <w:rFonts w:hint="eastAsia" w:ascii="Times New Roman" w:hAnsi="Times New Roman" w:eastAsia="仿宋_GB2312" w:cs="仿宋_GB2312"/>
          <w:color w:val="000000"/>
          <w:sz w:val="32"/>
          <w:szCs w:val="32"/>
        </w:rPr>
        <w:t>立足官渡区政务服务资源优势，转变传统被动审批模式，将合规辅导嵌入企业开办全流程。在名称申报、注册地址选择、经营范围勾选、行业许可办理前端开展分层分类辅导，从源头减少登记瑕疵、行业违规双重风险，服务小微创业者平稳起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b w:val="0"/>
          <w:bCs/>
          <w:color w:val="000000"/>
          <w:sz w:val="32"/>
          <w:szCs w:val="32"/>
          <w:lang w:val="en-US" w:eastAsia="zh-CN"/>
        </w:rPr>
        <w:t>2.</w:t>
      </w:r>
      <w:r>
        <w:rPr>
          <w:rStyle w:val="10"/>
          <w:rFonts w:hint="eastAsia" w:ascii="Times New Roman" w:hAnsi="Times New Roman" w:eastAsia="仿宋_GB2312" w:cs="仿宋_GB2312"/>
          <w:b w:val="0"/>
          <w:bCs/>
          <w:color w:val="000000"/>
          <w:sz w:val="32"/>
          <w:szCs w:val="32"/>
        </w:rPr>
        <w:t>包容审慎监管，厘清容错边界</w:t>
      </w:r>
      <w:r>
        <w:rPr>
          <w:rFonts w:hint="eastAsia" w:ascii="Times New Roman" w:hAnsi="Times New Roman" w:eastAsia="仿宋_GB2312" w:cs="仿宋_GB2312"/>
          <w:b w:val="0"/>
          <w:bCs/>
          <w:color w:val="000000"/>
          <w:sz w:val="32"/>
          <w:szCs w:val="32"/>
        </w:rPr>
        <w:t>。</w:t>
      </w:r>
      <w:r>
        <w:rPr>
          <w:rFonts w:hint="eastAsia" w:ascii="Times New Roman" w:hAnsi="Times New Roman" w:eastAsia="仿宋_GB2312" w:cs="仿宋_GB2312"/>
          <w:color w:val="000000"/>
          <w:sz w:val="32"/>
          <w:szCs w:val="32"/>
        </w:rPr>
        <w:t>充分尊重新业态创新试错，对无主观恶意、初次轻微违规、主动整改纠错的创业主体落实容错空间；对主观故意违法、牟利式恶意投诉索赔、提交虚假材料骗取登记、无资质开展高风险行业经营等行为坚持依法从严处置。</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b w:val="0"/>
          <w:bCs/>
          <w:color w:val="000000"/>
          <w:sz w:val="32"/>
          <w:szCs w:val="32"/>
          <w:lang w:val="en-US" w:eastAsia="zh-CN"/>
        </w:rPr>
        <w:t>3.</w:t>
      </w:r>
      <w:r>
        <w:rPr>
          <w:rStyle w:val="10"/>
          <w:rFonts w:hint="eastAsia" w:ascii="Times New Roman" w:hAnsi="Times New Roman" w:eastAsia="仿宋_GB2312" w:cs="仿宋_GB2312"/>
          <w:b w:val="0"/>
          <w:bCs/>
          <w:color w:val="000000"/>
          <w:sz w:val="32"/>
          <w:szCs w:val="32"/>
        </w:rPr>
        <w:t>市场监管牵头统筹，行业主管分域履职</w:t>
      </w:r>
      <w:r>
        <w:rPr>
          <w:rFonts w:hint="eastAsia" w:ascii="Times New Roman" w:hAnsi="Times New Roman" w:eastAsia="仿宋_GB2312" w:cs="仿宋_GB2312"/>
          <w:b w:val="0"/>
          <w:bCs/>
          <w:color w:val="000000"/>
          <w:sz w:val="32"/>
          <w:szCs w:val="32"/>
        </w:rPr>
        <w:t>。</w:t>
      </w:r>
      <w:r>
        <w:rPr>
          <w:rFonts w:hint="eastAsia" w:ascii="Times New Roman" w:hAnsi="Times New Roman" w:eastAsia="仿宋_GB2312" w:cs="仿宋_GB2312"/>
          <w:color w:val="000000"/>
          <w:sz w:val="32"/>
          <w:szCs w:val="32"/>
        </w:rPr>
        <w:t>由</w:t>
      </w:r>
      <w:r>
        <w:rPr>
          <w:rFonts w:hint="eastAsia" w:ascii="Times New Roman" w:hAnsi="Times New Roman" w:eastAsia="仿宋_GB2312" w:cs="仿宋_GB2312"/>
          <w:color w:val="000000"/>
          <w:sz w:val="32"/>
          <w:szCs w:val="32"/>
          <w:lang w:eastAsia="zh-CN"/>
        </w:rPr>
        <w:t>区市场监督管理局</w:t>
      </w:r>
      <w:r>
        <w:rPr>
          <w:rFonts w:hint="eastAsia" w:ascii="Times New Roman" w:hAnsi="Times New Roman" w:eastAsia="仿宋_GB2312" w:cs="仿宋_GB2312"/>
          <w:color w:val="000000"/>
          <w:sz w:val="32"/>
          <w:szCs w:val="32"/>
        </w:rPr>
        <w:t>牵头搭建制度总框架、牵头编制实操手册；各行业主管部门立足官渡产业布局和行业监管职责，梳理本领域准入规则、风险清单，开展行业专属陪伴辅导与风险管控。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b w:val="0"/>
          <w:bCs/>
          <w:color w:val="000000"/>
          <w:sz w:val="32"/>
          <w:szCs w:val="32"/>
          <w:lang w:val="en-US" w:eastAsia="zh-CN"/>
        </w:rPr>
        <w:t>4.</w:t>
      </w:r>
      <w:r>
        <w:rPr>
          <w:rStyle w:val="10"/>
          <w:rFonts w:hint="eastAsia" w:ascii="Times New Roman" w:hAnsi="Times New Roman" w:eastAsia="仿宋_GB2312" w:cs="仿宋_GB2312"/>
          <w:b w:val="0"/>
          <w:bCs/>
          <w:color w:val="000000"/>
          <w:sz w:val="32"/>
          <w:szCs w:val="32"/>
        </w:rPr>
        <w:t>部门协同联动，数据互通共享</w:t>
      </w:r>
      <w:r>
        <w:rPr>
          <w:rFonts w:hint="eastAsia" w:ascii="Times New Roman" w:hAnsi="Times New Roman" w:eastAsia="仿宋_GB2312" w:cs="仿宋_GB2312"/>
          <w:b w:val="0"/>
          <w:bCs/>
          <w:color w:val="000000"/>
          <w:sz w:val="32"/>
          <w:szCs w:val="32"/>
        </w:rPr>
        <w:t>。</w:t>
      </w:r>
      <w:r>
        <w:rPr>
          <w:rFonts w:hint="eastAsia" w:ascii="Times New Roman" w:hAnsi="Times New Roman" w:eastAsia="仿宋_GB2312" w:cs="仿宋_GB2312"/>
          <w:color w:val="000000"/>
          <w:sz w:val="32"/>
          <w:szCs w:val="32"/>
        </w:rPr>
        <w:t>建立常态化风险会商研判、线索双向移送、联合处置工作机制，打通跨部门监管数据，破解AI</w:t>
      </w:r>
      <w:r>
        <w:rPr>
          <w:rFonts w:hint="eastAsia" w:ascii="Times New Roman" w:hAnsi="Times New Roman" w:eastAsia="仿宋_GB2312" w:cs="仿宋_GB2312"/>
          <w:color w:val="000000"/>
          <w:sz w:val="32"/>
          <w:szCs w:val="32"/>
        </w:rPr>
        <w:noBreakHyphen/>
      </w:r>
      <w:r>
        <w:rPr>
          <w:rFonts w:hint="eastAsia" w:ascii="Times New Roman" w:hAnsi="Times New Roman" w:eastAsia="仿宋_GB2312" w:cs="仿宋_GB2312"/>
          <w:color w:val="000000"/>
          <w:sz w:val="32"/>
          <w:szCs w:val="32"/>
        </w:rPr>
        <w:t>OPC跨行业经营带来的监管碎片化问题。</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宋体" w:cs="宋体"/>
          <w:sz w:val="21"/>
          <w:szCs w:val="21"/>
        </w:rPr>
      </w:pPr>
      <w:r>
        <w:rPr>
          <w:rStyle w:val="10"/>
          <w:rFonts w:hint="eastAsia" w:ascii="Times New Roman" w:hAnsi="Times New Roman" w:eastAsia="仿宋_GB2312" w:cs="仿宋_GB2312"/>
          <w:b w:val="0"/>
          <w:bCs/>
          <w:color w:val="000000"/>
          <w:sz w:val="32"/>
          <w:szCs w:val="32"/>
          <w:lang w:val="en-US" w:eastAsia="zh-CN"/>
        </w:rPr>
        <w:t>5.</w:t>
      </w:r>
      <w:r>
        <w:rPr>
          <w:rStyle w:val="10"/>
          <w:rFonts w:hint="eastAsia" w:ascii="Times New Roman" w:hAnsi="Times New Roman" w:eastAsia="仿宋_GB2312" w:cs="仿宋_GB2312"/>
          <w:b w:val="0"/>
          <w:bCs/>
          <w:color w:val="000000"/>
          <w:sz w:val="32"/>
          <w:szCs w:val="32"/>
        </w:rPr>
        <w:t>信用监管牵引，实施差异化管控</w:t>
      </w:r>
      <w:r>
        <w:rPr>
          <w:rFonts w:hint="eastAsia" w:ascii="Times New Roman" w:hAnsi="Times New Roman" w:eastAsia="仿宋_GB2312" w:cs="仿宋_GB2312"/>
          <w:b w:val="0"/>
          <w:bCs/>
          <w:color w:val="000000"/>
          <w:sz w:val="32"/>
          <w:szCs w:val="32"/>
        </w:rPr>
        <w:t>。</w:t>
      </w:r>
      <w:r>
        <w:rPr>
          <w:rFonts w:hint="eastAsia" w:ascii="Times New Roman" w:hAnsi="Times New Roman" w:eastAsia="仿宋_GB2312" w:cs="仿宋_GB2312"/>
          <w:color w:val="000000"/>
          <w:sz w:val="32"/>
          <w:szCs w:val="32"/>
        </w:rPr>
        <w:t>依托国家企业信用信息公示系统，叠加各行业领域信用评价结果，按照守信培育、一般关注、重点风险实施分级分类服务与差异化监管，做到“无事不扰、风险必管”。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第二</w:t>
      </w:r>
      <w:r>
        <w:rPr>
          <w:rFonts w:hint="eastAsia" w:ascii="Times New Roman" w:hAnsi="Times New Roman" w:eastAsia="楷体_GB2312" w:cs="楷体_GB2312"/>
          <w:sz w:val="32"/>
          <w:szCs w:val="32"/>
          <w:lang w:eastAsia="zh-CN"/>
        </w:rPr>
        <w:t>章</w:t>
      </w:r>
      <w:r>
        <w:rPr>
          <w:rFonts w:hint="eastAsia" w:ascii="Times New Roman" w:hAnsi="Times New Roman" w:eastAsia="楷体_GB2312" w:cs="楷体_GB2312"/>
          <w:sz w:val="32"/>
          <w:szCs w:val="32"/>
        </w:rPr>
        <w:t xml:space="preserve"> 区级组织架构与部门职责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区市场监督管理局作为牵头单位，统筹推进制度落地、台账建设、手册动态修订、跨部门协调。综合协调部门及各行业主管部门包括：区科学技术和工业信息化局、区司法局、区税务局、区人力资源和社会保障局、区文化和旅游局、区卫生健康局、区住房和城乡建设局、区财政局、各街道办事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lang w:eastAsia="zh-CN"/>
        </w:rPr>
        <w:t>一、</w:t>
      </w:r>
      <w:r>
        <w:rPr>
          <w:rFonts w:hint="eastAsia" w:ascii="Times New Roman" w:hAnsi="Times New Roman" w:eastAsia="仿宋_GB2312" w:cs="仿宋_GB2312"/>
          <w:color w:val="000000"/>
          <w:sz w:val="32"/>
          <w:szCs w:val="32"/>
        </w:rPr>
        <w:t>牵头单位（区市场监督管理局）职责</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1.统筹手册编制、动态修订、组织解读宣贯；</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2.统筹商事登记环节陪伴准入服务，指导政务服务窗口落实AI</w:t>
      </w:r>
      <w:r>
        <w:rPr>
          <w:rFonts w:hint="eastAsia" w:ascii="Times New Roman" w:hAnsi="Times New Roman" w:eastAsia="仿宋_GB2312" w:cs="仿宋_GB2312"/>
          <w:sz w:val="32"/>
          <w:szCs w:val="32"/>
          <w:lang w:eastAsia="zh-CN"/>
        </w:rPr>
        <w:noBreakHyphen/>
      </w:r>
      <w:r>
        <w:rPr>
          <w:rFonts w:hint="eastAsia" w:ascii="Times New Roman" w:hAnsi="Times New Roman" w:eastAsia="仿宋_GB2312" w:cs="仿宋_GB2312"/>
          <w:sz w:val="32"/>
          <w:szCs w:val="32"/>
          <w:lang w:eastAsia="zh-CN"/>
        </w:rPr>
        <w:t>OPC开办登记全流程风险提示；</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3.牵头建设官渡区AI</w:t>
      </w:r>
      <w:r>
        <w:rPr>
          <w:rFonts w:hint="eastAsia" w:ascii="Times New Roman" w:hAnsi="Times New Roman" w:eastAsia="仿宋_GB2312" w:cs="仿宋_GB2312"/>
          <w:sz w:val="32"/>
          <w:szCs w:val="32"/>
          <w:lang w:eastAsia="zh-CN"/>
        </w:rPr>
        <w:noBreakHyphen/>
      </w:r>
      <w:r>
        <w:rPr>
          <w:rFonts w:hint="eastAsia" w:ascii="Times New Roman" w:hAnsi="Times New Roman" w:eastAsia="仿宋_GB2312" w:cs="仿宋_GB2312"/>
          <w:sz w:val="32"/>
          <w:szCs w:val="32"/>
          <w:lang w:eastAsia="zh-CN"/>
        </w:rPr>
        <w:t>OPC市场主体专项台账，落实商事登记、注册住所、年报公示、广告竞争等领域监管；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4.牵头风险分级分类管理，接收各行业部门移送的商事异常线索，开展核查处置；按规则向行业主管部门移送行业违规线索；</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5.组织托管机构常态化监督管理，压实托管机构主体责任；</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6.组织开展面向创业者、托管机构的商事合规宣讲培训。</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二、</w:t>
      </w:r>
      <w:r>
        <w:rPr>
          <w:rFonts w:hint="eastAsia" w:ascii="Times New Roman" w:hAnsi="Times New Roman" w:eastAsia="仿宋_GB2312" w:cs="仿宋_GB2312"/>
          <w:b/>
          <w:bCs/>
          <w:sz w:val="32"/>
          <w:szCs w:val="32"/>
        </w:rPr>
        <w:t>各行业主管部门</w:t>
      </w:r>
      <w:r>
        <w:rPr>
          <w:rFonts w:hint="eastAsia" w:ascii="Times New Roman" w:hAnsi="Times New Roman" w:eastAsia="仿宋_GB2312" w:cs="仿宋_GB2312"/>
          <w:b/>
          <w:bCs/>
          <w:i w:val="0"/>
          <w:iCs w:val="0"/>
          <w:sz w:val="32"/>
          <w:szCs w:val="32"/>
        </w:rPr>
        <w:t>（分领域履职）</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5805"/>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b/>
                <w:bCs/>
                <w:color w:val="000000"/>
                <w:kern w:val="0"/>
                <w:sz w:val="32"/>
                <w:szCs w:val="32"/>
                <w:lang w:val="en-US" w:eastAsia="zh-CN" w:bidi="ar"/>
              </w:rPr>
              <w:t>单位</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b/>
                <w:bCs/>
                <w:color w:val="000000"/>
                <w:kern w:val="0"/>
                <w:sz w:val="32"/>
                <w:szCs w:val="32"/>
                <w:lang w:val="en-US" w:eastAsia="zh-CN" w:bidi="ar"/>
              </w:rPr>
              <w:t>在全区AI</w:t>
            </w:r>
            <w:r>
              <w:rPr>
                <w:rFonts w:hint="eastAsia" w:ascii="Times New Roman" w:hAnsi="Times New Roman" w:eastAsia="仿宋_GB2312" w:cs="仿宋_GB2312"/>
                <w:b/>
                <w:bCs/>
                <w:color w:val="000000"/>
                <w:kern w:val="0"/>
                <w:sz w:val="32"/>
                <w:szCs w:val="32"/>
                <w:lang w:val="en-US" w:eastAsia="zh-CN" w:bidi="ar"/>
              </w:rPr>
              <w:noBreakHyphen/>
            </w:r>
            <w:r>
              <w:rPr>
                <w:rFonts w:hint="eastAsia" w:ascii="Times New Roman" w:hAnsi="Times New Roman" w:eastAsia="仿宋_GB2312" w:cs="仿宋_GB2312"/>
                <w:b/>
                <w:bCs/>
                <w:color w:val="000000"/>
                <w:kern w:val="0"/>
                <w:sz w:val="32"/>
                <w:szCs w:val="32"/>
                <w:lang w:val="en-US" w:eastAsia="zh-CN" w:bidi="ar"/>
              </w:rPr>
              <w:t>OPC治理中的职责</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b/>
                <w:bCs/>
                <w:color w:val="000000"/>
                <w:kern w:val="0"/>
                <w:sz w:val="32"/>
                <w:szCs w:val="32"/>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区科工信局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负责软件开发、信息技术服务等业态；指导创业主体开展人工智能科技伦理审查，引导创业主体合规发展；处置行业违规线索。</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面向软件和信息技术服务类单人创业主体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区文旅局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负责文化传媒、网络直播运营、文旅策划运营、演出经纪等业态；明确内容合规、经营许可要求，开展行业风险识别、线索处置，开展文旅类创业主体政策宣讲</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辖区大量线上文旅、短视频创业主体适用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区卫健局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负责AI赋能健康科普、健康咨询、康养服务等经营行为；严格区分普通健康科普与医疗执业边界，处置无资质开展医疗相关服务线索</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严防借AI科普变相开展诊疗服务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区住建局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负责建筑工程咨询、建筑技术顾问等AI辅助咨询业务；明确资质准入条件，开展行业风险排查，移送、接收跨部门线索</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杜绝无资质提供建筑专业技术服务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区财政局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负责财经资讯输出、投融资中介、理财咨询类AI创业业务；提示金融相关特许经营资质红线，处置非法金融活动线索，做好风险预警提示</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严禁无资质开展融资担保、典当等地方金融组织服务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区司法局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提供公共法律服务，面向创业者开展普法宣传，提供公益法律咨询，为新业态处置提供法治参考</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vertAlign w:val="baseline"/>
                <w:lang w:val="en-US" w:eastAsia="zh-CN" w:bidi="ar"/>
              </w:rPr>
            </w:pPr>
            <w:r>
              <w:rPr>
                <w:rFonts w:hint="eastAsia" w:ascii="Times New Roman" w:hAnsi="Times New Roman" w:eastAsia="仿宋_GB2312" w:cs="仿宋_GB2312"/>
                <w:color w:val="000000"/>
                <w:kern w:val="0"/>
                <w:sz w:val="32"/>
                <w:szCs w:val="32"/>
                <w:lang w:val="en-US" w:eastAsia="zh-CN" w:bidi="ar"/>
              </w:rPr>
              <w:t>对接官渡区公共法律服务中心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区税务局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开展涉税合规指引，提示一人有限责任公司公私账户混同涉税风险，开展税费政策辅导，移送涉税风险线索</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覆盖发票、对公账户、申报纳税全流程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区人社局</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推送官渡本地创业补贴、创业培训、就业扶持政策，面向单人创业主体做好政策落地服务</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落实我区小微创业扶持资源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各街道办事处</w:t>
            </w:r>
          </w:p>
        </w:tc>
        <w:tc>
          <w:tcPr>
            <w:tcW w:w="5805"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落实属地管理，配合开展住所实地核查、创业政策宣传，发现辖区AI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OPC风险线索及时报送</w:t>
            </w:r>
          </w:p>
        </w:tc>
        <w:tc>
          <w:tcPr>
            <w:tcW w:w="1930" w:type="dxa"/>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发挥基层属地摸排优势</w:t>
            </w:r>
          </w:p>
        </w:tc>
      </w:tr>
    </w:tbl>
    <w:p>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eastAsia" w:ascii="Times New Roman" w:hAnsi="Times New Roman" w:eastAsia="宋体" w:cs="宋体"/>
          <w:sz w:val="21"/>
          <w:szCs w:val="21"/>
          <w:lang w:eastAsia="zh-CN"/>
        </w:rPr>
      </w:pPr>
    </w:p>
    <w:p>
      <w:pPr>
        <w:keepNext w:val="0"/>
        <w:keepLines w:val="0"/>
        <w:pageBreakBefore w:val="0"/>
        <w:widowControl w:val="0"/>
        <w:numPr>
          <w:ilvl w:val="0"/>
          <w:numId w:val="1"/>
        </w:numPr>
        <w:kinsoku/>
        <w:wordWrap w:val="0"/>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创业陪伴指引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第一</w:t>
      </w:r>
      <w:r>
        <w:rPr>
          <w:rFonts w:hint="eastAsia" w:ascii="Times New Roman" w:hAnsi="Times New Roman" w:eastAsia="楷体_GB2312" w:cs="楷体_GB2312"/>
          <w:sz w:val="32"/>
          <w:szCs w:val="32"/>
          <w:lang w:eastAsia="zh-CN"/>
        </w:rPr>
        <w:t>章</w:t>
      </w:r>
      <w:r>
        <w:rPr>
          <w:rFonts w:hint="eastAsia" w:ascii="Times New Roman" w:hAnsi="Times New Roman" w:eastAsia="楷体_GB2312" w:cs="楷体_GB2312"/>
          <w:sz w:val="32"/>
          <w:szCs w:val="32"/>
        </w:rPr>
        <w:t xml:space="preserve"> 商事登记</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第一</w:t>
      </w:r>
      <w:r>
        <w:rPr>
          <w:rFonts w:hint="eastAsia" w:ascii="Times New Roman" w:hAnsi="Times New Roman" w:eastAsia="仿宋_GB2312" w:cs="仿宋_GB2312"/>
          <w:b/>
          <w:bCs/>
          <w:sz w:val="32"/>
          <w:szCs w:val="32"/>
          <w:lang w:eastAsia="zh-CN"/>
        </w:rPr>
        <w:t>节</w:t>
      </w:r>
      <w:r>
        <w:rPr>
          <w:rFonts w:hint="eastAsia" w:ascii="Times New Roman" w:hAnsi="Times New Roman" w:eastAsia="仿宋_GB2312" w:cs="仿宋_GB2312"/>
          <w:b/>
          <w:bCs/>
          <w:sz w:val="32"/>
          <w:szCs w:val="32"/>
        </w:rPr>
        <w:t xml:space="preserve"> 主体概念说明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val="0"/>
          <w:bCs w:val="0"/>
          <w:sz w:val="32"/>
          <w:szCs w:val="32"/>
        </w:rPr>
        <w:t>AI+OPC</w:t>
      </w:r>
      <w:r>
        <w:rPr>
          <w:rStyle w:val="10"/>
          <w:rFonts w:hint="eastAsia" w:ascii="Times New Roman" w:hAnsi="Times New Roman" w:eastAsia="仿宋_GB2312" w:cs="仿宋_GB2312"/>
          <w:b w:val="0"/>
          <w:bCs w:val="0"/>
          <w:color w:val="000000"/>
          <w:kern w:val="0"/>
          <w:sz w:val="32"/>
          <w:szCs w:val="32"/>
          <w:lang w:val="en-US" w:eastAsia="zh-CN" w:bidi="ar"/>
        </w:rPr>
        <w:t>（人工智能赋能单人创业市场主体）</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color w:val="000000"/>
          <w:kern w:val="0"/>
          <w:sz w:val="32"/>
          <w:szCs w:val="32"/>
          <w:lang w:val="en-US" w:eastAsia="zh-CN" w:bidi="ar"/>
        </w:rPr>
        <w:t>指单一自然人股东出资设立的一人有限责任公司，以人工智能工具作为核心生产要素开展经营，核心决策由该自然人完成，非核心业务环节可外包、协作完成商业闭环。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与个体工商户、个人独资企业不同：一人有限责任公司具备独立法人资格，股东原则上承担有限责任；但</w:t>
      </w:r>
      <w:r>
        <w:rPr>
          <w:rStyle w:val="10"/>
          <w:rFonts w:hint="eastAsia" w:ascii="Times New Roman" w:hAnsi="Times New Roman" w:eastAsia="仿宋_GB2312" w:cs="仿宋_GB2312"/>
          <w:b w:val="0"/>
          <w:bCs/>
          <w:color w:val="000000"/>
          <w:kern w:val="0"/>
          <w:sz w:val="32"/>
          <w:szCs w:val="32"/>
          <w:lang w:val="en-US" w:eastAsia="zh-CN" w:bidi="ar"/>
        </w:rPr>
        <w:t>一旦出现股东与公司公私财产混同，将适用“刺破公司面纱”规则，股东需要对企业债务承担无限连带责任，这是该类主体最突出特有法律风险</w:t>
      </w:r>
      <w:r>
        <w:rPr>
          <w:rFonts w:hint="eastAsia" w:ascii="Times New Roman" w:hAnsi="Times New Roman" w:eastAsia="仿宋_GB2312" w:cs="仿宋_GB2312"/>
          <w:b w:val="0"/>
          <w:bCs/>
          <w:color w:val="000000"/>
          <w:kern w:val="0"/>
          <w:sz w:val="32"/>
          <w:szCs w:val="32"/>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宋体" w:cs="宋体"/>
          <w:sz w:val="21"/>
          <w:szCs w:val="21"/>
        </w:rPr>
      </w:pPr>
      <w:r>
        <w:rPr>
          <w:rFonts w:hint="eastAsia" w:ascii="Times New Roman" w:hAnsi="Times New Roman" w:eastAsia="仿宋_GB2312" w:cs="仿宋_GB2312"/>
          <w:color w:val="000000"/>
          <w:kern w:val="0"/>
          <w:sz w:val="32"/>
          <w:szCs w:val="32"/>
          <w:lang w:val="en-US" w:eastAsia="zh-CN" w:bidi="ar"/>
        </w:rPr>
        <w:t>手册主要适用注册于官渡区及意向落地官渡的AI赋能单人创业一人有限公司；个体工商户、个人独资企业等同类型轻量化线上创业主体，可参照本手册开展合规管理。</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第二</w:t>
      </w:r>
      <w:r>
        <w:rPr>
          <w:rFonts w:hint="eastAsia" w:ascii="Times New Roman" w:hAnsi="Times New Roman" w:eastAsia="仿宋_GB2312" w:cs="仿宋_GB2312"/>
          <w:b/>
          <w:bCs/>
          <w:sz w:val="32"/>
          <w:szCs w:val="32"/>
          <w:lang w:eastAsia="zh-CN"/>
        </w:rPr>
        <w:t>节</w:t>
      </w:r>
      <w:r>
        <w:rPr>
          <w:rFonts w:hint="eastAsia" w:ascii="Times New Roman" w:hAnsi="Times New Roman" w:eastAsia="仿宋_GB2312" w:cs="仿宋_GB2312"/>
          <w:b/>
          <w:bCs/>
          <w:sz w:val="32"/>
          <w:szCs w:val="32"/>
        </w:rPr>
        <w:t xml:space="preserve"> 开办登记陪伴指引</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lang w:eastAsia="zh-CN"/>
        </w:rPr>
        <w:t>一、</w:t>
      </w:r>
      <w:r>
        <w:rPr>
          <w:rFonts w:hint="eastAsia" w:ascii="Times New Roman" w:hAnsi="Times New Roman" w:eastAsia="仿宋_GB2312" w:cs="仿宋_GB2312"/>
          <w:b w:val="0"/>
          <w:bCs w:val="0"/>
          <w:sz w:val="32"/>
          <w:szCs w:val="32"/>
        </w:rPr>
        <w:t>名称申报指引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企业名称用语应当规范严谨，不得使用误导性、夸大宣传、绝对承诺类词汇；名称当中的行业表述，需要和实际计划开展的经营业务大体匹配；严禁利用企业名称虚构特许资质、特殊授权身份，误导合作方和消费者。</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二、</w:t>
      </w:r>
      <w:r>
        <w:rPr>
          <w:rFonts w:hint="eastAsia" w:ascii="Times New Roman" w:hAnsi="Times New Roman" w:eastAsia="仿宋_GB2312" w:cs="仿宋_GB2312"/>
          <w:b w:val="0"/>
          <w:bCs w:val="0"/>
          <w:sz w:val="32"/>
          <w:szCs w:val="32"/>
        </w:rPr>
        <w:t>经营范围填报指引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经营范围仅为商事登记备案事项，领取营业执照不等于自动取得对应行业经营资质。填报必须选用国家市场监管总局统一规范条目，创业者不得自行编造经营范围表述。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如果计划开展特殊行业业务，应当先行查阅本手册对应行业篇章，搞清楚许可、备案、禁止性要求，再填报经营范围，杜绝“先拿照、后考虑资质”的盲目填报。</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三、</w:t>
      </w:r>
      <w:r>
        <w:rPr>
          <w:rFonts w:hint="eastAsia" w:ascii="Times New Roman" w:hAnsi="Times New Roman" w:eastAsia="仿宋_GB2312" w:cs="仿宋_GB2312"/>
          <w:b w:val="0"/>
          <w:bCs w:val="0"/>
          <w:sz w:val="32"/>
          <w:szCs w:val="32"/>
        </w:rPr>
        <w:t>经营住所（注册地址）提示</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val="0"/>
          <w:bCs w:val="0"/>
          <w:sz w:val="32"/>
          <w:szCs w:val="32"/>
          <w:lang w:val="en-US" w:eastAsia="zh-CN"/>
        </w:rPr>
        <w:t>1.自有房产、实际租赁实体经营地址：</w:t>
      </w:r>
      <w:r>
        <w:rPr>
          <w:rFonts w:hint="eastAsia" w:ascii="Times New Roman" w:hAnsi="Times New Roman" w:eastAsia="仿宋_GB2312" w:cs="仿宋_GB2312"/>
          <w:sz w:val="32"/>
          <w:szCs w:val="32"/>
          <w:lang w:val="en-US" w:eastAsia="zh-CN"/>
        </w:rPr>
        <w:t>该地址必须可以正常接收政务文书，支持监管部门实地联络核查；不能仅用作挂证、无人值守、拒绝上门核查，否则将被视作无效登记住所。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val="0"/>
          <w:bCs w:val="0"/>
          <w:sz w:val="32"/>
          <w:szCs w:val="32"/>
          <w:lang w:val="en-US" w:eastAsia="zh-CN"/>
        </w:rPr>
        <w:t>2.园区、孵化基地注册托管工位地址（官渡AI</w:t>
      </w:r>
      <w:r>
        <w:rPr>
          <w:rFonts w:hint="eastAsia" w:ascii="Times New Roman" w:hAnsi="Times New Roman" w:eastAsia="仿宋_GB2312" w:cs="仿宋_GB2312"/>
          <w:b w:val="0"/>
          <w:bCs w:val="0"/>
          <w:sz w:val="32"/>
          <w:szCs w:val="32"/>
          <w:lang w:val="en-US" w:eastAsia="zh-CN"/>
        </w:rPr>
        <w:noBreakHyphen/>
      </w:r>
      <w:r>
        <w:rPr>
          <w:rFonts w:hint="eastAsia" w:ascii="Times New Roman" w:hAnsi="Times New Roman" w:eastAsia="仿宋_GB2312" w:cs="仿宋_GB2312"/>
          <w:b w:val="0"/>
          <w:bCs w:val="0"/>
          <w:sz w:val="32"/>
          <w:szCs w:val="32"/>
          <w:lang w:val="en-US" w:eastAsia="zh-CN"/>
        </w:rPr>
        <w:t>OPC高频选用模式）：</w:t>
      </w:r>
      <w:r>
        <w:rPr>
          <w:rFonts w:hint="eastAsia" w:ascii="Times New Roman" w:hAnsi="Times New Roman" w:eastAsia="仿宋_GB2312" w:cs="仿宋_GB2312"/>
          <w:sz w:val="32"/>
          <w:szCs w:val="32"/>
          <w:lang w:val="en-US" w:eastAsia="zh-CN"/>
        </w:rPr>
        <w:t>只能够选用完成官方备案、管理制度完善的园区、孵化基地注册托管机构；必须签订正式托管协议，留存股东长期有效联系电话、线上通讯方式。托管地址仅限用于商事登记文书送达，不会自动获得线下实体经营资格，如果要开展线下经营，需要另行落实实体经营场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val="0"/>
          <w:bCs w:val="0"/>
          <w:sz w:val="32"/>
          <w:szCs w:val="32"/>
          <w:lang w:val="en-US" w:eastAsia="zh-CN"/>
        </w:rPr>
        <w:t>3.法律风险警示：</w:t>
      </w:r>
      <w:r>
        <w:rPr>
          <w:rFonts w:hint="eastAsia" w:ascii="Times New Roman" w:hAnsi="Times New Roman" w:eastAsia="仿宋_GB2312" w:cs="仿宋_GB2312"/>
          <w:sz w:val="32"/>
          <w:szCs w:val="32"/>
          <w:lang w:val="en-US" w:eastAsia="zh-CN"/>
        </w:rPr>
        <w:t>提交虚假住所材料骗取登记的，市场监管部门可以依法撤销登记，相关责任人记入信用记录，影响后续创业开办企业。</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官渡本地提示：官渡区持续更新备案托管机构名录，创业者开办企业前可向区市场监管窗口查询备案托管机构名单，不要选用无备案资质托管服务商。</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val="0"/>
          <w:bCs w:val="0"/>
          <w:sz w:val="32"/>
          <w:szCs w:val="32"/>
          <w:lang w:eastAsia="zh-CN"/>
        </w:rPr>
        <w:t>四、</w:t>
      </w:r>
      <w:r>
        <w:rPr>
          <w:rFonts w:hint="eastAsia" w:ascii="Times New Roman" w:hAnsi="Times New Roman" w:eastAsia="仿宋_GB2312" w:cs="仿宋_GB2312"/>
          <w:b w:val="0"/>
          <w:bCs w:val="0"/>
          <w:sz w:val="32"/>
          <w:szCs w:val="32"/>
        </w:rPr>
        <w:t>公司章程与一人公司特有风险提示</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1.一人有限责任公司法律强制要求：每一个会计年度结束后，应当编制财务会计报告，并且交由会计师事务所审计。</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lang w:val="en-US" w:eastAsia="zh-CN"/>
        </w:rPr>
      </w:pPr>
      <w:r>
        <w:rPr>
          <w:rFonts w:hint="eastAsia" w:ascii="Times New Roman" w:hAnsi="Times New Roman" w:eastAsia="仿宋_GB2312" w:cs="仿宋_GB2312"/>
          <w:sz w:val="32"/>
          <w:szCs w:val="32"/>
          <w:lang w:val="en-US" w:eastAsia="zh-CN"/>
        </w:rPr>
        <w:t>2.股东个人账户、公司对公账户资金往来必须完整留痕，严格区分个人消费和公司经营支出；一旦形成长期公私财产混同，发生债务纠纷时股东需要对公司债务承担连带责任。创业者建议聘请兼职会计或者代理记账机构规范账务。</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第三</w:t>
      </w:r>
      <w:r>
        <w:rPr>
          <w:rFonts w:hint="eastAsia" w:ascii="Times New Roman" w:hAnsi="Times New Roman" w:eastAsia="仿宋_GB2312" w:cs="仿宋_GB2312"/>
          <w:b/>
          <w:bCs/>
          <w:sz w:val="32"/>
          <w:szCs w:val="32"/>
          <w:lang w:eastAsia="zh-CN"/>
        </w:rPr>
        <w:t>节</w:t>
      </w:r>
      <w:r>
        <w:rPr>
          <w:rFonts w:hint="eastAsia" w:ascii="Times New Roman" w:hAnsi="Times New Roman" w:eastAsia="仿宋_GB2312" w:cs="仿宋_GB2312"/>
          <w:b/>
          <w:bCs/>
          <w:sz w:val="32"/>
          <w:szCs w:val="32"/>
        </w:rPr>
        <w:t xml:space="preserve"> 开办之后的通用义务指引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年报公示</w:t>
      </w:r>
      <w:r>
        <w:rPr>
          <w:rFonts w:hint="eastAsia" w:ascii="Times New Roman" w:hAnsi="Times New Roman" w:eastAsia="仿宋_GB2312" w:cs="仿宋_GB2312"/>
          <w:b w:val="0"/>
          <w:bCs w:val="0"/>
          <w:sz w:val="32"/>
          <w:szCs w:val="32"/>
          <w:lang w:eastAsia="zh-CN"/>
        </w:rPr>
        <w:t>义务</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color w:val="000000"/>
          <w:sz w:val="32"/>
          <w:szCs w:val="32"/>
        </w:rPr>
        <w:t>每年6月30日之前完成上一年度企业年报；股权、注册地址、联系电话发生变动，及时公示企业即时信息。逾期未年报将被列入经营异常名录。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知识产权合规</w:t>
      </w:r>
      <w:r>
        <w:rPr>
          <w:rFonts w:hint="eastAsia" w:ascii="Times New Roman" w:hAnsi="Times New Roman" w:eastAsia="仿宋_GB2312" w:cs="仿宋_GB2312"/>
          <w:b w:val="0"/>
          <w:bCs w:val="0"/>
          <w:sz w:val="32"/>
          <w:szCs w:val="32"/>
          <w:lang w:eastAsia="zh-CN"/>
        </w:rPr>
        <w:t>义务</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color w:val="000000"/>
          <w:sz w:val="32"/>
          <w:szCs w:val="32"/>
        </w:rPr>
        <w:t>使用AI生成图文、音频、视频开展经营，应当厘清AI生成素材版权权属；不得盗用第三方商标、图片、视频、文案等知识产权成果。</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rPr>
        <w:t>广告宣传红线：</w:t>
      </w:r>
      <w:r>
        <w:rPr>
          <w:rFonts w:hint="eastAsia" w:ascii="Times New Roman" w:hAnsi="Times New Roman" w:eastAsia="仿宋_GB2312" w:cs="仿宋_GB2312"/>
          <w:color w:val="000000"/>
          <w:sz w:val="32"/>
          <w:szCs w:val="32"/>
        </w:rPr>
        <w:t>宣传禁止使用绝对化用语、虚假承诺、保本保收益等违法表述；即便全部内容由AI生成对外发布广告，市场主体经营者承担第一主体责任。</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rPr>
        <w:t>投诉举报</w:t>
      </w:r>
      <w:r>
        <w:rPr>
          <w:rFonts w:hint="eastAsia" w:ascii="Times New Roman" w:hAnsi="Times New Roman" w:eastAsia="仿宋_GB2312" w:cs="仿宋_GB2312"/>
          <w:b w:val="0"/>
          <w:bCs w:val="0"/>
          <w:sz w:val="32"/>
          <w:szCs w:val="32"/>
          <w:lang w:eastAsia="zh-CN"/>
        </w:rPr>
        <w:t>管理</w:t>
      </w:r>
      <w:r>
        <w:rPr>
          <w:rFonts w:hint="eastAsia" w:ascii="Times New Roman" w:hAnsi="Times New Roman" w:eastAsia="仿宋_GB2312" w:cs="仿宋_GB2312"/>
          <w:b w:val="0"/>
          <w:bCs w:val="0"/>
          <w:sz w:val="32"/>
          <w:szCs w:val="32"/>
        </w:rPr>
        <w:t>：</w:t>
      </w:r>
      <w:r>
        <w:rPr>
          <w:rFonts w:hint="eastAsia" w:ascii="Times New Roman" w:hAnsi="Times New Roman" w:eastAsia="仿宋_GB2312" w:cs="仿宋_GB2312"/>
          <w:color w:val="000000"/>
          <w:sz w:val="32"/>
          <w:szCs w:val="32"/>
        </w:rPr>
        <w:t>建立业务台账、沟通记录留存制度，妥善处置消费投诉；注意甄别牟利式批量投诉、恶意索赔，完整保存业务沟通证据，必要时向监管部门求助。</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第四</w:t>
      </w:r>
      <w:r>
        <w:rPr>
          <w:rFonts w:hint="eastAsia" w:ascii="Times New Roman" w:hAnsi="Times New Roman" w:eastAsia="仿宋_GB2312" w:cs="仿宋_GB2312"/>
          <w:b/>
          <w:bCs/>
          <w:sz w:val="32"/>
          <w:szCs w:val="32"/>
          <w:lang w:eastAsia="zh-CN"/>
        </w:rPr>
        <w:t>节</w:t>
      </w:r>
      <w:r>
        <w:rPr>
          <w:rFonts w:hint="eastAsia" w:ascii="Times New Roman" w:hAnsi="Times New Roman" w:eastAsia="仿宋_GB2312" w:cs="仿宋_GB2312"/>
          <w:b/>
          <w:bCs/>
          <w:sz w:val="32"/>
          <w:szCs w:val="32"/>
        </w:rPr>
        <w:t xml:space="preserve"> 咨询渠道总览</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商事登记咨询：</w:t>
      </w:r>
      <w:r>
        <w:rPr>
          <w:rFonts w:hint="eastAsia" w:ascii="Times New Roman" w:hAnsi="Times New Roman" w:eastAsia="仿宋_GB2312" w:cs="仿宋_GB2312"/>
          <w:color w:val="000000"/>
          <w:sz w:val="32"/>
          <w:szCs w:val="32"/>
        </w:rPr>
        <w:t>昆明市官渡区市场监督管理局登记审批科、官渡区政务服务中心市场监管综合窗口</w:t>
      </w:r>
      <w:r>
        <w:rPr>
          <w:rFonts w:hint="eastAsia" w:ascii="Times New Roman" w:hAnsi="Times New Roman" w:eastAsia="仿宋_GB2312" w:cs="仿宋_GB2312"/>
          <w:sz w:val="32"/>
          <w:szCs w:val="32"/>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lang w:eastAsia="zh-CN"/>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行业专项业务：</w:t>
      </w:r>
      <w:r>
        <w:rPr>
          <w:rFonts w:hint="eastAsia" w:ascii="Times New Roman" w:hAnsi="Times New Roman" w:eastAsia="仿宋_GB2312" w:cs="仿宋_GB2312"/>
          <w:color w:val="000000"/>
          <w:sz w:val="32"/>
          <w:szCs w:val="32"/>
        </w:rPr>
        <w:t>查阅手册各行业板块列明的对应行业主管部门咨询渠道</w:t>
      </w:r>
      <w:r>
        <w:rPr>
          <w:rFonts w:hint="eastAsia" w:ascii="Times New Roman" w:hAnsi="Times New Roman" w:eastAsia="仿宋_GB2312" w:cs="仿宋_GB2312"/>
          <w:color w:val="00000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color w:val="000000"/>
          <w:sz w:val="32"/>
          <w:szCs w:val="32"/>
          <w:lang w:eastAsia="zh-CN"/>
        </w:rPr>
        <w:t>3.公益法律服务：</w:t>
      </w:r>
      <w:r>
        <w:rPr>
          <w:rFonts w:hint="eastAsia" w:ascii="Times New Roman" w:hAnsi="Times New Roman" w:eastAsia="仿宋_GB2312" w:cs="仿宋_GB2312"/>
          <w:color w:val="000000"/>
          <w:sz w:val="32"/>
          <w:szCs w:val="32"/>
          <w:lang w:eastAsia="zh-CN"/>
        </w:rPr>
        <w:t>官渡区公共法律服务中心。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lang w:val="en-US" w:eastAsia="zh-CN"/>
        </w:rPr>
      </w:pPr>
      <w:r>
        <w:rPr>
          <w:rFonts w:hint="eastAsia" w:ascii="Times New Roman" w:hAnsi="Times New Roman" w:eastAsia="楷体_GB2312" w:cs="楷体_GB2312"/>
          <w:b w:val="0"/>
          <w:bCs w:val="0"/>
          <w:sz w:val="32"/>
          <w:szCs w:val="32"/>
          <w:lang w:eastAsia="zh-CN"/>
        </w:rPr>
        <w:t>第二章</w:t>
      </w:r>
      <w:r>
        <w:rPr>
          <w:rFonts w:hint="eastAsia" w:ascii="Times New Roman" w:hAnsi="Times New Roman" w:eastAsia="楷体_GB2312" w:cs="楷体_GB2312"/>
          <w:b w:val="0"/>
          <w:bCs w:val="0"/>
          <w:sz w:val="32"/>
          <w:szCs w:val="32"/>
          <w:lang w:val="en-US" w:eastAsia="zh-CN"/>
        </w:rPr>
        <w:t xml:space="preserve"> 行业合规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lang w:eastAsia="zh-CN"/>
        </w:rPr>
      </w:pPr>
      <w:r>
        <w:rPr>
          <w:rFonts w:hint="eastAsia" w:ascii="Times New Roman" w:hAnsi="Times New Roman" w:eastAsia="仿宋_GB2312" w:cs="仿宋_GB2312"/>
          <w:b/>
          <w:bCs/>
          <w:sz w:val="32"/>
          <w:szCs w:val="32"/>
          <w:lang w:eastAsia="zh-CN"/>
        </w:rPr>
        <w:t>第一节</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lang w:eastAsia="zh-CN"/>
        </w:rPr>
        <w:t>主管单位：官渡区卫生健康局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highlight w:val="none"/>
        </w:rPr>
      </w:pPr>
      <w:r>
        <w:rPr>
          <w:rFonts w:hint="eastAsia" w:ascii="Times New Roman" w:hAnsi="Times New Roman" w:eastAsia="仿宋_GB2312" w:cs="仿宋_GB2312"/>
          <w:b w:val="0"/>
          <w:bCs w:val="0"/>
          <w:sz w:val="32"/>
          <w:szCs w:val="32"/>
          <w:highlight w:val="none"/>
          <w:lang w:eastAsia="zh-CN"/>
        </w:rPr>
        <w:t>一、</w:t>
      </w:r>
      <w:r>
        <w:rPr>
          <w:rFonts w:hint="eastAsia" w:ascii="Times New Roman" w:hAnsi="Times New Roman" w:eastAsia="仿宋_GB2312" w:cs="仿宋_GB2312"/>
          <w:b w:val="0"/>
          <w:bCs w:val="0"/>
          <w:sz w:val="32"/>
          <w:szCs w:val="32"/>
          <w:highlight w:val="none"/>
        </w:rPr>
        <w:t>本行业</w:t>
      </w:r>
      <w:r>
        <w:rPr>
          <w:rFonts w:hint="eastAsia" w:ascii="Times New Roman" w:hAnsi="Times New Roman" w:eastAsia="仿宋_GB2312" w:cs="仿宋_GB2312"/>
          <w:b w:val="0"/>
          <w:bCs w:val="0"/>
          <w:sz w:val="32"/>
          <w:szCs w:val="32"/>
          <w:highlight w:val="none"/>
          <w:lang w:eastAsia="zh-CN"/>
        </w:rPr>
        <w:t>官渡本地</w:t>
      </w:r>
      <w:r>
        <w:rPr>
          <w:rFonts w:hint="eastAsia" w:ascii="Times New Roman" w:hAnsi="Times New Roman" w:eastAsia="仿宋_GB2312" w:cs="仿宋_GB2312"/>
          <w:b w:val="0"/>
          <w:bCs w:val="0"/>
          <w:sz w:val="32"/>
          <w:szCs w:val="32"/>
          <w:highlight w:val="none"/>
        </w:rPr>
        <w:t>AI+OPC典型经营场景：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1.借助AI大模型生成健康科普图文、短视频、科普海报，进行自媒体账号运营；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2.AI辅助开展线上或线下健康咨询、体质评估、康养方案定制推送；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3.依托AI工具输出养生保健知识、居家健康指导、非医疗康养服务方案；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4.AI生成健康类课程、健康测评问卷，向社会公众付费或免费推送；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5.利用AI进行健康数据趋势分析，为用户提供个性化的生活方式建议（不涉及疾病诊断）。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val="0"/>
          <w:bCs w:val="0"/>
          <w:sz w:val="32"/>
          <w:szCs w:val="32"/>
          <w:lang w:eastAsia="zh-CN"/>
        </w:rPr>
        <w:t>二、准入要求：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val="0"/>
          <w:bCs w:val="0"/>
          <w:sz w:val="32"/>
          <w:szCs w:val="32"/>
          <w:lang w:val="en-US" w:eastAsia="zh-CN"/>
        </w:rPr>
        <w:t>1</w:t>
      </w:r>
      <w:r>
        <w:rPr>
          <w:rFonts w:hint="default" w:ascii="Times New Roman" w:hAnsi="Times New Roman" w:eastAsia="仿宋_GB2312" w:cs="Times New Roman"/>
          <w:b w:val="0"/>
          <w:bCs w:val="0"/>
          <w:strike w:val="0"/>
          <w:dstrike w:val="0"/>
          <w:sz w:val="32"/>
          <w:szCs w:val="32"/>
        </w:rPr>
        <w:t>.</w:t>
      </w:r>
      <w:r>
        <w:rPr>
          <w:rFonts w:hint="eastAsia" w:ascii="Times New Roman" w:hAnsi="Times New Roman" w:eastAsia="仿宋_GB2312" w:cs="仿宋_GB2312"/>
          <w:b w:val="0"/>
          <w:bCs w:val="0"/>
          <w:sz w:val="32"/>
          <w:szCs w:val="32"/>
          <w:lang w:eastAsia="zh-CN"/>
        </w:rPr>
        <w:t>备案管理（诊所类）：</w:t>
      </w:r>
      <w:r>
        <w:rPr>
          <w:rFonts w:hint="eastAsia" w:ascii="Times New Roman" w:hAnsi="Times New Roman" w:eastAsia="仿宋_GB2312" w:cs="仿宋_GB2312"/>
          <w:sz w:val="32"/>
          <w:szCs w:val="32"/>
          <w:lang w:eastAsia="zh-CN"/>
        </w:rPr>
        <w:t>凡涉及</w:t>
      </w:r>
      <w:r>
        <w:rPr>
          <w:rFonts w:hint="eastAsia" w:ascii="Times New Roman" w:hAnsi="Times New Roman" w:eastAsia="仿宋_GB2312" w:cs="仿宋_GB2312"/>
          <w:b/>
          <w:bCs/>
          <w:sz w:val="32"/>
          <w:szCs w:val="32"/>
          <w:lang w:eastAsia="zh-CN"/>
        </w:rPr>
        <w:t>线下</w:t>
      </w:r>
      <w:r>
        <w:rPr>
          <w:rFonts w:hint="eastAsia" w:ascii="Times New Roman" w:hAnsi="Times New Roman" w:eastAsia="仿宋_GB2312" w:cs="仿宋_GB2312"/>
          <w:sz w:val="32"/>
          <w:szCs w:val="32"/>
          <w:lang w:eastAsia="zh-CN"/>
        </w:rPr>
        <w:t>疾病咨询、诊疗建议、医学诊断、医疗保健服务等医疗执业活动，符合诊所设置条件的</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Times New Roman"/>
          <w:strike w:val="0"/>
          <w:dstrike w:val="0"/>
          <w:sz w:val="32"/>
          <w:szCs w:val="32"/>
        </w:rPr>
        <w:t>需要向</w:t>
      </w:r>
      <w:r>
        <w:rPr>
          <w:rFonts w:hint="eastAsia" w:ascii="Times New Roman" w:hAnsi="Times New Roman" w:eastAsia="仿宋_GB2312" w:cs="Times New Roman"/>
          <w:strike w:val="0"/>
          <w:dstrike w:val="0"/>
          <w:sz w:val="32"/>
          <w:szCs w:val="32"/>
          <w:lang w:eastAsia="zh-CN"/>
        </w:rPr>
        <w:t>区卫生健康局</w:t>
      </w:r>
      <w:r>
        <w:rPr>
          <w:rFonts w:hint="default" w:ascii="Times New Roman" w:hAnsi="Times New Roman" w:eastAsia="仿宋_GB2312" w:cs="Times New Roman"/>
          <w:strike w:val="0"/>
          <w:dstrike w:val="0"/>
          <w:sz w:val="32"/>
          <w:szCs w:val="32"/>
        </w:rPr>
        <w:t>办理</w:t>
      </w:r>
      <w:r>
        <w:rPr>
          <w:rFonts w:hint="eastAsia" w:ascii="Times New Roman" w:hAnsi="Times New Roman" w:eastAsia="仿宋_GB2312" w:cs="仿宋_GB2312"/>
          <w:sz w:val="32"/>
          <w:szCs w:val="32"/>
          <w:lang w:eastAsia="zh-CN"/>
        </w:rPr>
        <w:t>诊所备案，取得《诊所备案证》后依法依规按备案诊疗地点及范围</w:t>
      </w:r>
      <w:r>
        <w:rPr>
          <w:rFonts w:hint="default" w:ascii="Times New Roman" w:hAnsi="Times New Roman" w:eastAsia="仿宋_GB2312" w:cs="Times New Roman"/>
          <w:strike w:val="0"/>
          <w:dstrike w:val="0"/>
          <w:sz w:val="32"/>
          <w:szCs w:val="32"/>
        </w:rPr>
        <w:t>开展</w:t>
      </w:r>
      <w:r>
        <w:rPr>
          <w:rFonts w:hint="eastAsia" w:ascii="Times New Roman" w:hAnsi="Times New Roman" w:eastAsia="仿宋_GB2312" w:cs="仿宋_GB2312"/>
          <w:sz w:val="32"/>
          <w:szCs w:val="32"/>
          <w:lang w:eastAsia="zh-CN"/>
        </w:rPr>
        <w:t>执业</w:t>
      </w:r>
      <w:r>
        <w:rPr>
          <w:rFonts w:hint="default" w:ascii="Times New Roman" w:hAnsi="Times New Roman" w:eastAsia="仿宋_GB2312" w:cs="Times New Roman"/>
          <w:strike w:val="0"/>
          <w:dstrike w:val="0"/>
          <w:sz w:val="32"/>
          <w:szCs w:val="32"/>
        </w:rPr>
        <w:t>活动</w:t>
      </w:r>
      <w:r>
        <w:rPr>
          <w:rFonts w:hint="eastAsia" w:ascii="Times New Roman" w:hAnsi="Times New Roman" w:eastAsia="仿宋_GB2312" w:cs="Times New Roman"/>
          <w:strike w:val="0"/>
          <w:dstrike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Times New Roman"/>
          <w:b w:val="0"/>
          <w:bCs w:val="0"/>
          <w:strike w:val="0"/>
          <w:dstrike w:val="0"/>
          <w:sz w:val="32"/>
          <w:szCs w:val="32"/>
          <w:lang w:val="en-US" w:eastAsia="zh-CN"/>
        </w:rPr>
        <w:t>2</w:t>
      </w:r>
      <w:r>
        <w:rPr>
          <w:rFonts w:hint="default" w:ascii="Times New Roman" w:hAnsi="Times New Roman" w:eastAsia="仿宋_GB2312" w:cs="Times New Roman"/>
          <w:b w:val="0"/>
          <w:bCs w:val="0"/>
          <w:strike w:val="0"/>
          <w:dstrike w:val="0"/>
          <w:sz w:val="32"/>
          <w:szCs w:val="32"/>
        </w:rPr>
        <w:t>.必须取得专项许可后方可经营（其他医疗机构及互联网诊疗）：</w:t>
      </w:r>
      <w:r>
        <w:rPr>
          <w:rFonts w:hint="eastAsia" w:ascii="Times New Roman" w:hAnsi="Times New Roman" w:eastAsia="仿宋_GB2312" w:cs="仿宋_GB2312"/>
          <w:sz w:val="32"/>
          <w:szCs w:val="32"/>
          <w:lang w:eastAsia="zh-CN"/>
        </w:rPr>
        <w:t>凡涉及</w:t>
      </w:r>
      <w:r>
        <w:rPr>
          <w:rFonts w:hint="eastAsia" w:ascii="Times New Roman" w:hAnsi="Times New Roman" w:eastAsia="仿宋_GB2312" w:cs="仿宋_GB2312"/>
          <w:b/>
          <w:bCs/>
          <w:sz w:val="32"/>
          <w:szCs w:val="32"/>
          <w:lang w:eastAsia="zh-CN"/>
        </w:rPr>
        <w:t>线下</w:t>
      </w:r>
      <w:r>
        <w:rPr>
          <w:rFonts w:hint="eastAsia" w:ascii="Times New Roman" w:hAnsi="Times New Roman" w:eastAsia="仿宋_GB2312" w:cs="仿宋_GB2312"/>
          <w:sz w:val="32"/>
          <w:szCs w:val="32"/>
          <w:lang w:eastAsia="zh-CN"/>
        </w:rPr>
        <w:t>疾病咨询、诊疗建议、医学诊断、医疗保健服务等医疗执业活动的机构，符合诊所以外的医疗机构设置条件的</w:t>
      </w:r>
      <w:r>
        <w:rPr>
          <w:rFonts w:hint="eastAsia" w:ascii="Times New Roman" w:hAnsi="Times New Roman" w:eastAsia="仿宋_GB2312" w:cs="仿宋_GB2312"/>
          <w:sz w:val="32"/>
          <w:szCs w:val="32"/>
          <w:lang w:val="en-US" w:eastAsia="zh-CN"/>
        </w:rPr>
        <w:t>，</w:t>
      </w:r>
      <w:r>
        <w:rPr>
          <w:rFonts w:hint="default" w:ascii="Times New Roman" w:hAnsi="Times New Roman" w:eastAsia="仿宋_GB2312" w:cs="Times New Roman"/>
          <w:strike w:val="0"/>
          <w:dstrike w:val="0"/>
          <w:sz w:val="32"/>
          <w:szCs w:val="32"/>
        </w:rPr>
        <w:t>需要向</w:t>
      </w:r>
      <w:r>
        <w:rPr>
          <w:rFonts w:hint="eastAsia" w:ascii="Times New Roman" w:hAnsi="Times New Roman" w:eastAsia="仿宋_GB2312" w:cs="Times New Roman"/>
          <w:strike w:val="0"/>
          <w:dstrike w:val="0"/>
          <w:sz w:val="32"/>
          <w:szCs w:val="32"/>
          <w:lang w:eastAsia="zh-CN"/>
        </w:rPr>
        <w:t>区卫生健康局申请医疗机构许可</w:t>
      </w:r>
      <w:r>
        <w:rPr>
          <w:rFonts w:hint="eastAsia" w:ascii="Times New Roman" w:hAnsi="Times New Roman" w:eastAsia="仿宋_GB2312" w:cs="仿宋_GB2312"/>
          <w:sz w:val="32"/>
          <w:szCs w:val="32"/>
          <w:lang w:eastAsia="zh-CN"/>
        </w:rPr>
        <w:t>，须经审批取得《医疗机构执业许可证》（后置审批）后依法依规按备案诊疗地点及范围</w:t>
      </w:r>
      <w:r>
        <w:rPr>
          <w:rFonts w:hint="default" w:ascii="Times New Roman" w:hAnsi="Times New Roman" w:eastAsia="仿宋_GB2312" w:cs="Times New Roman"/>
          <w:strike w:val="0"/>
          <w:dstrike w:val="0"/>
          <w:sz w:val="32"/>
          <w:szCs w:val="32"/>
        </w:rPr>
        <w:t>开展</w:t>
      </w:r>
      <w:r>
        <w:rPr>
          <w:rFonts w:hint="eastAsia" w:ascii="Times New Roman" w:hAnsi="Times New Roman" w:eastAsia="仿宋_GB2312" w:cs="仿宋_GB2312"/>
          <w:sz w:val="32"/>
          <w:szCs w:val="32"/>
          <w:lang w:eastAsia="zh-CN"/>
        </w:rPr>
        <w:t>执业</w:t>
      </w:r>
      <w:r>
        <w:rPr>
          <w:rFonts w:hint="default" w:ascii="Times New Roman" w:hAnsi="Times New Roman" w:eastAsia="仿宋_GB2312" w:cs="Times New Roman"/>
          <w:strike w:val="0"/>
          <w:dstrike w:val="0"/>
          <w:sz w:val="32"/>
          <w:szCs w:val="32"/>
        </w:rPr>
        <w:t>活动</w:t>
      </w:r>
      <w:r>
        <w:rPr>
          <w:rFonts w:hint="eastAsia" w:ascii="Times New Roman" w:hAnsi="Times New Roman" w:eastAsia="仿宋_GB2312" w:cs="Times New Roman"/>
          <w:strike w:val="0"/>
          <w:dstrike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凡涉及</w:t>
      </w:r>
      <w:r>
        <w:rPr>
          <w:rFonts w:hint="eastAsia" w:ascii="Times New Roman" w:hAnsi="Times New Roman" w:eastAsia="仿宋_GB2312" w:cs="仿宋_GB2312"/>
          <w:b/>
          <w:bCs/>
          <w:sz w:val="32"/>
          <w:szCs w:val="32"/>
          <w:lang w:eastAsia="zh-CN"/>
        </w:rPr>
        <w:t>线上</w:t>
      </w:r>
      <w:r>
        <w:rPr>
          <w:rFonts w:hint="eastAsia" w:ascii="Times New Roman" w:hAnsi="Times New Roman" w:eastAsia="仿宋_GB2312" w:cs="仿宋_GB2312"/>
          <w:sz w:val="32"/>
          <w:szCs w:val="32"/>
          <w:lang w:eastAsia="zh-CN"/>
        </w:rPr>
        <w:t>问诊、疾病咨询、诊疗建议、医学诊断、医疗保健服务等医疗执业活动的机构，须由门诊部级别以上的医疗机构在取得《医疗机构执业许可证》后向昆明市卫健委申请互联网医院执业登记，经登记并接入省级互联网医疗服务监管平台后方能依法依规按备案诊疗地点及范围</w:t>
      </w:r>
      <w:r>
        <w:rPr>
          <w:rFonts w:hint="default" w:ascii="Times New Roman" w:hAnsi="Times New Roman" w:eastAsia="仿宋_GB2312" w:cs="Times New Roman"/>
          <w:strike w:val="0"/>
          <w:dstrike w:val="0"/>
          <w:sz w:val="32"/>
          <w:szCs w:val="32"/>
        </w:rPr>
        <w:t>开展</w:t>
      </w:r>
      <w:r>
        <w:rPr>
          <w:rFonts w:hint="eastAsia" w:ascii="Times New Roman" w:hAnsi="Times New Roman" w:eastAsia="仿宋_GB2312" w:cs="仿宋_GB2312"/>
          <w:sz w:val="32"/>
          <w:szCs w:val="32"/>
          <w:lang w:eastAsia="zh-CN"/>
        </w:rPr>
        <w:t>执业</w:t>
      </w:r>
      <w:r>
        <w:rPr>
          <w:rFonts w:hint="default" w:ascii="Times New Roman" w:hAnsi="Times New Roman" w:eastAsia="仿宋_GB2312" w:cs="Times New Roman"/>
          <w:strike w:val="0"/>
          <w:dstrike w:val="0"/>
          <w:sz w:val="32"/>
          <w:szCs w:val="32"/>
        </w:rPr>
        <w:t>活动</w:t>
      </w:r>
      <w:r>
        <w:rPr>
          <w:rFonts w:hint="eastAsia" w:ascii="Times New Roman" w:hAnsi="Times New Roman" w:eastAsia="仿宋_GB2312" w:cs="Times New Roman"/>
          <w:strike w:val="0"/>
          <w:dstrike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三、创业前置陪伴自查清单：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1 </w:t>
      </w:r>
      <w:r>
        <w:rPr>
          <w:rFonts w:hint="eastAsia" w:ascii="Times New Roman" w:hAnsi="Times New Roman" w:eastAsia="仿宋_GB2312" w:cs="仿宋_GB2312"/>
          <w:sz w:val="32"/>
          <w:szCs w:val="32"/>
          <w:lang w:eastAsia="zh-CN"/>
        </w:rPr>
        <w:t>是否能够清晰区分普通健康科普与医疗诊疗服务的法律边界？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2 </w:t>
      </w:r>
      <w:r>
        <w:rPr>
          <w:rFonts w:hint="eastAsia" w:ascii="Times New Roman" w:hAnsi="Times New Roman" w:eastAsia="仿宋_GB2312" w:cs="仿宋_GB2312"/>
          <w:sz w:val="32"/>
          <w:szCs w:val="32"/>
          <w:lang w:eastAsia="zh-CN"/>
        </w:rPr>
        <w:t>是否能够在未取得《医疗机构执业许可证》或《诊所备案证》的情况下，绝不提供任何诊疗建议、疾病诊断或用药指导？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3 </w:t>
      </w:r>
      <w:r>
        <w:rPr>
          <w:rFonts w:hint="eastAsia" w:ascii="Times New Roman" w:hAnsi="Times New Roman" w:eastAsia="仿宋_GB2312" w:cs="仿宋_GB2312"/>
          <w:sz w:val="32"/>
          <w:szCs w:val="32"/>
          <w:lang w:eastAsia="zh-CN"/>
        </w:rPr>
        <w:t>AI生成的健康内容是否经权威医学来源核实，杜绝虚假或未经证实的医学信息？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4 </w:t>
      </w:r>
      <w:r>
        <w:rPr>
          <w:rFonts w:hint="eastAsia" w:ascii="Times New Roman" w:hAnsi="Times New Roman" w:eastAsia="仿宋_GB2312" w:cs="仿宋_GB2312"/>
          <w:sz w:val="32"/>
          <w:szCs w:val="32"/>
          <w:lang w:eastAsia="zh-CN"/>
        </w:rPr>
        <w:t>是否知晓不得利用AI工具输出疾病诊断结论、具体用药方案或处方类内容？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5 </w:t>
      </w:r>
      <w:r>
        <w:rPr>
          <w:rFonts w:hint="eastAsia" w:ascii="Times New Roman" w:hAnsi="Times New Roman" w:eastAsia="仿宋_GB2312" w:cs="仿宋_GB2312"/>
          <w:sz w:val="32"/>
          <w:szCs w:val="32"/>
          <w:lang w:eastAsia="zh-CN"/>
        </w:rPr>
        <w:t>是否了解互联网诊疗仅限常见病、慢性病复诊，严禁对首诊患者开展线上诊疗？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四、禁止性行为清单：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各经营主体在开展相关业务时，严禁实施下列行为：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1 </w:t>
      </w:r>
      <w:r>
        <w:rPr>
          <w:rFonts w:hint="eastAsia" w:ascii="Times New Roman" w:hAnsi="Times New Roman" w:eastAsia="仿宋_GB2312" w:cs="仿宋_GB2312"/>
          <w:sz w:val="32"/>
          <w:szCs w:val="32"/>
          <w:lang w:eastAsia="zh-CN"/>
        </w:rPr>
        <w:t>未取得《医疗机构执业许可证》或《诊所备案证》，或未经核准互联网诊疗服务方式的，不得借助AI开展线上问诊、疾病诊断或医疗咨询；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2 </w:t>
      </w:r>
      <w:r>
        <w:rPr>
          <w:rFonts w:hint="eastAsia" w:ascii="Times New Roman" w:hAnsi="Times New Roman" w:eastAsia="仿宋_GB2312" w:cs="仿宋_GB2312"/>
          <w:sz w:val="32"/>
          <w:szCs w:val="32"/>
          <w:lang w:eastAsia="zh-CN"/>
        </w:rPr>
        <w:t>不得利用AI生成内容擅自给出用药建议、处方或具体疾病治疗方案；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3 </w:t>
      </w:r>
      <w:r>
        <w:rPr>
          <w:rFonts w:hint="eastAsia" w:ascii="Times New Roman" w:hAnsi="Times New Roman" w:eastAsia="仿宋_GB2312" w:cs="仿宋_GB2312"/>
          <w:sz w:val="32"/>
          <w:szCs w:val="32"/>
          <w:lang w:eastAsia="zh-CN"/>
        </w:rPr>
        <w:t>不得假借健康科普、养生保健名义，变相开展非法医疗执业活动；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4 </w:t>
      </w:r>
      <w:r>
        <w:rPr>
          <w:rFonts w:hint="eastAsia" w:ascii="Times New Roman" w:hAnsi="Times New Roman" w:eastAsia="仿宋_GB2312" w:cs="仿宋_GB2312"/>
          <w:sz w:val="32"/>
          <w:szCs w:val="32"/>
          <w:lang w:eastAsia="zh-CN"/>
        </w:rPr>
        <w:t>不得使用AI伪造医学专家证言、虚构诊疗案例或疗效数据，进行商业宣传；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5 </w:t>
      </w:r>
      <w:r>
        <w:rPr>
          <w:rFonts w:hint="eastAsia" w:ascii="Times New Roman" w:hAnsi="Times New Roman" w:eastAsia="仿宋_GB2312" w:cs="仿宋_GB2312"/>
          <w:sz w:val="32"/>
          <w:szCs w:val="32"/>
          <w:lang w:eastAsia="zh-CN"/>
        </w:rPr>
        <w:t>不得通过AI生成虚假医疗功效宣称，误导消费者购买保健产品或接受非法服务；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6 </w:t>
      </w:r>
      <w:r>
        <w:rPr>
          <w:rFonts w:hint="eastAsia" w:ascii="Times New Roman" w:hAnsi="Times New Roman" w:eastAsia="仿宋_GB2312" w:cs="仿宋_GB2312"/>
          <w:sz w:val="32"/>
          <w:szCs w:val="32"/>
          <w:lang w:eastAsia="zh-CN"/>
        </w:rPr>
        <w:t>开展互联网诊疗时，不得使用AI替代医师本人接诊，医师须亲自问诊并签署电子病历；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7 </w:t>
      </w:r>
      <w:r>
        <w:rPr>
          <w:rFonts w:hint="eastAsia" w:ascii="Times New Roman" w:hAnsi="Times New Roman" w:eastAsia="仿宋_GB2312" w:cs="仿宋_GB2312"/>
          <w:sz w:val="32"/>
          <w:szCs w:val="32"/>
          <w:lang w:eastAsia="zh-CN"/>
        </w:rPr>
        <w:t>不得超出《医疗机构执业许可证》登记的执业范围开展线上医疗服务。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五、</w:t>
      </w:r>
      <w:r>
        <w:rPr>
          <w:rFonts w:hint="eastAsia" w:ascii="Times New Roman" w:hAnsi="Times New Roman" w:eastAsia="仿宋_GB2312" w:cs="仿宋_GB2312"/>
          <w:b w:val="0"/>
          <w:bCs w:val="0"/>
          <w:sz w:val="32"/>
          <w:szCs w:val="32"/>
        </w:rPr>
        <w:t>业务咨询渠道：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业务科室：官渡区卫生健康局</w:t>
      </w:r>
      <w:r>
        <w:rPr>
          <w:rFonts w:hint="eastAsia" w:ascii="Times New Roman" w:hAnsi="Times New Roman" w:eastAsia="仿宋_GB2312" w:cs="仿宋_GB2312"/>
          <w:sz w:val="32"/>
          <w:szCs w:val="32"/>
          <w:lang w:eastAsia="zh-CN"/>
        </w:rPr>
        <w:t>医政医管科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办公地址：昆明市官渡区云秀路 2898 号官渡区人民政府</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 xml:space="preserve"> 号楼</w:t>
      </w:r>
      <w:r>
        <w:rPr>
          <w:rFonts w:hint="eastAsia" w:ascii="Times New Roman" w:hAnsi="Times New Roman" w:eastAsia="仿宋_GB2312" w:cs="仿宋_GB2312"/>
          <w:sz w:val="32"/>
          <w:szCs w:val="32"/>
          <w:lang w:val="en-US" w:eastAsia="zh-CN"/>
        </w:rPr>
        <w:t>1261办公室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咨询电话：</w:t>
      </w:r>
      <w:r>
        <w:rPr>
          <w:rFonts w:hint="eastAsia" w:ascii="Times New Roman" w:hAnsi="Times New Roman" w:eastAsia="仿宋_GB2312" w:cs="仿宋_GB2312"/>
          <w:sz w:val="32"/>
          <w:szCs w:val="32"/>
          <w:lang w:val="en-US" w:eastAsia="zh-CN"/>
        </w:rPr>
        <w:t>0871-66190261</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第二节</w:t>
      </w:r>
      <w:r>
        <w:rPr>
          <w:rFonts w:hint="eastAsia" w:ascii="Times New Roman" w:hAnsi="Times New Roman" w:eastAsia="仿宋_GB2312" w:cs="仿宋_GB2312"/>
          <w:b/>
          <w:bCs/>
          <w:color w:val="auto"/>
          <w:sz w:val="32"/>
          <w:szCs w:val="32"/>
          <w:highlight w:val="none"/>
          <w:lang w:val="en-US" w:eastAsia="zh-CN"/>
        </w:rPr>
        <w:t xml:space="preserve"> </w:t>
      </w:r>
      <w:r>
        <w:rPr>
          <w:rFonts w:hint="eastAsia" w:ascii="Times New Roman" w:hAnsi="Times New Roman" w:eastAsia="仿宋_GB2312" w:cs="仿宋_GB2312"/>
          <w:b/>
          <w:bCs/>
          <w:color w:val="auto"/>
          <w:sz w:val="32"/>
          <w:szCs w:val="32"/>
          <w:highlight w:val="none"/>
          <w:lang w:eastAsia="zh-CN"/>
        </w:rPr>
        <w:t>主管单位：区财政局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val="en-US" w:eastAsia="zh-CN"/>
        </w:rPr>
        <w:t>一、</w:t>
      </w:r>
      <w:r>
        <w:rPr>
          <w:rFonts w:hint="eastAsia" w:ascii="Times New Roman" w:hAnsi="Times New Roman" w:eastAsia="仿宋_GB2312" w:cs="仿宋_GB2312"/>
          <w:b w:val="0"/>
          <w:bCs w:val="0"/>
          <w:color w:val="auto"/>
          <w:sz w:val="32"/>
          <w:szCs w:val="32"/>
          <w:highlight w:val="none"/>
          <w:lang w:eastAsia="zh-CN"/>
        </w:rPr>
        <w:t>本行业官渡本地AI+OPC典型经营场景：结合省融信服平台，AI匹配中小微企业与银行间融资需求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val="en-US" w:eastAsia="zh-CN"/>
        </w:rPr>
        <w:t>二、</w:t>
      </w:r>
      <w:r>
        <w:rPr>
          <w:rFonts w:hint="eastAsia" w:ascii="Times New Roman" w:hAnsi="Times New Roman" w:eastAsia="仿宋_GB2312" w:cs="仿宋_GB2312"/>
          <w:b w:val="0"/>
          <w:bCs w:val="0"/>
          <w:color w:val="auto"/>
          <w:sz w:val="32"/>
          <w:szCs w:val="32"/>
          <w:highlight w:val="none"/>
          <w:lang w:eastAsia="zh-CN"/>
        </w:rPr>
        <w:t>准入要求：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必须取得专项许可后方可经营：“7+4”类地方金融组织的新设与变更均需经过云南省地方金融监督管理局前置审批同意后才可进行。</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三、</w:t>
      </w:r>
      <w:r>
        <w:rPr>
          <w:rFonts w:hint="eastAsia" w:ascii="Times New Roman" w:hAnsi="Times New Roman" w:eastAsia="仿宋_GB2312" w:cs="仿宋_GB2312"/>
          <w:b w:val="0"/>
          <w:bCs w:val="0"/>
          <w:color w:val="auto"/>
          <w:sz w:val="32"/>
          <w:szCs w:val="32"/>
          <w:highlight w:val="none"/>
          <w:lang w:eastAsia="zh-CN"/>
        </w:rPr>
        <w:t>创业前置陪伴自查清单：根据想要成立的公司类型，可在云南省地方金融监督管理局官方网站查询相关文件。</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val="en-US" w:eastAsia="zh-CN"/>
        </w:rPr>
        <w:t>四、</w:t>
      </w:r>
      <w:r>
        <w:rPr>
          <w:rFonts w:hint="eastAsia" w:ascii="Times New Roman" w:hAnsi="Times New Roman" w:eastAsia="仿宋_GB2312" w:cs="仿宋_GB2312"/>
          <w:b w:val="0"/>
          <w:bCs w:val="0"/>
          <w:color w:val="auto"/>
          <w:sz w:val="32"/>
          <w:szCs w:val="32"/>
          <w:highlight w:val="none"/>
          <w:lang w:eastAsia="zh-CN"/>
        </w:rPr>
        <w:t>禁止性行为清单：</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1</w:t>
      </w:r>
      <w:r>
        <w:rPr>
          <w:rFonts w:hint="eastAsia" w:ascii="Times New Roman" w:hAnsi="Times New Roman" w:eastAsia="仿宋_GB2312" w:cs="仿宋_GB2312"/>
          <w:b w:val="0"/>
          <w:bCs w:val="0"/>
          <w:color w:val="auto"/>
          <w:sz w:val="32"/>
          <w:szCs w:val="32"/>
          <w:highlight w:val="none"/>
          <w:lang w:val="en-US" w:eastAsia="zh-CN"/>
        </w:rPr>
        <w:t xml:space="preserve"> </w:t>
      </w:r>
      <w:r>
        <w:rPr>
          <w:rFonts w:hint="eastAsia" w:ascii="Times New Roman" w:hAnsi="Times New Roman" w:eastAsia="仿宋_GB2312" w:cs="仿宋_GB2312"/>
          <w:b w:val="0"/>
          <w:bCs w:val="0"/>
          <w:color w:val="auto"/>
          <w:sz w:val="32"/>
          <w:szCs w:val="32"/>
          <w:highlight w:val="none"/>
          <w:lang w:eastAsia="zh-CN"/>
        </w:rPr>
        <w:t>未经批准，公司名称或经营范围中不得包含“小额贷款”“融资担保”“融资租赁”“商业保理”“典当”“财富管理”“基金投资”“基金管理”“资产管理”“交易中心”等字样。</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禁止行为</w:t>
      </w:r>
      <w:r>
        <w:rPr>
          <w:rFonts w:hint="eastAsia" w:ascii="Times New Roman" w:hAnsi="Times New Roman" w:eastAsia="仿宋_GB2312" w:cs="仿宋_GB2312"/>
          <w:b/>
          <w:bCs/>
          <w:color w:val="auto"/>
          <w:sz w:val="32"/>
          <w:szCs w:val="32"/>
          <w:highlight w:val="none"/>
          <w:lang w:val="en-US" w:eastAsia="zh-CN"/>
        </w:rPr>
        <w:t xml:space="preserve">2 </w:t>
      </w:r>
      <w:r>
        <w:rPr>
          <w:rFonts w:hint="eastAsia" w:ascii="Times New Roman" w:hAnsi="Times New Roman" w:eastAsia="仿宋_GB2312" w:cs="仿宋_GB2312"/>
          <w:b w:val="0"/>
          <w:bCs w:val="0"/>
          <w:color w:val="auto"/>
          <w:sz w:val="32"/>
          <w:szCs w:val="32"/>
          <w:highlight w:val="none"/>
          <w:lang w:eastAsia="zh-CN"/>
        </w:rPr>
        <w:t>不得以高息返利、股票上市等诱饵向社会不特定对象吸收资金。</w:t>
      </w:r>
    </w:p>
    <w:p>
      <w:pPr>
        <w:keepNext w:val="0"/>
        <w:keepLines w:val="0"/>
        <w:pageBreakBefore w:val="0"/>
        <w:widowControl w:val="0"/>
        <w:numPr>
          <w:ilvl w:val="0"/>
          <w:numId w:val="2"/>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业务咨询渠道：</w:t>
      </w:r>
    </w:p>
    <w:p>
      <w:pPr>
        <w:keepNext w:val="0"/>
        <w:keepLines w:val="0"/>
        <w:pageBreakBefore w:val="0"/>
        <w:widowControl w:val="0"/>
        <w:numPr>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sz w:val="32"/>
          <w:szCs w:val="32"/>
        </w:rPr>
        <w:t>办公地址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b w:val="0"/>
          <w:bCs w:val="0"/>
          <w:color w:val="auto"/>
          <w:sz w:val="32"/>
          <w:szCs w:val="32"/>
          <w:highlight w:val="none"/>
          <w:lang w:eastAsia="zh-CN"/>
        </w:rPr>
        <w:t>官渡区人民政府区级行政中心1号楼1404办公室</w:t>
      </w:r>
    </w:p>
    <w:p>
      <w:pPr>
        <w:keepNext w:val="0"/>
        <w:keepLines w:val="0"/>
        <w:pageBreakBefore w:val="0"/>
        <w:widowControl w:val="0"/>
        <w:numPr>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咨询电话：67160554。</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lang w:eastAsia="zh-CN"/>
        </w:rPr>
        <w:t>第三节</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bCs/>
          <w:sz w:val="32"/>
          <w:szCs w:val="32"/>
        </w:rPr>
        <w:t>主管单位：</w:t>
      </w:r>
      <w:r>
        <w:rPr>
          <w:rFonts w:hint="eastAsia" w:ascii="Times New Roman" w:hAnsi="Times New Roman" w:eastAsia="仿宋_GB2312" w:cs="仿宋_GB2312"/>
          <w:b/>
          <w:bCs/>
          <w:sz w:val="32"/>
          <w:szCs w:val="32"/>
          <w:lang w:val="en-US" w:eastAsia="zh-CN"/>
        </w:rPr>
        <w:t>官渡区文化和旅游</w:t>
      </w:r>
      <w:r>
        <w:rPr>
          <w:rFonts w:hint="eastAsia" w:ascii="Times New Roman" w:hAnsi="Times New Roman" w:eastAsia="仿宋_GB2312" w:cs="仿宋_GB2312"/>
          <w:b/>
          <w:bCs/>
          <w:sz w:val="32"/>
          <w:szCs w:val="32"/>
        </w:rPr>
        <w:t>局</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0"/>
          <w:sz w:val="32"/>
          <w:szCs w:val="32"/>
          <w:highlight w:val="none"/>
          <w:lang w:val="en-US" w:eastAsia="zh-CN" w:bidi="ar"/>
        </w:rPr>
      </w:pPr>
      <w:r>
        <w:rPr>
          <w:rFonts w:hint="eastAsia" w:ascii="Times New Roman" w:hAnsi="Times New Roman" w:eastAsia="仿宋_GB2312" w:cs="仿宋_GB2312"/>
          <w:b w:val="0"/>
          <w:bCs w:val="0"/>
          <w:color w:val="auto"/>
          <w:sz w:val="32"/>
          <w:szCs w:val="32"/>
          <w:highlight w:val="none"/>
        </w:rPr>
        <w:t>本行业</w:t>
      </w:r>
      <w:r>
        <w:rPr>
          <w:rFonts w:hint="eastAsia" w:ascii="Times New Roman" w:hAnsi="Times New Roman" w:eastAsia="仿宋_GB2312" w:cs="仿宋_GB2312"/>
          <w:b w:val="0"/>
          <w:bCs w:val="0"/>
          <w:color w:val="auto"/>
          <w:sz w:val="32"/>
          <w:szCs w:val="32"/>
          <w:highlight w:val="none"/>
          <w:lang w:eastAsia="zh-CN"/>
        </w:rPr>
        <w:t>官渡本地</w:t>
      </w:r>
      <w:r>
        <w:rPr>
          <w:rFonts w:hint="eastAsia" w:ascii="Times New Roman" w:hAnsi="Times New Roman" w:eastAsia="仿宋_GB2312" w:cs="仿宋_GB2312"/>
          <w:b w:val="0"/>
          <w:bCs w:val="0"/>
          <w:color w:val="auto"/>
          <w:sz w:val="32"/>
          <w:szCs w:val="32"/>
          <w:highlight w:val="none"/>
        </w:rPr>
        <w:t>AI+OPC典型经营场景</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color w:val="auto"/>
          <w:kern w:val="0"/>
          <w:sz w:val="32"/>
          <w:szCs w:val="32"/>
          <w:highlight w:val="none"/>
          <w:lang w:val="en-US" w:eastAsia="zh-CN" w:bidi="ar"/>
        </w:rPr>
        <w:t>AI生成文旅攻略短视频、本地文旅账号代运营等。</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0"/>
          <w:sz w:val="32"/>
          <w:szCs w:val="32"/>
          <w:highlight w:val="none"/>
          <w:lang w:val="en-US" w:eastAsia="zh-CN" w:bidi="ar"/>
        </w:rPr>
      </w:pPr>
      <w:r>
        <w:rPr>
          <w:rFonts w:hint="eastAsia" w:ascii="Times New Roman" w:hAnsi="Times New Roman" w:eastAsia="仿宋_GB2312" w:cs="仿宋_GB2312"/>
          <w:color w:val="auto"/>
          <w:kern w:val="0"/>
          <w:sz w:val="32"/>
          <w:szCs w:val="32"/>
          <w:highlight w:val="none"/>
          <w:lang w:val="en-US" w:eastAsia="zh-CN" w:bidi="ar"/>
        </w:rPr>
        <w:t>二、准入要求</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strike w:val="0"/>
          <w:dstrike w:val="0"/>
          <w:color w:val="auto"/>
          <w:sz w:val="32"/>
          <w:szCs w:val="32"/>
          <w:shd w:val="clear" w:color="auto" w:fill="auto"/>
        </w:rPr>
      </w:pPr>
      <w:r>
        <w:rPr>
          <w:rFonts w:hint="eastAsia" w:ascii="Times New Roman" w:hAnsi="Times New Roman" w:eastAsia="仿宋_GB2312" w:cs="仿宋_GB2312"/>
          <w:b w:val="0"/>
          <w:bCs w:val="0"/>
          <w:strike w:val="0"/>
          <w:dstrike w:val="0"/>
          <w:color w:val="auto"/>
          <w:sz w:val="32"/>
          <w:szCs w:val="32"/>
          <w:shd w:val="clear" w:color="auto" w:fill="auto"/>
          <w:lang w:eastAsia="zh-CN"/>
        </w:rPr>
        <w:t>（一）</w:t>
      </w:r>
      <w:r>
        <w:rPr>
          <w:rFonts w:hint="eastAsia" w:ascii="Times New Roman" w:hAnsi="Times New Roman" w:eastAsia="仿宋_GB2312" w:cs="仿宋_GB2312"/>
          <w:b w:val="0"/>
          <w:bCs w:val="0"/>
          <w:strike w:val="0"/>
          <w:dstrike w:val="0"/>
          <w:color w:val="auto"/>
          <w:sz w:val="32"/>
          <w:szCs w:val="32"/>
          <w:shd w:val="clear" w:color="auto" w:fill="auto"/>
        </w:rPr>
        <w:t>无需许可、仅需自律</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strike w:val="0"/>
          <w:dstrike w:val="0"/>
          <w:color w:val="auto"/>
          <w:sz w:val="32"/>
          <w:szCs w:val="32"/>
          <w:shd w:val="clear" w:color="auto" w:fill="auto"/>
        </w:rPr>
      </w:pPr>
      <w:r>
        <w:rPr>
          <w:rFonts w:hint="eastAsia" w:ascii="Times New Roman" w:hAnsi="Times New Roman" w:eastAsia="仿宋_GB2312" w:cs="Times New Roman"/>
          <w:b w:val="0"/>
          <w:bCs w:val="0"/>
          <w:strike w:val="0"/>
          <w:dstrike w:val="0"/>
          <w:color w:val="auto"/>
          <w:sz w:val="32"/>
          <w:szCs w:val="32"/>
          <w:shd w:val="clear" w:color="auto" w:fill="auto"/>
          <w:lang w:eastAsia="zh-CN"/>
        </w:rPr>
        <w:t>仅开展娱乐行业线上文案策划、行业资讯科普、短视频脚本创作、线上运营咨询、娱乐业态品牌线上推广等服务，不参与场所实际经营、演出承办经纪业务的，无需办理行政许可及行业备案，领取营业执照后即可经营，自觉遵守文化市场、网络内容传</w:t>
      </w:r>
      <w:r>
        <w:rPr>
          <w:rFonts w:hint="eastAsia" w:ascii="Times New Roman" w:hAnsi="Times New Roman" w:eastAsia="仿宋_GB2312" w:cs="仿宋_GB2312"/>
          <w:b w:val="0"/>
          <w:bCs w:val="0"/>
          <w:strike w:val="0"/>
          <w:dstrike w:val="0"/>
          <w:color w:val="auto"/>
          <w:sz w:val="32"/>
          <w:szCs w:val="32"/>
          <w:shd w:val="clear" w:color="auto" w:fill="auto"/>
          <w:lang w:eastAsia="zh-CN"/>
        </w:rPr>
        <w:t>播相关法律法规。</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仿宋_GB2312"/>
          <w:b w:val="0"/>
          <w:bCs w:val="0"/>
          <w:strike w:val="0"/>
          <w:dstrike w:val="0"/>
          <w:color w:val="auto"/>
          <w:sz w:val="32"/>
          <w:szCs w:val="32"/>
          <w:shd w:val="clear" w:color="auto" w:fill="auto"/>
        </w:rPr>
      </w:pPr>
      <w:r>
        <w:rPr>
          <w:rFonts w:hint="eastAsia" w:ascii="Times New Roman" w:hAnsi="Times New Roman" w:eastAsia="仿宋_GB2312" w:cs="仿宋_GB2312"/>
          <w:b w:val="0"/>
          <w:bCs w:val="0"/>
          <w:strike w:val="0"/>
          <w:dstrike w:val="0"/>
          <w:color w:val="auto"/>
          <w:sz w:val="32"/>
          <w:szCs w:val="32"/>
          <w:shd w:val="clear" w:color="auto" w:fill="auto"/>
          <w:lang w:eastAsia="zh-CN"/>
        </w:rPr>
        <w:t>（二）</w:t>
      </w:r>
      <w:r>
        <w:rPr>
          <w:rFonts w:hint="eastAsia" w:ascii="Times New Roman" w:hAnsi="Times New Roman" w:eastAsia="仿宋_GB2312" w:cs="仿宋_GB2312"/>
          <w:b w:val="0"/>
          <w:bCs w:val="0"/>
          <w:strike w:val="0"/>
          <w:dstrike w:val="0"/>
          <w:color w:val="auto"/>
          <w:sz w:val="32"/>
          <w:szCs w:val="32"/>
          <w:shd w:val="clear" w:color="auto" w:fill="auto"/>
        </w:rPr>
        <w:t>备案管理</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b w:val="0"/>
          <w:bCs w:val="0"/>
          <w:strike w:val="0"/>
          <w:dstrike w:val="0"/>
          <w:color w:val="auto"/>
          <w:sz w:val="32"/>
          <w:szCs w:val="32"/>
          <w:lang w:eastAsia="zh-CN"/>
        </w:rPr>
      </w:pPr>
      <w:r>
        <w:rPr>
          <w:rFonts w:hint="eastAsia"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eastAsia="zh-CN"/>
        </w:rPr>
        <w:t>演出场所经营单位备案：自领取营业执照之日起20日内，持相关材料向所在地县级人民政府文化和旅游主管部门办理备案</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b w:val="0"/>
          <w:bCs w:val="0"/>
          <w:strike w:val="0"/>
          <w:dstrike w:val="0"/>
          <w:color w:val="auto"/>
          <w:sz w:val="32"/>
          <w:szCs w:val="32"/>
          <w:lang w:eastAsia="zh-CN"/>
        </w:rPr>
      </w:pPr>
      <w:r>
        <w:rPr>
          <w:rFonts w:hint="eastAsia" w:ascii="Times New Roman" w:hAnsi="Times New Roman" w:eastAsia="仿宋_GB2312" w:cs="Times New Roman"/>
          <w:b w:val="0"/>
          <w:bCs w:val="0"/>
          <w:strike w:val="0"/>
          <w:dstrike w:val="0"/>
          <w:color w:val="auto"/>
          <w:sz w:val="32"/>
          <w:szCs w:val="32"/>
          <w:lang w:val="en-US" w:eastAsia="zh-CN"/>
        </w:rPr>
        <w:t>2.</w:t>
      </w:r>
      <w:r>
        <w:rPr>
          <w:rFonts w:hint="eastAsia" w:ascii="Times New Roman" w:hAnsi="Times New Roman" w:eastAsia="仿宋_GB2312" w:cs="Times New Roman"/>
          <w:b w:val="0"/>
          <w:bCs w:val="0"/>
          <w:strike w:val="0"/>
          <w:dstrike w:val="0"/>
          <w:color w:val="auto"/>
          <w:sz w:val="32"/>
          <w:szCs w:val="32"/>
          <w:lang w:eastAsia="zh-CN"/>
        </w:rPr>
        <w:t xml:space="preserve">个体演员备案 / 个体演出经纪人备案：领取营业执照之日起20日内向所在地县级人民政府文化和旅游主管部门进行备案。 </w:t>
      </w:r>
    </w:p>
    <w:p>
      <w:pPr>
        <w:keepNext w:val="0"/>
        <w:keepLines w:val="0"/>
        <w:pageBreakBefore w:val="0"/>
        <w:widowControl w:val="0"/>
        <w:numPr>
          <w:ilvl w:val="0"/>
          <w:numId w:val="4"/>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b w:val="0"/>
          <w:bCs w:val="0"/>
          <w:strike w:val="0"/>
          <w:dstrike w:val="0"/>
          <w:color w:val="auto"/>
          <w:sz w:val="32"/>
          <w:szCs w:val="32"/>
        </w:rPr>
      </w:pPr>
      <w:r>
        <w:rPr>
          <w:rFonts w:hint="default" w:ascii="Times New Roman" w:hAnsi="Times New Roman" w:eastAsia="仿宋_GB2312" w:cs="Times New Roman"/>
          <w:b w:val="0"/>
          <w:bCs w:val="0"/>
          <w:strike w:val="0"/>
          <w:dstrike w:val="0"/>
          <w:color w:val="auto"/>
          <w:sz w:val="32"/>
          <w:szCs w:val="32"/>
        </w:rPr>
        <w:t>必须取得专项许可后方可经营</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lang w:val="en-US" w:eastAsia="zh-CN"/>
        </w:rPr>
        <w:t>1.</w:t>
      </w:r>
      <w:r>
        <w:rPr>
          <w:rFonts w:hint="eastAsia" w:ascii="Times New Roman" w:hAnsi="Times New Roman" w:eastAsia="仿宋_GB2312" w:cs="Times New Roman"/>
          <w:strike w:val="0"/>
          <w:dstrike w:val="0"/>
          <w:color w:val="auto"/>
          <w:sz w:val="32"/>
          <w:szCs w:val="32"/>
        </w:rPr>
        <w:t>文艺表演团体</w:t>
      </w:r>
      <w:r>
        <w:rPr>
          <w:rFonts w:hint="eastAsia" w:ascii="Times New Roman" w:hAnsi="Times New Roman" w:eastAsia="仿宋_GB2312" w:cs="Times New Roman"/>
          <w:strike w:val="0"/>
          <w:dstrike w:val="0"/>
          <w:color w:val="auto"/>
          <w:sz w:val="32"/>
          <w:szCs w:val="32"/>
          <w:lang w:eastAsia="zh-CN"/>
        </w:rPr>
        <w:t>设立审批</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rPr>
        <w:t>许可事项名称：营业性演出许可证（文艺表演团体）</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rPr>
        <w:t>审批类型：</w:t>
      </w:r>
      <w:r>
        <w:rPr>
          <w:rFonts w:hint="default" w:ascii="Times New Roman" w:hAnsi="Times New Roman" w:eastAsia="仿宋_GB2312" w:cs="Times New Roman"/>
          <w:strike w:val="0"/>
          <w:dstrike w:val="0"/>
          <w:color w:val="auto"/>
          <w:sz w:val="32"/>
          <w:szCs w:val="32"/>
        </w:rPr>
        <w:t>后置审批（先办执照再办许可）</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rPr>
        <w:t>审批部门：所在地县级人民政府文化和旅游主管部门</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strike w:val="0"/>
          <w:dstrike w:val="0"/>
          <w:color w:val="auto"/>
          <w:sz w:val="32"/>
          <w:szCs w:val="32"/>
          <w:lang w:val="en-US" w:eastAsia="zh-CN"/>
        </w:rPr>
      </w:pPr>
      <w:r>
        <w:rPr>
          <w:rFonts w:hint="eastAsia" w:ascii="Times New Roman" w:hAnsi="Times New Roman" w:eastAsia="仿宋_GB2312" w:cs="Times New Roman"/>
          <w:strike w:val="0"/>
          <w:dstrike w:val="0"/>
          <w:color w:val="auto"/>
          <w:sz w:val="32"/>
          <w:szCs w:val="32"/>
          <w:lang w:eastAsia="zh-CN"/>
        </w:rPr>
        <w:t>申办</w:t>
      </w:r>
      <w:r>
        <w:rPr>
          <w:rFonts w:hint="eastAsia" w:ascii="Times New Roman" w:hAnsi="Times New Roman" w:eastAsia="仿宋_GB2312" w:cs="Times New Roman"/>
          <w:strike w:val="0"/>
          <w:dstrike w:val="0"/>
          <w:color w:val="auto"/>
          <w:sz w:val="32"/>
          <w:szCs w:val="32"/>
        </w:rPr>
        <w:t>条件：有与其业务相适应的专职演员和器材设备</w:t>
      </w:r>
      <w:r>
        <w:rPr>
          <w:rFonts w:hint="eastAsia" w:ascii="Times New Roman" w:hAnsi="Times New Roman" w:eastAsia="仿宋_GB2312" w:cs="Times New Roman"/>
          <w:strike w:val="0"/>
          <w:dstrike w:val="0"/>
          <w:color w:val="auto"/>
          <w:sz w:val="32"/>
          <w:szCs w:val="32"/>
          <w:lang w:eastAsia="zh-CN"/>
        </w:rPr>
        <w:t>；有确定的经营范围</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rPr>
      </w:pPr>
      <w:r>
        <w:rPr>
          <w:rFonts w:hint="eastAsia" w:ascii="Times New Roman" w:hAnsi="Times New Roman" w:eastAsia="仿宋_GB2312" w:cs="Times New Roman"/>
          <w:strike w:val="0"/>
          <w:dstrike w:val="0"/>
          <w:color w:val="auto"/>
          <w:sz w:val="32"/>
          <w:szCs w:val="32"/>
          <w:lang w:val="en-US" w:eastAsia="zh-CN"/>
        </w:rPr>
        <w:t>2.营</w:t>
      </w:r>
      <w:r>
        <w:rPr>
          <w:rFonts w:hint="eastAsia" w:ascii="Times New Roman" w:hAnsi="Times New Roman" w:eastAsia="仿宋_GB2312" w:cs="Times New Roman"/>
          <w:strike w:val="0"/>
          <w:dstrike w:val="0"/>
          <w:color w:val="auto"/>
          <w:sz w:val="32"/>
          <w:szCs w:val="32"/>
        </w:rPr>
        <w:t>业性演出审批许可事项（单场演出）</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rPr>
      </w:pPr>
      <w:r>
        <w:rPr>
          <w:rFonts w:hint="eastAsia" w:ascii="Times New Roman" w:hAnsi="Times New Roman" w:eastAsia="仿宋_GB2312" w:cs="Times New Roman"/>
          <w:strike w:val="0"/>
          <w:dstrike w:val="0"/>
          <w:color w:val="auto"/>
          <w:sz w:val="32"/>
          <w:szCs w:val="32"/>
        </w:rPr>
        <w:t>审批类型：单场审批（每场演出前申请）</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rPr>
        <w:t>审批部门：演出所在地县级人民政府文化和旅游主管部门</w:t>
      </w:r>
      <w:r>
        <w:rPr>
          <w:rFonts w:hint="eastAsia" w:ascii="Times New Roman" w:hAnsi="Times New Roman" w:eastAsia="仿宋_GB2312" w:cs="Times New Roman"/>
          <w:strike w:val="0"/>
          <w:dstrike w:val="0"/>
          <w:color w:val="auto"/>
          <w:sz w:val="32"/>
          <w:szCs w:val="32"/>
          <w:lang w:eastAsia="zh-CN"/>
        </w:rPr>
        <w:t>（涉外营业性演出审批部门为演出所在地省级</w:t>
      </w:r>
      <w:r>
        <w:rPr>
          <w:rFonts w:hint="eastAsia" w:ascii="Times New Roman" w:hAnsi="Times New Roman" w:eastAsia="仿宋_GB2312" w:cs="Times New Roman"/>
          <w:strike w:val="0"/>
          <w:dstrike w:val="0"/>
          <w:color w:val="auto"/>
          <w:sz w:val="32"/>
          <w:szCs w:val="32"/>
        </w:rPr>
        <w:t>人民政府文化和旅游主管部门</w:t>
      </w:r>
      <w:r>
        <w:rPr>
          <w:rFonts w:hint="eastAsia" w:ascii="Times New Roman" w:hAnsi="Times New Roman" w:eastAsia="仿宋_GB2312" w:cs="Times New Roman"/>
          <w:strike w:val="0"/>
          <w:dstrike w:val="0"/>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rPr>
      </w:pPr>
      <w:r>
        <w:rPr>
          <w:rFonts w:hint="eastAsia" w:ascii="Times New Roman" w:hAnsi="Times New Roman" w:eastAsia="仿宋_GB2312" w:cs="Times New Roman"/>
          <w:strike w:val="0"/>
          <w:dstrike w:val="0"/>
          <w:color w:val="auto"/>
          <w:sz w:val="32"/>
          <w:szCs w:val="32"/>
        </w:rPr>
        <w:t>条件：举办营业性演出，应当持</w:t>
      </w:r>
      <w:r>
        <w:rPr>
          <w:rFonts w:hint="eastAsia" w:ascii="Times New Roman" w:hAnsi="Times New Roman" w:eastAsia="仿宋_GB2312" w:cs="Times New Roman"/>
          <w:strike w:val="0"/>
          <w:dstrike w:val="0"/>
          <w:color w:val="auto"/>
          <w:sz w:val="32"/>
          <w:szCs w:val="32"/>
          <w:lang w:eastAsia="zh-CN"/>
        </w:rPr>
        <w:t>营业执照、</w:t>
      </w:r>
      <w:r>
        <w:rPr>
          <w:rFonts w:hint="eastAsia" w:ascii="Times New Roman" w:hAnsi="Times New Roman" w:eastAsia="仿宋_GB2312" w:cs="Times New Roman"/>
          <w:strike w:val="0"/>
          <w:dstrike w:val="0"/>
          <w:color w:val="auto"/>
          <w:sz w:val="32"/>
          <w:szCs w:val="32"/>
        </w:rPr>
        <w:t>营业性演出许可证或备案证明提交申请</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lang w:eastAsia="zh-CN"/>
        </w:rPr>
      </w:pPr>
      <w:r>
        <w:rPr>
          <w:rFonts w:hint="eastAsia" w:ascii="Times New Roman" w:hAnsi="Times New Roman" w:eastAsia="仿宋_GB2312" w:cs="Times New Roman"/>
          <w:strike w:val="0"/>
          <w:dstrike w:val="0"/>
          <w:color w:val="auto"/>
          <w:sz w:val="32"/>
          <w:szCs w:val="32"/>
        </w:rPr>
        <w:t>备注：</w:t>
      </w:r>
      <w:r>
        <w:rPr>
          <w:rFonts w:hint="eastAsia" w:ascii="Times New Roman" w:hAnsi="Times New Roman" w:eastAsia="仿宋_GB2312" w:cs="Times New Roman"/>
          <w:strike w:val="0"/>
          <w:dstrike w:val="0"/>
          <w:color w:val="auto"/>
          <w:sz w:val="32"/>
          <w:szCs w:val="32"/>
          <w:lang w:eastAsia="zh-CN"/>
        </w:rPr>
        <w:t>单人主体若以个体演员身份从事经营性演艺活动，无需办理营业性演出许可证，按规定完成主体备案即可；若要开展演出经纪、团体商演，则须注册企业并获得对应许可证。</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Times New Roman" w:hAnsi="Times New Roman" w:eastAsia="仿宋_GB2312" w:cs="Times New Roman"/>
          <w:strike w:val="0"/>
          <w:dstrike w:val="0"/>
          <w:color w:val="auto"/>
          <w:sz w:val="32"/>
          <w:szCs w:val="32"/>
        </w:rPr>
      </w:pPr>
      <w:r>
        <w:rPr>
          <w:rFonts w:hint="eastAsia" w:ascii="Times New Roman" w:hAnsi="Times New Roman" w:eastAsia="仿宋_GB2312" w:cs="Times New Roman"/>
          <w:strike w:val="0"/>
          <w:dstrike w:val="0"/>
          <w:color w:val="auto"/>
          <w:sz w:val="32"/>
          <w:szCs w:val="32"/>
        </w:rPr>
        <w:t>线上线下业态叠加、业务边界模糊难以界定的，建议咨询上级文旅主管部门。</w:t>
      </w:r>
    </w:p>
    <w:p>
      <w:pPr>
        <w:keepNext w:val="0"/>
        <w:keepLines w:val="0"/>
        <w:pageBreakBefore w:val="0"/>
        <w:widowControl w:val="0"/>
        <w:numPr>
          <w:ilvl w:val="0"/>
          <w:numId w:val="3"/>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营业性演出</w:t>
      </w:r>
      <w:r>
        <w:rPr>
          <w:rFonts w:hint="eastAsia" w:ascii="Times New Roman" w:hAnsi="Times New Roman" w:eastAsia="仿宋_GB2312" w:cs="仿宋_GB2312"/>
          <w:color w:val="auto"/>
          <w:sz w:val="32"/>
          <w:szCs w:val="32"/>
          <w:highlight w:val="none"/>
          <w:lang w:eastAsia="zh-CN"/>
        </w:rPr>
        <w:t>自查清单</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公司营业执照经营范围是否已包含“演出经纪”或“营业性演出”？</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2</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如设立演出场所经营单位，是否已了解领取执照后20日内须向文旅部门备案？</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3</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如作为个体演员或个体演出经纪人，是否已了解领取执照后20日内须向文旅部门备案？</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举办单场营业性演出前，是否已向演出所在地县级文旅部门提交审批申请？</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AI辅助创作的演出内容（剧本、音乐、视觉素材等）是否有版权权属约定？</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6</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AI生成内容是否已标注“AI生成”标识？</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自查项</w:t>
      </w:r>
      <w:r>
        <w:rPr>
          <w:rFonts w:hint="eastAsia" w:ascii="Times New Roman" w:hAnsi="Times New Roman" w:eastAsia="仿宋_GB2312" w:cs="仿宋_GB2312"/>
          <w:b/>
          <w:bCs/>
          <w:color w:val="auto"/>
          <w:sz w:val="32"/>
          <w:szCs w:val="32"/>
          <w:highlight w:val="none"/>
          <w:lang w:val="en-US" w:eastAsia="zh-CN"/>
        </w:rPr>
        <w:t xml:space="preserve">7 </w:t>
      </w:r>
      <w:r>
        <w:rPr>
          <w:rFonts w:hint="eastAsia" w:ascii="Times New Roman" w:hAnsi="Times New Roman" w:eastAsia="仿宋_GB2312" w:cs="仿宋_GB2312"/>
          <w:color w:val="auto"/>
          <w:sz w:val="32"/>
          <w:szCs w:val="32"/>
          <w:highlight w:val="none"/>
        </w:rPr>
        <w:t>是否已了解AI训练所用素材（音乐、舞蹈片段等）须取得合法授权？</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四、营业性演出禁止性行为清单</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未取得营业性演出许可证擅自从事演出经纪活动</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2</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未办理审批手续擅自举办营业性演出</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3</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演出场所经营单位领取执照后超过20日未向文旅部门备案</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利用AI伪造艺人形象、声音进行商业宣传或演出</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未经授权使用他人版权作品（音乐、剧本、舞蹈等）进行AI训练或二次创作发布</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6</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未经权利人许可对他人表演素材进行AI采集和训练</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b/>
          <w:bCs/>
          <w:color w:val="auto"/>
          <w:sz w:val="32"/>
          <w:szCs w:val="32"/>
          <w:highlight w:val="none"/>
        </w:rPr>
        <w:t>禁止行为</w:t>
      </w:r>
      <w:r>
        <w:rPr>
          <w:rFonts w:hint="eastAsia" w:ascii="Times New Roman" w:hAnsi="Times New Roman" w:eastAsia="仿宋_GB2312" w:cs="仿宋_GB2312"/>
          <w:b/>
          <w:bCs/>
          <w:color w:val="auto"/>
          <w:sz w:val="32"/>
          <w:szCs w:val="32"/>
          <w:highlight w:val="none"/>
          <w:lang w:val="en-US" w:eastAsia="zh-CN"/>
        </w:rPr>
        <w:t>7</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营业性演出内容含有法律、行政法规禁止的情形</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五、</w:t>
      </w:r>
      <w:r>
        <w:rPr>
          <w:rFonts w:hint="eastAsia" w:ascii="Times New Roman" w:hAnsi="Times New Roman" w:eastAsia="仿宋_GB2312" w:cs="仿宋_GB2312"/>
          <w:color w:val="auto"/>
          <w:sz w:val="32"/>
          <w:szCs w:val="32"/>
          <w:highlight w:val="none"/>
        </w:rPr>
        <w:t>业务咨询渠道</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办公地址：官渡区云秀路2848号官渡区人民政府主楼1号楼2楼</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咨询电话：0871-66112345</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第四节 主管单位：官渡区住房和城乡建设局</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一、本行业官渡本地AI+OPC典型经营场景：</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AI辅助提供建筑业企业资质申报服务，AI辅助审核建筑业企业资质内业资料。</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二、准入要求：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1.无需许可仅需自律：AI辅助提供建筑业企业资质申报服务不需要办理任何行政许可或备案，市场主体取得营业执照后即可自主开展经营活动，但需遵守通用法律法规和行业规范。需保证提供技术服务符合《建筑业企业资质标准》及云南省现行规定要求，避免提供错误信息。</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2.备案管理：AI辅助审核建筑业企业资质内业资料不需要审批，目前全云南省建筑业企业资质审核均在“云南省建设监管公共服务平台”实行，该平台由云南省住建厅负责监管运营，如需接入该平台从事AI辅助业务需依法向云南省住建厅咨询，办理备案手续获得准入条件后方可开展经营活动。</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三、创业前置陪伴自查清单：</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自查项1</w:t>
      </w:r>
      <w:r>
        <w:rPr>
          <w:rFonts w:hint="eastAsia" w:ascii="Times New Roman" w:hAnsi="Times New Roman" w:eastAsia="仿宋_GB2312" w:cs="仿宋_GB2312"/>
          <w:b w:val="0"/>
          <w:bCs w:val="0"/>
          <w:color w:val="auto"/>
          <w:sz w:val="32"/>
          <w:szCs w:val="32"/>
          <w:highlight w:val="none"/>
          <w:lang w:val="en-US" w:eastAsia="zh-CN"/>
        </w:rPr>
        <w:t xml:space="preserve"> 是否了解建筑业企业资质办理相关内容及行业标准？</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自查项2</w:t>
      </w:r>
      <w:r>
        <w:rPr>
          <w:rFonts w:hint="eastAsia" w:ascii="Times New Roman" w:hAnsi="Times New Roman" w:eastAsia="仿宋_GB2312" w:cs="仿宋_GB2312"/>
          <w:b w:val="0"/>
          <w:bCs w:val="0"/>
          <w:color w:val="auto"/>
          <w:sz w:val="32"/>
          <w:szCs w:val="32"/>
          <w:highlight w:val="none"/>
          <w:lang w:val="en-US" w:eastAsia="zh-CN"/>
        </w:rPr>
        <w:t xml:space="preserve"> AI提供服务内容是否有版权权属约定？</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自查项3</w:t>
      </w:r>
      <w:r>
        <w:rPr>
          <w:rFonts w:hint="eastAsia" w:ascii="Times New Roman" w:hAnsi="Times New Roman" w:eastAsia="仿宋_GB2312" w:cs="仿宋_GB2312"/>
          <w:b w:val="0"/>
          <w:bCs w:val="0"/>
          <w:color w:val="auto"/>
          <w:sz w:val="32"/>
          <w:szCs w:val="32"/>
          <w:highlight w:val="none"/>
          <w:lang w:val="en-US" w:eastAsia="zh-CN"/>
        </w:rPr>
        <w:t xml:space="preserve"> AI提供服务内容是否真实有效？</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四、禁止性行为清单：</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禁止行为1</w:t>
      </w:r>
      <w:r>
        <w:rPr>
          <w:rFonts w:hint="eastAsia" w:ascii="Times New Roman" w:hAnsi="Times New Roman" w:eastAsia="仿宋_GB2312" w:cs="仿宋_GB2312"/>
          <w:b w:val="0"/>
          <w:bCs w:val="0"/>
          <w:color w:val="auto"/>
          <w:sz w:val="32"/>
          <w:szCs w:val="32"/>
          <w:highlight w:val="none"/>
          <w:lang w:val="en-US" w:eastAsia="zh-CN"/>
        </w:rPr>
        <w:t xml:space="preserve"> 禁止提供错误、过期、不适用当地及虚假信息。</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禁止行为2</w:t>
      </w:r>
      <w:r>
        <w:rPr>
          <w:rFonts w:hint="eastAsia" w:ascii="Times New Roman" w:hAnsi="Times New Roman" w:eastAsia="仿宋_GB2312" w:cs="仿宋_GB2312"/>
          <w:b w:val="0"/>
          <w:bCs w:val="0"/>
          <w:color w:val="auto"/>
          <w:sz w:val="32"/>
          <w:szCs w:val="32"/>
          <w:highlight w:val="none"/>
          <w:lang w:val="en-US" w:eastAsia="zh-CN"/>
        </w:rPr>
        <w:t xml:space="preserve"> 未经授权不得使用他人版权作品进行二次创作发布。</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禁止行为3</w:t>
      </w:r>
      <w:r>
        <w:rPr>
          <w:rFonts w:hint="eastAsia" w:ascii="Times New Roman" w:hAnsi="Times New Roman" w:eastAsia="仿宋_GB2312" w:cs="仿宋_GB2312"/>
          <w:b w:val="0"/>
          <w:bCs w:val="0"/>
          <w:color w:val="auto"/>
          <w:sz w:val="32"/>
          <w:szCs w:val="32"/>
          <w:highlight w:val="none"/>
          <w:lang w:val="en-US" w:eastAsia="zh-CN"/>
        </w:rPr>
        <w:t xml:space="preserve"> 禁止以辅助服务为由利用爬虫等技术手段盗取企业信息进行变卖。</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禁止行为4</w:t>
      </w:r>
      <w:r>
        <w:rPr>
          <w:rFonts w:hint="eastAsia" w:ascii="Times New Roman" w:hAnsi="Times New Roman" w:eastAsia="仿宋_GB2312" w:cs="仿宋_GB2312"/>
          <w:b w:val="0"/>
          <w:bCs w:val="0"/>
          <w:color w:val="auto"/>
          <w:sz w:val="32"/>
          <w:szCs w:val="32"/>
          <w:highlight w:val="none"/>
          <w:lang w:val="en-US" w:eastAsia="zh-CN"/>
        </w:rPr>
        <w:t xml:space="preserve"> 禁止为服务企业、个人提供挂靠证书等法律法规命令禁止的建筑市场违法行为。</w:t>
      </w:r>
    </w:p>
    <w:p>
      <w:pPr>
        <w:keepNext w:val="0"/>
        <w:keepLines w:val="0"/>
        <w:pageBreakBefore w:val="0"/>
        <w:widowControl w:val="0"/>
        <w:numPr>
          <w:ilvl w:val="0"/>
          <w:numId w:val="5"/>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业务咨询渠道：</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办公地址：昆明市官渡区云秀路2898号（官渡区政府）昆明市官渡区住房和城乡建设局</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lang w:val="en-US" w:eastAsia="zh-CN"/>
        </w:rPr>
        <w:t>咨询电话：0871-67169990</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仿宋_GB2312" w:cs="仿宋_GB2312"/>
          <w:b/>
          <w:bCs/>
          <w:color w:val="auto"/>
          <w:sz w:val="32"/>
          <w:szCs w:val="32"/>
          <w:highlight w:val="none"/>
        </w:rPr>
      </w:pPr>
      <w:r>
        <w:rPr>
          <w:rFonts w:hint="eastAsia" w:ascii="Times New Roman" w:hAnsi="Times New Roman" w:eastAsia="仿宋_GB2312" w:cs="仿宋_GB2312"/>
          <w:b/>
          <w:bCs/>
          <w:color w:val="auto"/>
          <w:sz w:val="32"/>
          <w:szCs w:val="32"/>
          <w:highlight w:val="none"/>
          <w:lang w:eastAsia="zh-CN"/>
        </w:rPr>
        <w:t>第五节</w:t>
      </w:r>
      <w:r>
        <w:rPr>
          <w:rFonts w:hint="eastAsia" w:ascii="Times New Roman" w:hAnsi="Times New Roman" w:eastAsia="仿宋_GB2312" w:cs="仿宋_GB2312"/>
          <w:b/>
          <w:bCs/>
          <w:color w:val="auto"/>
          <w:sz w:val="32"/>
          <w:szCs w:val="32"/>
          <w:highlight w:val="none"/>
          <w:lang w:val="en-US" w:eastAsia="zh-CN"/>
        </w:rPr>
        <w:t xml:space="preserve"> </w:t>
      </w:r>
      <w:r>
        <w:rPr>
          <w:rFonts w:hint="eastAsia" w:ascii="Times New Roman" w:hAnsi="Times New Roman" w:eastAsia="仿宋_GB2312" w:cs="仿宋_GB2312"/>
          <w:b/>
          <w:bCs/>
          <w:color w:val="auto"/>
          <w:sz w:val="32"/>
          <w:szCs w:val="32"/>
          <w:highlight w:val="none"/>
        </w:rPr>
        <w:t>主管单位：区科学技术和工业信息化局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lang w:val="en-US" w:eastAsia="zh-CN"/>
        </w:rPr>
        <w:t>1.</w:t>
      </w:r>
      <w:r>
        <w:rPr>
          <w:rFonts w:hint="eastAsia" w:ascii="Times New Roman" w:hAnsi="Times New Roman" w:eastAsia="仿宋_GB2312" w:cs="仿宋_GB2312"/>
          <w:b w:val="0"/>
          <w:bCs w:val="0"/>
          <w:color w:val="auto"/>
          <w:sz w:val="32"/>
          <w:szCs w:val="32"/>
          <w:highlight w:val="none"/>
        </w:rPr>
        <w:t>本行业官渡本地AI+OPC典型经营场景：人工智能基础软件开发、公共数据平台、应用系统集成服务、软件开发、信息技术咨询。</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lang w:val="en-US" w:eastAsia="zh-CN"/>
        </w:rPr>
        <w:t>2.</w:t>
      </w:r>
      <w:r>
        <w:rPr>
          <w:rFonts w:hint="eastAsia" w:ascii="Times New Roman" w:hAnsi="Times New Roman" w:eastAsia="仿宋_GB2312" w:cs="仿宋_GB2312"/>
          <w:b w:val="0"/>
          <w:bCs w:val="0"/>
          <w:color w:val="auto"/>
          <w:sz w:val="32"/>
          <w:szCs w:val="32"/>
          <w:highlight w:val="none"/>
        </w:rPr>
        <w:t>准入要求：通常无需前置审批。如涉及用户数据合规、算法备案、增值电信业务许可等要求，按相关规定执行。</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lang w:val="en-US" w:eastAsia="zh-CN"/>
        </w:rPr>
        <w:t>3.</w:t>
      </w:r>
      <w:r>
        <w:rPr>
          <w:rFonts w:hint="eastAsia" w:ascii="Times New Roman" w:hAnsi="Times New Roman" w:eastAsia="仿宋_GB2312" w:cs="仿宋_GB2312"/>
          <w:b w:val="0"/>
          <w:bCs w:val="0"/>
          <w:color w:val="auto"/>
          <w:sz w:val="32"/>
          <w:szCs w:val="32"/>
          <w:highlight w:val="none"/>
        </w:rPr>
        <w:t>业务咨询渠道：</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val="0"/>
          <w:bCs w:val="0"/>
          <w:color w:val="auto"/>
          <w:sz w:val="32"/>
          <w:szCs w:val="32"/>
          <w:highlight w:val="none"/>
        </w:rPr>
        <w:t>办公地址：昆明市云秀路2898号官渡区区级行政中心3号楼3楼341</w:t>
      </w:r>
      <w:r>
        <w:rPr>
          <w:rFonts w:hint="eastAsia" w:ascii="Times New Roman" w:hAnsi="Times New Roman" w:eastAsia="仿宋_GB2312" w:cs="仿宋_GB2312"/>
          <w:b w:val="0"/>
          <w:bCs w:val="0"/>
          <w:color w:val="auto"/>
          <w:sz w:val="32"/>
          <w:szCs w:val="32"/>
          <w:highlight w:val="none"/>
          <w:lang w:val="en-US" w:eastAsia="zh-CN"/>
        </w:rPr>
        <w:t>3</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rPr>
        <w:t>业务咨询电话：0871-67170866</w:t>
      </w:r>
    </w:p>
    <w:p>
      <w:pPr>
        <w:keepNext w:val="0"/>
        <w:keepLines w:val="0"/>
        <w:pageBreakBefore w:val="0"/>
        <w:widowControl w:val="0"/>
        <w:numPr>
          <w:ilvl w:val="0"/>
          <w:numId w:val="6"/>
        </w:numPr>
        <w:kinsoku/>
        <w:wordWrap w:val="0"/>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配套服务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left"/>
        <w:textAlignment w:val="auto"/>
        <w:rPr>
          <w:rFonts w:hint="eastAsia" w:ascii="Times New Roman" w:hAnsi="Times New Roman" w:eastAsia="仿宋_GB2312" w:cs="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eastAsia="zh-CN"/>
          <w14:textFill>
            <w14:solidFill>
              <w14:schemeClr w14:val="tx1"/>
            </w14:solidFill>
          </w14:textFill>
        </w:rPr>
        <w:t>第一节</w:t>
      </w: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税务服务指引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一、税务信息确认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首次办理涉税事宜前，登录电子税务局【我要办税】—【综合信息报告】—【身份信息报告】—【新办纳税人开业】模块，或到办税服务厅综合服务窗口，确认并补充核算方式、从业人数、投资方等信息。信息须与营业执照一致，完成后及时实名核验。</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二、实名办税信息采集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法定代表人、财务负责人、办税人员、开票员须完成实名采集。线上通过电子税务局【自然人业务—注册】模块采集身份信息，新办税人员通过【账户中心】—【企业授权管理】—【待确认授权】确认绑定；线下可到办税服务厅实名专窗现场采集。未完成采集的，无法办理发票、申报、缴税等业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三、存款账户账号报告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开立银行账户之日起15日内，登录电子税务局【我要办税】—【综合信息报告】—【制度信息报告】—【存款账户账号报告】模块，报送全部账号并勾选首选缴税及退税账户标识。未按规定报告的，将面临行政处罚并影响信用评价。</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四、税库银三方协议签订</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登录电子税务局【我要办税】—【综合信息报告】—【制度信息报告】—【三方协议签订】模块录入并验证协议（部分银行支持全程网签）；或携带营业执照、身份证、开户证明到办税服务厅签订纸质协议。须先完成存款账户报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五、税（费）种认定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税务机关依据经营范围自动认定增值税、附加税费、企业所得税等税种及申报期限。纳税人可通过【税务数字账户】—【账户查询】—【纳税人信息查询】—【税（费）种认定信息】查询，有异议可申请调整。</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六、发票票种核定与开具</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登录电子税务局【我要办税】—【发票使用】—【发票票种核定】模块申请数电票票种，审核通过后通过【蓝字发票开具】模块直接开具，无需税控设备。</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七、按期纳税申报与税款缴纳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themeColor="text1"/>
          <w:sz w:val="32"/>
          <w:szCs w:val="32"/>
          <w:highlight w:val="yellow"/>
          <w14:textFill>
            <w14:solidFill>
              <w14:schemeClr w14:val="tx1"/>
            </w14:solidFill>
          </w14:textFill>
        </w:rPr>
      </w:pPr>
      <w:r>
        <w:rPr>
          <w:rFonts w:hint="eastAsia" w:ascii="Times New Roman" w:hAnsi="Times New Roman" w:eastAsia="仿宋_GB2312" w:cs="仿宋_GB2312"/>
          <w:b w:val="0"/>
          <w:bCs w:val="0"/>
          <w:sz w:val="32"/>
          <w:szCs w:val="32"/>
          <w:lang w:val="en-US" w:eastAsia="zh-CN"/>
        </w:rPr>
        <w:t>无论有无收入均须按期申报：增值税、企业所得税、个人所得税、印花税等均在月度或季度终了后15日内申报（年度汇算清缴时限按各税种规定），通过电子税务局或自然人电子税务局办理。税款可通过三方协议、银联、银行端、云闪付、微信、支付宝缴纳。逾期未申报面临罚款，逾期缴纳税款按日加收滞纳金，连续3个月全税种未申报将被认定为非正常户，纳税信用等级直接判为D级。</w:t>
      </w:r>
    </w:p>
    <w:p>
      <w:pPr>
        <w:keepNext w:val="0"/>
        <w:keepLines w:val="0"/>
        <w:pageBreakBefore w:val="0"/>
        <w:widowControl w:val="0"/>
        <w:numPr>
          <w:ilvl w:val="0"/>
          <w:numId w:val="7"/>
        </w:numPr>
        <w:kinsoku/>
        <w:wordWrap w:val="0"/>
        <w:overflowPunct/>
        <w:topLinePunct w:val="0"/>
        <w:autoSpaceDE/>
        <w:autoSpaceDN/>
        <w:bidi w:val="0"/>
        <w:adjustRightInd/>
        <w:snapToGrid/>
        <w:spacing w:line="560" w:lineRule="exact"/>
        <w:ind w:leftChars="0" w:firstLine="643" w:firstLineChars="200"/>
        <w:textAlignment w:val="auto"/>
        <w:rPr>
          <w:rFonts w:hint="eastAsia" w:ascii="Times New Roman" w:hAnsi="Times New Roman" w:eastAsia="仿宋_GB2312" w:cs="仿宋_GB2312"/>
          <w:b/>
          <w:bCs/>
          <w:color w:val="000000" w:themeColor="text1"/>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创业扶持政策指引</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一、创业培训</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根据现行政策文件，区公共就业和人才服务中心每年开展以下人群：毕业年度高校毕业生(含技工院校高级工班、预备技师班、技师班和特殊教育院校职业教育类毕业生，下同)、城乡未继续升学的应届初高中毕业生、农村转移就业劳动者、城镇登记失业人员、就业困难人员等（以下统称五类人员）参加创业培训，其中包含SYB培训、网络创业培训（直播版、电商版）。符合以上五类人员身份，全程免费，不收取任何费用，培训结束且考核通过后由人社部门统一发放培训合格证。</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二、创业担保贷款（个人）</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（一）申请条件：</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1.属于重点就业群体（城镇登记失业人员、就业困难人员、退役军人、高校毕业生等）；</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 在官渡区内注册经营，无其他贷款（除助学、房贷、车贷及5万元以下消费贷）且征信良好；</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3. 未在机关事业单位或企业就业。</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（二）办理渠道：</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1.线上：登录“云南省融资信用服务平台”（云南融信服平台）；网址：https://credit.yn.gov.cn；移动端：关注“云南融信服平台”微信公众号。</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2.线下：到经营所在地街道办事处便民服务中心办理。</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三、一次性创业补贴</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1.申请条件：</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对象：离校2年内高校毕业生、就业困难人员、返乡入乡农民工、退役军人；</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云南省内首次创办，正常经营1年以上、依法纳税、未列入经营异常名录；</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持有云南省社会保障卡金融账户；</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2.办理渠道：</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highlight w:val="none"/>
          <w:lang w:val="en-US" w:eastAsia="zh-CN"/>
          <w14:textFill>
            <w14:solidFill>
              <w14:schemeClr w14:val="tx1"/>
            </w14:solidFill>
          </w14:textFill>
        </w:rPr>
        <w:t>仅支持线上申请，通过“就业彩云南”微信公众号或登录“云南省公共就业服务平台”办理。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_GB2312" w:cs="仿宋_GB2312"/>
          <w:b/>
          <w:bCs/>
          <w:color w:val="000000" w:themeColor="text1"/>
          <w:sz w:val="32"/>
          <w:szCs w:val="32"/>
          <w:highlight w:val="none"/>
          <w:lang w:eastAsia="zh-CN"/>
          <w14:textFill>
            <w14:solidFill>
              <w14:schemeClr w14:val="tx1"/>
            </w14:solidFill>
          </w14:textFill>
        </w:rPr>
        <w:t>第三节</w:t>
      </w:r>
      <w:r>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b/>
          <w:bCs/>
          <w:color w:val="000000" w:themeColor="text1"/>
          <w:sz w:val="32"/>
          <w:szCs w:val="32"/>
          <w:highlight w:val="none"/>
          <w14:textFill>
            <w14:solidFill>
              <w14:schemeClr w14:val="tx1"/>
            </w14:solidFill>
          </w14:textFill>
        </w:rPr>
        <w:t>公益法律服务指引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b w:val="0"/>
          <w:bC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b w:val="0"/>
          <w:bCs w:val="0"/>
          <w:color w:val="000000" w:themeColor="text1"/>
          <w:kern w:val="0"/>
          <w:sz w:val="32"/>
          <w:szCs w:val="32"/>
          <w:highlight w:val="none"/>
          <w:lang w:val="en-US" w:eastAsia="zh-CN" w:bidi="ar"/>
          <w14:textFill>
            <w14:solidFill>
              <w14:schemeClr w14:val="tx1"/>
            </w14:solidFill>
          </w14:textFill>
        </w:rPr>
        <w:t>一、</w:t>
      </w:r>
      <w:r>
        <w:rPr>
          <w:rFonts w:hint="eastAsia" w:ascii="Times New Roman" w:hAnsi="Times New Roman" w:eastAsia="仿宋_GB2312" w:cs="仿宋_GB2312"/>
          <w:b w:val="0"/>
          <w:bCs w:val="0"/>
          <w:color w:val="000000" w:themeColor="text1"/>
          <w:sz w:val="32"/>
          <w:szCs w:val="32"/>
          <w:highlight w:val="none"/>
          <w14:textFill>
            <w14:solidFill>
              <w14:schemeClr w14:val="tx1"/>
            </w14:solidFill>
          </w14:textFill>
        </w:rPr>
        <w:t>公益法律服务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trike w:val="0"/>
          <w:dstrike w:val="0"/>
          <w:sz w:val="32"/>
          <w:szCs w:val="32"/>
          <w:highlight w:val="none"/>
          <w:lang w:val="en-US" w:eastAsia="zh-CN"/>
        </w:rPr>
      </w:pPr>
      <w:r>
        <w:rPr>
          <w:rFonts w:hint="default" w:ascii="Times New Roman" w:hAnsi="Times New Roman" w:eastAsia="仿宋_GB2312" w:cs="Times New Roman"/>
          <w:strike w:val="0"/>
          <w:dstrike w:val="0"/>
          <w:sz w:val="32"/>
          <w:szCs w:val="32"/>
          <w:highlight w:val="none"/>
          <w:lang w:val="en-US" w:eastAsia="zh-CN"/>
        </w:rPr>
        <w:t>官渡区公共法律服务中心线上、线下咨询渠道，小微企业免费法律咨询、法治宣传服务。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二、咨询渠道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区公共法律服务中心面向本区小微企业提供线上、线下相结合的免费法律咨询服务。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1.线下渠道：企业可前往区公共法律服务中心（官渡区区级行政中心2号楼1楼大厅）咨询窗口现场咨询，在工作日办公时间接受值班律师一对一法律答疑。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2.线上渠道：拨打公服中心律师值班电话（67377781）、12348公共法律服务热线等渠道进行咨询，针对企业经营中常见的法律问题提供法律意见，不包含诉讼、仲裁代理等有偿法律服务。</w:t>
      </w:r>
    </w:p>
    <w:p>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sz w:val="21"/>
          <w:szCs w:val="21"/>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第三</w:t>
      </w:r>
      <w:r>
        <w:rPr>
          <w:rFonts w:hint="eastAsia" w:ascii="Times New Roman" w:hAnsi="Times New Roman" w:eastAsia="黑体" w:cs="黑体"/>
          <w:sz w:val="32"/>
          <w:szCs w:val="32"/>
          <w:lang w:eastAsia="zh-CN"/>
        </w:rPr>
        <w:t>篇</w:t>
      </w:r>
      <w:r>
        <w:rPr>
          <w:rFonts w:hint="eastAsia" w:ascii="Times New Roman" w:hAnsi="Times New Roman" w:eastAsia="黑体" w:cs="黑体"/>
          <w:sz w:val="32"/>
          <w:szCs w:val="32"/>
        </w:rPr>
        <w:t xml:space="preserve"> 风险防控指引</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楷体_GB2312"/>
          <w:i/>
          <w:iCs/>
          <w:color w:val="000000" w:themeColor="text1"/>
          <w:sz w:val="30"/>
          <w:szCs w:val="30"/>
          <w:highlight w:val="yellow"/>
          <w14:textFill>
            <w14:solidFill>
              <w14:schemeClr w14:val="tx1"/>
            </w14:solidFill>
          </w14:textFill>
        </w:rPr>
      </w:pPr>
      <w:r>
        <w:rPr>
          <w:rFonts w:hint="eastAsia" w:ascii="Times New Roman" w:hAnsi="Times New Roman" w:eastAsia="仿宋_GB2312" w:cs="仿宋_GB2312"/>
          <w:b/>
          <w:bCs/>
          <w:sz w:val="32"/>
          <w:szCs w:val="32"/>
        </w:rPr>
        <w:t>第</w:t>
      </w:r>
      <w:r>
        <w:rPr>
          <w:rFonts w:hint="eastAsia" w:ascii="Times New Roman" w:hAnsi="Times New Roman" w:eastAsia="仿宋_GB2312" w:cs="仿宋_GB2312"/>
          <w:b/>
          <w:bCs/>
          <w:sz w:val="32"/>
          <w:szCs w:val="32"/>
          <w:lang w:eastAsia="zh-CN"/>
        </w:rPr>
        <w:t>一节</w:t>
      </w:r>
      <w:r>
        <w:rPr>
          <w:rFonts w:hint="eastAsia" w:ascii="Times New Roman" w:hAnsi="Times New Roman" w:eastAsia="仿宋_GB2312" w:cs="仿宋_GB2312"/>
          <w:b/>
          <w:bCs/>
          <w:sz w:val="32"/>
          <w:szCs w:val="32"/>
        </w:rPr>
        <w:t xml:space="preserve"> 风险分级标准</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i/>
          <w:iCs/>
          <w:sz w:val="28"/>
          <w:szCs w:val="28"/>
        </w:rPr>
      </w:pPr>
      <w:r>
        <w:rPr>
          <w:rFonts w:hint="eastAsia" w:ascii="Times New Roman" w:hAnsi="Times New Roman" w:eastAsia="仿宋_GB2312" w:cs="仿宋_GB2312"/>
          <w:color w:val="000000"/>
          <w:kern w:val="0"/>
          <w:sz w:val="32"/>
          <w:szCs w:val="32"/>
          <w:lang w:val="en-US" w:eastAsia="zh-CN" w:bidi="ar"/>
        </w:rPr>
        <w:t>立足官渡区监管实践，将辖区AI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OPC市场主体划分为</w:t>
      </w:r>
      <w:r>
        <w:rPr>
          <w:rStyle w:val="10"/>
          <w:rFonts w:hint="eastAsia" w:ascii="Times New Roman" w:hAnsi="Times New Roman" w:eastAsia="仿宋_GB2312" w:cs="仿宋_GB2312"/>
          <w:b w:val="0"/>
          <w:bCs/>
          <w:color w:val="000000"/>
          <w:kern w:val="0"/>
          <w:sz w:val="32"/>
          <w:szCs w:val="32"/>
          <w:lang w:val="en-US" w:eastAsia="zh-CN" w:bidi="ar"/>
        </w:rPr>
        <w:t>守信培育类、一</w:t>
      </w:r>
      <w:bookmarkStart w:id="0" w:name="_GoBack"/>
      <w:bookmarkEnd w:id="0"/>
      <w:r>
        <w:rPr>
          <w:rStyle w:val="10"/>
          <w:rFonts w:hint="eastAsia" w:ascii="Times New Roman" w:hAnsi="Times New Roman" w:eastAsia="仿宋_GB2312" w:cs="仿宋_GB2312"/>
          <w:b w:val="0"/>
          <w:bCs/>
          <w:color w:val="000000"/>
          <w:kern w:val="0"/>
          <w:sz w:val="32"/>
          <w:szCs w:val="32"/>
          <w:lang w:val="en-US" w:eastAsia="zh-CN" w:bidi="ar"/>
        </w:rPr>
        <w:t>般关注类、重点风险类</w:t>
      </w:r>
      <w:r>
        <w:rPr>
          <w:rFonts w:hint="eastAsia" w:ascii="Times New Roman" w:hAnsi="Times New Roman" w:eastAsia="仿宋_GB2312" w:cs="仿宋_GB2312"/>
          <w:color w:val="000000"/>
          <w:kern w:val="0"/>
          <w:sz w:val="32"/>
          <w:szCs w:val="32"/>
          <w:lang w:val="en-US" w:eastAsia="zh-CN" w:bidi="ar"/>
        </w:rPr>
        <w:t>三个等级，实施差异化监管与服务。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守信培育类：</w:t>
      </w:r>
      <w:r>
        <w:rPr>
          <w:rFonts w:hint="eastAsia" w:ascii="Times New Roman" w:hAnsi="Times New Roman" w:eastAsia="仿宋_GB2312" w:cs="仿宋_GB2312"/>
          <w:sz w:val="32"/>
          <w:szCs w:val="32"/>
        </w:rPr>
        <w:t>新设立主体，登记住所真实有效，能够正常取得联络，无投诉、无违规线索，经营范围与申报经营业态匹配，行业经营暂未发现风险，以陪伴辅导、政策推送、常态化低频次抽查为主。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处置导向：以陪伴辅导、信息推送、低频次常态化抽查为主，大力支持创业发展。</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一般关注类：</w:t>
      </w:r>
      <w:r>
        <w:rPr>
          <w:rFonts w:hint="eastAsia" w:ascii="Times New Roman" w:hAnsi="Times New Roman" w:eastAsia="仿宋_GB2312" w:cs="仿宋_GB2312"/>
          <w:sz w:val="32"/>
          <w:szCs w:val="32"/>
          <w:lang w:eastAsia="zh-CN"/>
        </w:rPr>
        <w:t>园区、孵化基地</w:t>
      </w:r>
      <w:r>
        <w:rPr>
          <w:rFonts w:hint="eastAsia" w:ascii="Times New Roman" w:hAnsi="Times New Roman" w:eastAsia="仿宋_GB2312" w:cs="仿宋_GB2312"/>
          <w:sz w:val="32"/>
          <w:szCs w:val="32"/>
        </w:rPr>
        <w:t>注册托管地址、虚拟工位地址；存在少量非恶意消费投诉；经营范围与实际业务存在潜在偏差；股东存在其他企业经营异常记录，无明确违法线索。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处置导向：开展经营风险提醒，建立专项关注台账，实施季度定向抽查，开展住所回访。</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rPr>
        <w:t>重点风险类：</w:t>
      </w:r>
      <w:r>
        <w:rPr>
          <w:rFonts w:hint="eastAsia" w:ascii="Times New Roman" w:hAnsi="Times New Roman" w:eastAsia="仿宋_GB2312" w:cs="仿宋_GB2312"/>
          <w:sz w:val="32"/>
          <w:szCs w:val="32"/>
        </w:rPr>
        <w:t>登记住所无法联系、实地核查查无此主体；批量投诉举报、多部门推送风险线索；涉嫌提交虚假登记材料、虚假住所骗取营业执照；长期超许可类项目开展经营；多次被列入经营异常名录移出后短期内再次失联；利用AI工具开展高风险业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lang w:val="en-US" w:eastAsia="zh-CN" w:bidi="ar"/>
        </w:rPr>
        <w:t>处置导向：提高抽查核查频次，启动跨部门风险会商，依法开展立案核查。</w:t>
      </w:r>
    </w:p>
    <w:p>
      <w:pPr>
        <w:keepNext w:val="0"/>
        <w:keepLines w:val="0"/>
        <w:pageBreakBefore w:val="0"/>
        <w:widowControl w:val="0"/>
        <w:numPr>
          <w:ilvl w:val="0"/>
          <w:numId w:val="8"/>
        </w:numPr>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一人有限责任公司住所（注册地址）专项监管要求</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rPr>
      </w:pPr>
      <w:r>
        <w:rPr>
          <w:rFonts w:hint="eastAsia" w:ascii="Times New Roman" w:hAnsi="Times New Roman" w:eastAsia="仿宋_GB2312" w:cs="仿宋_GB2312"/>
          <w:color w:val="000000"/>
          <w:kern w:val="0"/>
          <w:sz w:val="32"/>
          <w:szCs w:val="32"/>
          <w:lang w:val="en-US" w:eastAsia="zh-CN" w:bidi="ar"/>
        </w:rPr>
        <w:t>一人有限责任公司具备独立法人资格，但存在公私财产混同的特殊法律风险。官渡区大量AI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OPC以纯线上经营为主，没有线下实体经营场地，</w:t>
      </w:r>
      <w:r>
        <w:rPr>
          <w:rStyle w:val="10"/>
          <w:rFonts w:hint="eastAsia" w:ascii="Times New Roman" w:hAnsi="Times New Roman" w:eastAsia="仿宋_GB2312" w:cs="仿宋_GB2312"/>
          <w:b w:val="0"/>
          <w:bCs/>
          <w:color w:val="000000"/>
          <w:kern w:val="0"/>
          <w:sz w:val="32"/>
          <w:szCs w:val="32"/>
          <w:lang w:val="en-US" w:eastAsia="zh-CN" w:bidi="ar"/>
        </w:rPr>
        <w:t>登记住所是监管部门、消费者、合作方与企业法定联络的唯一法定渠道，必须强化登记环节辅导、风险告知，不能以线上账号正常运营，豁免住所登记法定责任</w:t>
      </w:r>
      <w:r>
        <w:rPr>
          <w:rFonts w:hint="eastAsia" w:ascii="Times New Roman" w:hAnsi="Times New Roman" w:eastAsia="仿宋_GB2312" w:cs="仿宋_GB2312"/>
          <w:b w:val="0"/>
          <w:bCs/>
          <w:color w:val="000000"/>
          <w:kern w:val="0"/>
          <w:sz w:val="32"/>
          <w:szCs w:val="32"/>
          <w:lang w:val="en-US" w:eastAsia="zh-CN" w:bidi="ar"/>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一、</w:t>
      </w:r>
      <w:r>
        <w:rPr>
          <w:rFonts w:hint="eastAsia" w:ascii="Times New Roman" w:hAnsi="Times New Roman" w:eastAsia="仿宋_GB2312" w:cs="仿宋_GB2312"/>
          <w:b w:val="0"/>
          <w:bCs w:val="0"/>
          <w:sz w:val="32"/>
          <w:szCs w:val="32"/>
        </w:rPr>
        <w:t>登记准入环节的审查与告知要求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（一）</w:t>
      </w:r>
      <w:r>
        <w:rPr>
          <w:rStyle w:val="10"/>
          <w:rFonts w:hint="eastAsia" w:ascii="Times New Roman" w:hAnsi="Times New Roman" w:eastAsia="仿宋_GB2312" w:cs="仿宋_GB2312"/>
          <w:b w:val="0"/>
          <w:bCs w:val="0"/>
          <w:color w:val="000000"/>
          <w:sz w:val="32"/>
          <w:szCs w:val="32"/>
        </w:rPr>
        <w:t>自有、租赁实体场地申报</w:t>
      </w:r>
      <w:r>
        <w:rPr>
          <w:rFonts w:hint="eastAsia" w:ascii="Times New Roman" w:hAnsi="Times New Roman" w:eastAsia="仿宋_GB2312" w:cs="仿宋_GB2312"/>
          <w:b w:val="0"/>
          <w:bCs w:val="0"/>
          <w:color w:val="000000"/>
          <w:sz w:val="32"/>
          <w:szCs w:val="32"/>
        </w:rPr>
        <w:t>：窗口工作人员核验住所材</w:t>
      </w:r>
      <w:r>
        <w:rPr>
          <w:rFonts w:hint="eastAsia" w:ascii="Times New Roman" w:hAnsi="Times New Roman" w:eastAsia="仿宋_GB2312" w:cs="仿宋_GB2312"/>
          <w:color w:val="000000"/>
          <w:sz w:val="32"/>
          <w:szCs w:val="32"/>
        </w:rPr>
        <w:t>料完整性，明确告知申请人：该地址作为法定文书送达地址，工作日必须保障可以接收政务文书、接受实地核查；仅用于挂证、无人值守、拒绝上门核查的地址属于无效登记住所。</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（二）</w:t>
      </w:r>
      <w:r>
        <w:rPr>
          <w:rStyle w:val="10"/>
          <w:rFonts w:hint="eastAsia" w:ascii="Times New Roman" w:hAnsi="Times New Roman" w:eastAsia="仿宋_GB2312" w:cs="仿宋_GB2312"/>
          <w:b w:val="0"/>
          <w:bCs w:val="0"/>
          <w:color w:val="000000"/>
          <w:sz w:val="32"/>
          <w:szCs w:val="32"/>
        </w:rPr>
        <w:t>仅注册挂牌、无实际线下经营场地的主体</w:t>
      </w:r>
      <w:r>
        <w:rPr>
          <w:rFonts w:hint="eastAsia" w:ascii="Times New Roman" w:hAnsi="Times New Roman" w:eastAsia="仿宋_GB2312" w:cs="仿宋_GB2312"/>
          <w:b w:val="0"/>
          <w:bCs w:val="0"/>
          <w:color w:val="000000"/>
          <w:sz w:val="32"/>
          <w:szCs w:val="32"/>
        </w:rPr>
        <w:t>：窗口开展</w:t>
      </w:r>
      <w:r>
        <w:rPr>
          <w:rFonts w:hint="eastAsia" w:ascii="Times New Roman" w:hAnsi="Times New Roman" w:eastAsia="仿宋_GB2312" w:cs="仿宋_GB2312"/>
          <w:color w:val="000000"/>
          <w:sz w:val="32"/>
          <w:szCs w:val="32"/>
        </w:rPr>
        <w:t>书面风险提示，明确告知住所失联会触发经营异常、吊销等法律后果。</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（三）</w:t>
      </w:r>
      <w:r>
        <w:rPr>
          <w:rStyle w:val="10"/>
          <w:rFonts w:hint="eastAsia" w:ascii="Times New Roman" w:hAnsi="Times New Roman" w:eastAsia="仿宋_GB2312" w:cs="仿宋_GB2312"/>
          <w:b w:val="0"/>
          <w:bCs w:val="0"/>
          <w:color w:val="000000"/>
          <w:sz w:val="32"/>
          <w:szCs w:val="32"/>
          <w:lang w:eastAsia="zh-CN"/>
        </w:rPr>
        <w:t>园区</w:t>
      </w:r>
      <w:r>
        <w:rPr>
          <w:rStyle w:val="10"/>
          <w:rFonts w:hint="eastAsia" w:ascii="Times New Roman" w:hAnsi="Times New Roman" w:eastAsia="仿宋_GB2312" w:cs="仿宋_GB2312"/>
          <w:b w:val="0"/>
          <w:bCs w:val="0"/>
          <w:color w:val="000000"/>
          <w:sz w:val="32"/>
          <w:szCs w:val="32"/>
        </w:rPr>
        <w:t>、</w:t>
      </w:r>
      <w:r>
        <w:rPr>
          <w:rStyle w:val="10"/>
          <w:rFonts w:hint="eastAsia" w:ascii="Times New Roman" w:hAnsi="Times New Roman" w:eastAsia="仿宋_GB2312" w:cs="仿宋_GB2312"/>
          <w:b w:val="0"/>
          <w:bCs w:val="0"/>
          <w:color w:val="000000"/>
          <w:sz w:val="32"/>
          <w:szCs w:val="32"/>
          <w:lang w:eastAsia="zh-CN"/>
        </w:rPr>
        <w:t>孵化基地注册</w:t>
      </w:r>
      <w:r>
        <w:rPr>
          <w:rStyle w:val="10"/>
          <w:rFonts w:hint="eastAsia" w:ascii="Times New Roman" w:hAnsi="Times New Roman" w:eastAsia="仿宋_GB2312" w:cs="仿宋_GB2312"/>
          <w:b w:val="0"/>
          <w:bCs w:val="0"/>
          <w:color w:val="000000"/>
          <w:sz w:val="32"/>
          <w:szCs w:val="32"/>
        </w:rPr>
        <w:t>工位托管地址申报（官渡AI</w:t>
      </w:r>
      <w:r>
        <w:rPr>
          <w:rStyle w:val="10"/>
          <w:rFonts w:hint="eastAsia" w:ascii="Times New Roman" w:hAnsi="Times New Roman" w:eastAsia="仿宋_GB2312" w:cs="仿宋_GB2312"/>
          <w:b w:val="0"/>
          <w:bCs w:val="0"/>
          <w:color w:val="000000"/>
          <w:sz w:val="32"/>
          <w:szCs w:val="32"/>
        </w:rPr>
        <w:noBreakHyphen/>
      </w:r>
      <w:r>
        <w:rPr>
          <w:rStyle w:val="10"/>
          <w:rFonts w:hint="eastAsia" w:ascii="Times New Roman" w:hAnsi="Times New Roman" w:eastAsia="仿宋_GB2312" w:cs="仿宋_GB2312"/>
          <w:b w:val="0"/>
          <w:bCs w:val="0"/>
          <w:color w:val="000000"/>
          <w:sz w:val="32"/>
          <w:szCs w:val="32"/>
        </w:rPr>
        <w:t>OPC高频场景）</w:t>
      </w:r>
      <w:r>
        <w:rPr>
          <w:rStyle w:val="10"/>
          <w:rFonts w:hint="eastAsia" w:ascii="Times New Roman" w:hAnsi="Times New Roman" w:eastAsia="仿宋_GB2312" w:cs="仿宋_GB2312"/>
          <w:b w:val="0"/>
          <w:bCs w:val="0"/>
          <w:color w:val="00000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1.认可依法设立并完成备案的托管机构，非备案托管机构材料不予采信；创业者可向政务窗口查询官渡备案托管机构名录。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使用托管地址注册一人有限公司，登记窗口落实三项告知：①托管机构只提供注册地址托管服务，托管备案不等于经营资质，托管机构不对企业实际经营行为承担担保和监管责任；②托管协议应当约定季度联络机制，托管机构每季度需要和入驻 AI</w:t>
      </w:r>
      <w:r>
        <w:rPr>
          <w:rFonts w:hint="eastAsia" w:ascii="Times New Roman" w:hAnsi="Times New Roman" w:eastAsia="仿宋_GB2312" w:cs="仿宋_GB2312"/>
          <w:sz w:val="32"/>
          <w:szCs w:val="32"/>
          <w:lang w:val="en-US" w:eastAsia="zh-CN"/>
        </w:rPr>
        <w:noBreakHyphen/>
      </w:r>
      <w:r>
        <w:rPr>
          <w:rFonts w:hint="eastAsia" w:ascii="Times New Roman" w:hAnsi="Times New Roman" w:eastAsia="仿宋_GB2312" w:cs="仿宋_GB2312"/>
          <w:sz w:val="32"/>
          <w:szCs w:val="32"/>
          <w:lang w:val="en-US" w:eastAsia="zh-CN"/>
        </w:rPr>
        <w:t>OPC 股东取得有效联系，更新联系方式；③托管地址仅用于商事登记文书送达，不能直接作为线下经营场所；如需线下开展经营，应当另行落实实体经营场地。</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sz w:val="32"/>
          <w:szCs w:val="32"/>
        </w:rPr>
        <w:t>窗口登记人员应当主动问询创业者实际经营模式，对完全线上运营、无任何线下场地的AI+OPC主体，重点提示住所失联后的法律后果：住所无法联系将被列入经营异常名录，长期失联、无法送达文书的，可依法启动吊销营业执照程序。</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（五）</w:t>
      </w:r>
      <w:r>
        <w:rPr>
          <w:rFonts w:hint="eastAsia" w:ascii="Times New Roman" w:hAnsi="Times New Roman" w:eastAsia="仿宋_GB2312" w:cs="仿宋_GB2312"/>
          <w:sz w:val="32"/>
          <w:szCs w:val="32"/>
        </w:rPr>
        <w:t>禁止性申报情形：严禁以私人住宅、出租房屋仅临时接收快递、网络虚拟地址、境外地址、无效场地证明等不符合登记管理规定的材料，骗取一人有限责任公司登记。登记时发现申请人有明显规避住所监管的意图，应当进行约谈警示并留存问询记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二、</w:t>
      </w:r>
      <w:r>
        <w:rPr>
          <w:rFonts w:hint="eastAsia" w:ascii="Times New Roman" w:hAnsi="Times New Roman" w:eastAsia="仿宋_GB2312" w:cs="仿宋_GB2312"/>
          <w:b w:val="0"/>
          <w:bCs w:val="0"/>
          <w:sz w:val="32"/>
          <w:szCs w:val="32"/>
        </w:rPr>
        <w:t>托管机构常态化管控机制</w:t>
      </w:r>
    </w:p>
    <w:p>
      <w:pPr>
        <w:keepNext w:val="0"/>
        <w:keepLines w:val="0"/>
        <w:pageBreakBefore w:val="0"/>
        <w:widowControl w:val="0"/>
        <w:numPr>
          <w:ilvl w:val="0"/>
          <w:numId w:val="9"/>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建立全区托管机构动态台账，</w:t>
      </w:r>
      <w:r>
        <w:rPr>
          <w:rFonts w:hint="eastAsia" w:ascii="Times New Roman" w:hAnsi="Times New Roman" w:eastAsia="仿宋_GB2312" w:cs="仿宋_GB2312"/>
          <w:sz w:val="32"/>
          <w:szCs w:val="32"/>
          <w:lang w:eastAsia="zh-CN"/>
        </w:rPr>
        <w:t>区市场监督管理局</w:t>
      </w:r>
      <w:r>
        <w:rPr>
          <w:rFonts w:hint="eastAsia" w:ascii="Times New Roman" w:hAnsi="Times New Roman" w:eastAsia="仿宋_GB2312" w:cs="仿宋_GB2312"/>
          <w:sz w:val="32"/>
          <w:szCs w:val="32"/>
        </w:rPr>
        <w:t>每半年对托管机构开展一次全覆盖约谈，压实托管主体责任：托管机构必须建立入驻一人有限责任公司专项台账，单独标注AI+OPC业态标签，留存股东有效手机号、即时通讯联络方式。</w:t>
      </w:r>
    </w:p>
    <w:p>
      <w:pPr>
        <w:keepNext w:val="0"/>
        <w:keepLines w:val="0"/>
        <w:pageBreakBefore w:val="0"/>
        <w:widowControl w:val="0"/>
        <w:numPr>
          <w:ilvl w:val="0"/>
          <w:numId w:val="9"/>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托管机构发生入驻主体连续两个季度无法取得联系的，托管机构必须第一时间向属地市场监管所报送失联线索，不得隐瞒不报。对履职不到位、大量出现失联主体的托管机构，依法采取约谈、责令整改，情节严重的按规定取消托管备案资格。</w:t>
      </w:r>
    </w:p>
    <w:p>
      <w:pPr>
        <w:keepNext w:val="0"/>
        <w:keepLines w:val="0"/>
        <w:pageBreakBefore w:val="0"/>
        <w:widowControl w:val="0"/>
        <w:numPr>
          <w:ilvl w:val="0"/>
          <w:numId w:val="9"/>
        </w:numPr>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属地监管所每季度抽取托管机构入驻的一人有限责任公司开展随机回访核查，重点核查联络有效性。</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lang w:eastAsia="zh-CN"/>
        </w:rPr>
        <w:t>三、</w:t>
      </w:r>
      <w:r>
        <w:rPr>
          <w:rFonts w:hint="eastAsia" w:ascii="Times New Roman" w:hAnsi="Times New Roman" w:eastAsia="仿宋_GB2312" w:cs="仿宋_GB2312"/>
          <w:b w:val="0"/>
          <w:bCs w:val="0"/>
          <w:sz w:val="32"/>
          <w:szCs w:val="32"/>
        </w:rPr>
        <w:t>日常监管中的住所核查处置流程</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首次核查无法联系：实地上门核查无人、邮寄文书退回、</w:t>
      </w:r>
      <w:r>
        <w:rPr>
          <w:rFonts w:hint="eastAsia" w:ascii="Times New Roman" w:hAnsi="Times New Roman" w:eastAsia="仿宋_GB2312" w:cs="仿宋_GB2312"/>
          <w:sz w:val="32"/>
          <w:szCs w:val="32"/>
        </w:rPr>
        <w:t>托管机构无法联络股东，第一时间通过登记预留的电话、线上渠道尝试联系股东，下达《住所核查提醒通知书》，限期7个工作日内完成地址更正或者补录有效联系方式。</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限期整改仍无法取得有效联络：</w:t>
      </w:r>
      <w:r>
        <w:rPr>
          <w:rFonts w:hint="eastAsia" w:ascii="Times New Roman" w:hAnsi="Times New Roman" w:eastAsia="仿宋_GB2312" w:cs="仿宋_GB2312"/>
          <w:color w:val="000000"/>
          <w:sz w:val="32"/>
          <w:szCs w:val="32"/>
        </w:rPr>
        <w:t>法列入经营异常名录，国家企业信用信息公示系统对外公示；标记为重点风险类 AI</w:t>
      </w:r>
      <w:r>
        <w:rPr>
          <w:rFonts w:hint="eastAsia" w:ascii="Times New Roman" w:hAnsi="Times New Roman" w:eastAsia="仿宋_GB2312" w:cs="仿宋_GB2312"/>
          <w:color w:val="000000"/>
          <w:sz w:val="32"/>
          <w:szCs w:val="32"/>
        </w:rPr>
        <w:noBreakHyphen/>
      </w:r>
      <w:r>
        <w:rPr>
          <w:rFonts w:hint="eastAsia" w:ascii="Times New Roman" w:hAnsi="Times New Roman" w:eastAsia="仿宋_GB2312" w:cs="仿宋_GB2312"/>
          <w:color w:val="000000"/>
          <w:sz w:val="32"/>
          <w:szCs w:val="32"/>
        </w:rPr>
        <w:t>OPC，风险信息推送全部</w:t>
      </w:r>
      <w:r>
        <w:rPr>
          <w:rFonts w:hint="eastAsia" w:ascii="Times New Roman" w:hAnsi="Times New Roman" w:eastAsia="仿宋_GB2312" w:cs="仿宋_GB2312"/>
          <w:color w:val="000000"/>
          <w:sz w:val="32"/>
          <w:szCs w:val="32"/>
          <w:lang w:eastAsia="zh-CN"/>
        </w:rPr>
        <w:t>协同</w:t>
      </w:r>
      <w:r>
        <w:rPr>
          <w:rFonts w:hint="eastAsia" w:ascii="Times New Roman" w:hAnsi="Times New Roman" w:eastAsia="仿宋_GB2312" w:cs="仿宋_GB2312"/>
          <w:color w:val="000000"/>
          <w:sz w:val="32"/>
          <w:szCs w:val="32"/>
        </w:rPr>
        <w:t>单位共享。</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rPr>
        <w:t>反复失联主体处置：</w:t>
      </w:r>
      <w:r>
        <w:rPr>
          <w:rFonts w:hint="eastAsia" w:ascii="Times New Roman" w:hAnsi="Times New Roman" w:eastAsia="仿宋_GB2312" w:cs="仿宋_GB2312"/>
          <w:color w:val="000000"/>
          <w:sz w:val="32"/>
          <w:szCs w:val="32"/>
        </w:rPr>
        <w:t>移出经营异常名录之后 12 个月内再次住所失联，列为重点监管对象，加大抽查频次，核查是否存在虚假登记；查实提交虚假住所骗取登记，依法立案，可以作出撤销登记决定。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rPr>
        <w:t>线索移送规则：</w:t>
      </w:r>
      <w:r>
        <w:rPr>
          <w:rFonts w:hint="eastAsia" w:ascii="Times New Roman" w:hAnsi="Times New Roman" w:eastAsia="仿宋_GB2312" w:cs="仿宋_GB2312"/>
          <w:color w:val="000000"/>
          <w:sz w:val="32"/>
          <w:szCs w:val="32"/>
        </w:rPr>
        <w:t>住所核查过程中，发现跨行业违规线索，同步移送行业主管部门；各行业主管部门履职过程发现住所失联线索，移送市场监管部门启动住所核查。</w:t>
      </w:r>
    </w:p>
    <w:p>
      <w:pPr>
        <w:keepNext w:val="0"/>
        <w:keepLines w:val="0"/>
        <w:pageBreakBefore w:val="0"/>
        <w:widowControl w:val="0"/>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color w:val="000000"/>
          <w:kern w:val="0"/>
          <w:sz w:val="32"/>
          <w:szCs w:val="32"/>
          <w:lang w:val="en-US" w:eastAsia="zh-CN" w:bidi="ar"/>
        </w:rPr>
        <w:t>官渡本地实操要点：AI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 全部业务在线上开展，经营者容易产生 “线上正常运营，注册地址无所谓” 的误区。风险研判工作明确：线上账号活跃，不能替代法定登记住所的文书送达、监管联络功能，登记住所失效，必须依规处置。</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w:t>
      </w:r>
      <w:r>
        <w:rPr>
          <w:rFonts w:hint="eastAsia" w:ascii="Times New Roman" w:hAnsi="Times New Roman" w:eastAsia="仿宋_GB2312" w:cs="仿宋_GB2312"/>
          <w:b/>
          <w:bCs/>
          <w:sz w:val="32"/>
          <w:szCs w:val="32"/>
          <w:lang w:eastAsia="zh-CN"/>
        </w:rPr>
        <w:t>三节</w:t>
      </w:r>
      <w:r>
        <w:rPr>
          <w:rFonts w:hint="eastAsia" w:ascii="Times New Roman" w:hAnsi="Times New Roman" w:eastAsia="仿宋_GB2312" w:cs="仿宋_GB2312"/>
          <w:b/>
          <w:bCs/>
          <w:sz w:val="32"/>
          <w:szCs w:val="32"/>
        </w:rPr>
        <w:t xml:space="preserve"> 商事领域主要风险清单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1.</w:t>
      </w:r>
      <w:r>
        <w:rPr>
          <w:rFonts w:hint="eastAsia" w:ascii="Times New Roman" w:hAnsi="Times New Roman" w:eastAsia="仿宋_GB2312" w:cs="仿宋_GB2312"/>
          <w:b w:val="0"/>
          <w:bCs w:val="0"/>
          <w:sz w:val="32"/>
          <w:szCs w:val="32"/>
        </w:rPr>
        <w:t>登记类风险</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color w:val="000000"/>
          <w:sz w:val="32"/>
          <w:szCs w:val="32"/>
        </w:rPr>
        <w:t>提交虚假住所证明骗取登记；托管地址失</w:t>
      </w:r>
      <w:r>
        <w:rPr>
          <w:rFonts w:hint="eastAsia" w:ascii="Times New Roman" w:hAnsi="Times New Roman" w:eastAsia="仿宋_GB2312" w:cs="仿宋_GB2312"/>
          <w:color w:val="000000"/>
          <w:sz w:val="32"/>
          <w:szCs w:val="32"/>
        </w:rPr>
        <w:t>联、实体地址拒绝监管核查；频繁变更注册地址规避监管；虚构托管协议办理登记；提交虚假材料设立企业；经营范围和实际业务长期严重错位；登记事项发生变化不办理变更登记。</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val="0"/>
          <w:bCs w:val="0"/>
          <w:sz w:val="32"/>
          <w:szCs w:val="32"/>
          <w:lang w:val="en-US" w:eastAsia="zh-CN"/>
        </w:rPr>
        <w:t>2.</w:t>
      </w:r>
      <w:r>
        <w:rPr>
          <w:rFonts w:hint="eastAsia" w:ascii="Times New Roman" w:hAnsi="Times New Roman" w:eastAsia="仿宋_GB2312" w:cs="仿宋_GB2312"/>
          <w:b w:val="0"/>
          <w:bCs w:val="0"/>
          <w:sz w:val="32"/>
          <w:szCs w:val="32"/>
        </w:rPr>
        <w:t>一人公司特有商事法律风险（监管研判重点）</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color w:val="000000"/>
          <w:sz w:val="32"/>
          <w:szCs w:val="32"/>
        </w:rPr>
        <w:t>没有规</w:t>
      </w:r>
      <w:r>
        <w:rPr>
          <w:rFonts w:hint="eastAsia" w:ascii="Times New Roman" w:hAnsi="Times New Roman" w:eastAsia="仿宋_GB2312" w:cs="仿宋_GB2312"/>
          <w:color w:val="000000"/>
          <w:sz w:val="32"/>
          <w:szCs w:val="32"/>
        </w:rPr>
        <w:t>范独立财务制度，不按规定每年做财务审计报告，股东公私财产混同。该风险不能直接依靠行政监管直接处置，但在回访、约谈、陪伴辅导中常态化开展提示；涉及多起民事诉讼债务纠纷的主体，标记为重点风险台账</w:t>
      </w:r>
      <w:r>
        <w:rPr>
          <w:rFonts w:hint="eastAsia" w:ascii="Times New Roman" w:hAnsi="Times New Roman" w:eastAsia="仿宋_GB2312" w:cs="仿宋_GB2312"/>
          <w:color w:val="00000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val="0"/>
          <w:bCs w:val="0"/>
          <w:sz w:val="32"/>
          <w:szCs w:val="32"/>
          <w:lang w:val="en-US" w:eastAsia="zh-CN"/>
        </w:rPr>
        <w:t>3.</w:t>
      </w:r>
      <w:r>
        <w:rPr>
          <w:rFonts w:hint="eastAsia" w:ascii="Times New Roman" w:hAnsi="Times New Roman" w:eastAsia="仿宋_GB2312" w:cs="仿宋_GB2312"/>
          <w:b w:val="0"/>
          <w:bCs w:val="0"/>
          <w:sz w:val="32"/>
          <w:szCs w:val="32"/>
        </w:rPr>
        <w:t>信用类风险</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逾期未年报、拒不公示即时信息、多次被</w:t>
      </w:r>
      <w:r>
        <w:rPr>
          <w:rFonts w:hint="eastAsia" w:ascii="Times New Roman" w:hAnsi="Times New Roman" w:eastAsia="仿宋_GB2312" w:cs="仿宋_GB2312"/>
          <w:sz w:val="32"/>
          <w:szCs w:val="32"/>
        </w:rPr>
        <w:t>列入经营异常名录。</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b w:val="0"/>
          <w:bCs w:val="0"/>
          <w:sz w:val="32"/>
          <w:szCs w:val="32"/>
          <w:lang w:val="en-US" w:eastAsia="zh-CN"/>
        </w:rPr>
        <w:t>4.</w:t>
      </w:r>
      <w:r>
        <w:rPr>
          <w:rFonts w:hint="eastAsia" w:ascii="Times New Roman" w:hAnsi="Times New Roman" w:eastAsia="仿宋_GB2312" w:cs="仿宋_GB2312"/>
          <w:b w:val="0"/>
          <w:bCs w:val="0"/>
          <w:sz w:val="32"/>
          <w:szCs w:val="32"/>
        </w:rPr>
        <w:t>经营行为风险</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虚假宣传、违法广告、商标侵权、不正</w:t>
      </w:r>
      <w:r>
        <w:rPr>
          <w:rFonts w:hint="eastAsia" w:ascii="Times New Roman" w:hAnsi="Times New Roman" w:eastAsia="仿宋_GB2312" w:cs="仿宋_GB2312"/>
          <w:sz w:val="32"/>
          <w:szCs w:val="32"/>
        </w:rPr>
        <w:t>当竞争、刷单炒信、利用AI生成侵权内容牟利，利用AI生成内容作出保本、收益承诺等违规经营行为。</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w:t>
      </w:r>
      <w:r>
        <w:rPr>
          <w:rFonts w:hint="eastAsia" w:ascii="Times New Roman" w:hAnsi="Times New Roman" w:eastAsia="仿宋_GB2312" w:cs="仿宋_GB2312"/>
          <w:b/>
          <w:bCs/>
          <w:sz w:val="32"/>
          <w:szCs w:val="32"/>
          <w:lang w:eastAsia="zh-CN"/>
        </w:rPr>
        <w:t>四节</w:t>
      </w:r>
      <w:r>
        <w:rPr>
          <w:rFonts w:hint="eastAsia" w:ascii="Times New Roman" w:hAnsi="Times New Roman" w:eastAsia="仿宋_GB2312" w:cs="仿宋_GB2312"/>
          <w:b/>
          <w:bCs/>
          <w:sz w:val="32"/>
          <w:szCs w:val="32"/>
        </w:rPr>
        <w:t xml:space="preserve"> 商事线索处置与跨部门移送总流程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1.区市场监督管理局在监管、投诉处置中，发现不属于市场监管职能的行业违规线索，填写统一制式《AI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OPC风险线索移送单》移送对应行业主管部门；线索同时存在住所失联、登记异常的，移送文书一并载明商事风险情况。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2.各行业主管部门开展行业监管，发现虚假地址、登记材料造假等商事异常线索，移送区市场监督管理局开展商事核查；市场监督管理局接收线索后，3个工作日启动核查，按期反馈处置结果给移送单位。</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color w:val="000000"/>
          <w:kern w:val="0"/>
          <w:sz w:val="32"/>
          <w:szCs w:val="32"/>
          <w:lang w:val="en-US" w:eastAsia="zh-CN" w:bidi="ar"/>
        </w:rPr>
        <w:t>3.涉及多领域叠加的重大复合型风险线索，市场监督管理局协同各行业主管部门组织开展会商研判。</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w:t>
      </w:r>
      <w:r>
        <w:rPr>
          <w:rFonts w:hint="eastAsia" w:ascii="Times New Roman" w:hAnsi="Times New Roman" w:eastAsia="仿宋_GB2312" w:cs="仿宋_GB2312"/>
          <w:b/>
          <w:bCs/>
          <w:sz w:val="32"/>
          <w:szCs w:val="32"/>
          <w:lang w:eastAsia="zh-CN"/>
        </w:rPr>
        <w:t>五节</w:t>
      </w:r>
      <w:r>
        <w:rPr>
          <w:rFonts w:hint="eastAsia" w:ascii="Times New Roman" w:hAnsi="Times New Roman" w:eastAsia="仿宋_GB2312" w:cs="仿宋_GB2312"/>
          <w:b/>
          <w:bCs/>
          <w:sz w:val="32"/>
          <w:szCs w:val="32"/>
        </w:rPr>
        <w:t xml:space="preserve"> 商事执法裁量通用原则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坚持柔性陪伴监管与严格执法相结合。对于轻微违法、无主观恶意、首次发生、能够及时主动改正的商事违法行为，优先采用行政告诫、约谈、责令改正。针对主观恶意、造成社会危害后果的，坚决立案查处。</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color w:val="000000"/>
          <w:kern w:val="0"/>
          <w:sz w:val="32"/>
          <w:szCs w:val="32"/>
          <w:lang w:val="en-US" w:eastAsia="zh-CN" w:bidi="ar"/>
        </w:rPr>
        <w:t>住所类行为裁量：单纯地址填报疏漏，及时主动更正，适用柔性指导；刻意伪造证明材料、故意使用虚假地址规避监管，不适用容错，依法从严处置。</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w:t>
      </w:r>
      <w:r>
        <w:rPr>
          <w:rFonts w:hint="eastAsia" w:ascii="Times New Roman" w:hAnsi="Times New Roman" w:eastAsia="仿宋_GB2312" w:cs="仿宋_GB2312"/>
          <w:b/>
          <w:bCs/>
          <w:sz w:val="32"/>
          <w:szCs w:val="32"/>
          <w:lang w:eastAsia="zh-CN"/>
        </w:rPr>
        <w:t>六节</w:t>
      </w:r>
      <w:r>
        <w:rPr>
          <w:rFonts w:hint="eastAsia" w:ascii="Times New Roman" w:hAnsi="Times New Roman" w:eastAsia="仿宋_GB2312" w:cs="仿宋_GB2312"/>
          <w:b/>
          <w:bCs/>
          <w:sz w:val="32"/>
          <w:szCs w:val="32"/>
        </w:rPr>
        <w:t xml:space="preserve"> 陪伴式监管工作要求</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color w:val="000000"/>
          <w:kern w:val="0"/>
          <w:sz w:val="32"/>
          <w:szCs w:val="32"/>
          <w:lang w:val="en-US" w:eastAsia="zh-CN" w:bidi="ar"/>
        </w:rPr>
        <w:t>针对官渡区AI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一人有限责任公司，改变“重处罚、轻引导”传统模式，陪伴式引导贯穿监管全流程。新设立主体第一次抽查、第一次住所回访，同步开展合规宣讲，告知一人有限公司财务审计、住所管理、信用公示的法定义务；针对高风险主体，开展风险处置同时同步警示教育，引导企业主动纠错。</w:t>
      </w:r>
    </w:p>
    <w:p>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sz w:val="21"/>
          <w:szCs w:val="21"/>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第四</w:t>
      </w:r>
      <w:r>
        <w:rPr>
          <w:rFonts w:hint="eastAsia" w:ascii="Times New Roman" w:hAnsi="Times New Roman" w:eastAsia="黑体" w:cs="黑体"/>
          <w:sz w:val="32"/>
          <w:szCs w:val="32"/>
          <w:lang w:eastAsia="zh-CN"/>
        </w:rPr>
        <w:t>篇</w:t>
      </w:r>
      <w:r>
        <w:rPr>
          <w:rFonts w:hint="eastAsia" w:ascii="Times New Roman" w:hAnsi="Times New Roman" w:eastAsia="黑体" w:cs="黑体"/>
          <w:sz w:val="32"/>
          <w:szCs w:val="32"/>
        </w:rPr>
        <w:t xml:space="preserve"> 闭环运行机制</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宋体" w:cs="宋体"/>
          <w:sz w:val="21"/>
          <w:szCs w:val="21"/>
        </w:rPr>
      </w:pPr>
      <w:r>
        <w:rPr>
          <w:rFonts w:hint="eastAsia" w:ascii="Times New Roman" w:hAnsi="Times New Roman" w:eastAsia="仿宋_GB2312" w:cs="仿宋_GB2312"/>
          <w:b/>
          <w:bCs/>
          <w:sz w:val="32"/>
          <w:szCs w:val="32"/>
          <w:lang w:eastAsia="zh-CN"/>
        </w:rPr>
        <w:t>一、</w:t>
      </w:r>
      <w:r>
        <w:rPr>
          <w:rFonts w:hint="eastAsia" w:ascii="Times New Roman" w:hAnsi="Times New Roman" w:eastAsia="仿宋_GB2312" w:cs="仿宋_GB2312"/>
          <w:b/>
          <w:bCs/>
          <w:sz w:val="32"/>
          <w:szCs w:val="32"/>
        </w:rPr>
        <w:t>风险会商研判机制</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b w:val="0"/>
          <w:bCs w:val="0"/>
          <w:sz w:val="32"/>
          <w:szCs w:val="32"/>
          <w:lang w:val="en-US" w:eastAsia="zh-CN"/>
        </w:rPr>
        <w:t>区</w:t>
      </w:r>
      <w:r>
        <w:rPr>
          <w:rFonts w:hint="eastAsia" w:ascii="Times New Roman" w:hAnsi="Times New Roman" w:eastAsia="仿宋_GB2312" w:cs="仿宋_GB2312"/>
          <w:color w:val="000000"/>
          <w:kern w:val="0"/>
          <w:sz w:val="32"/>
          <w:szCs w:val="32"/>
          <w:lang w:val="en-US" w:eastAsia="zh-CN" w:bidi="ar"/>
        </w:rPr>
        <w:t>市场监督管理局协同各行业主管部门执行常态化季度风险会商；发生集中爆发风险事件，随时启动临时研判会。由区市场监督管理局牵头组织，各行业主管部门反馈本行业AI单人创业新业态风险，研究手册修订优化、监管策略调整，协调处置跨部门难题。</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eastAsia="zh-CN"/>
        </w:rPr>
        <w:t>二、</w:t>
      </w:r>
      <w:r>
        <w:rPr>
          <w:rFonts w:hint="eastAsia" w:ascii="Times New Roman" w:hAnsi="Times New Roman" w:eastAsia="仿宋_GB2312" w:cs="仿宋_GB2312"/>
          <w:b/>
          <w:bCs/>
          <w:sz w:val="32"/>
          <w:szCs w:val="32"/>
        </w:rPr>
        <w:t>陪伴服务回访机制</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color w:val="000000"/>
          <w:kern w:val="0"/>
          <w:sz w:val="32"/>
          <w:szCs w:val="32"/>
          <w:lang w:val="en-US" w:eastAsia="zh-CN" w:bidi="ar"/>
        </w:rPr>
        <w:t>对官渡新设立AI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OPC市场主体开展定向回访；创业者遇到商事开办堵点，由市场监督管理局处置；遇到行业经营准入、合规疑问，流转至对应行业主管部门答复，打通创业咨询服务闭环。</w:t>
      </w:r>
    </w:p>
    <w:p>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b/>
          <w:bCs/>
          <w:sz w:val="32"/>
          <w:szCs w:val="32"/>
          <w:lang w:eastAsia="zh-CN"/>
        </w:rPr>
        <w:t>三、</w:t>
      </w:r>
      <w:r>
        <w:rPr>
          <w:rFonts w:hint="eastAsia" w:ascii="Times New Roman" w:hAnsi="Times New Roman" w:eastAsia="仿宋_GB2312" w:cs="仿宋_GB2312"/>
          <w:b/>
          <w:bCs/>
          <w:sz w:val="32"/>
          <w:szCs w:val="32"/>
        </w:rPr>
        <w:t>应急处置机制</w:t>
      </w:r>
      <w:r>
        <w:rPr>
          <w:rFonts w:hint="eastAsia" w:ascii="Times New Roman" w:hAnsi="Times New Roman" w:eastAsia="仿宋_GB2312" w:cs="仿宋_GB2312"/>
          <w:b/>
          <w:bCs/>
          <w:sz w:val="32"/>
          <w:szCs w:val="32"/>
          <w:lang w:val="en-US" w:eastAsia="zh-CN"/>
        </w:rPr>
        <w:t xml:space="preserve"> </w:t>
      </w:r>
      <w:r>
        <w:rPr>
          <w:rFonts w:hint="eastAsia" w:ascii="Times New Roman" w:hAnsi="Times New Roman" w:eastAsia="仿宋_GB2312" w:cs="仿宋_GB2312"/>
          <w:color w:val="000000"/>
          <w:kern w:val="0"/>
          <w:sz w:val="32"/>
          <w:szCs w:val="32"/>
          <w:lang w:val="en-US" w:eastAsia="zh-CN" w:bidi="ar"/>
        </w:rPr>
        <w:t>出现跨行业群体性投诉、重大网络舆情、重大违法事件，</w:t>
      </w:r>
      <w:r>
        <w:rPr>
          <w:rFonts w:hint="eastAsia" w:ascii="Times New Roman" w:hAnsi="Times New Roman" w:eastAsia="仿宋_GB2312" w:cs="仿宋_GB2312"/>
          <w:b w:val="0"/>
          <w:bCs w:val="0"/>
          <w:sz w:val="32"/>
          <w:szCs w:val="32"/>
          <w:lang w:val="en-US" w:eastAsia="zh-CN"/>
        </w:rPr>
        <w:t>区</w:t>
      </w:r>
      <w:r>
        <w:rPr>
          <w:rFonts w:hint="eastAsia" w:ascii="Times New Roman" w:hAnsi="Times New Roman" w:eastAsia="仿宋_GB2312" w:cs="仿宋_GB2312"/>
          <w:color w:val="000000"/>
          <w:kern w:val="0"/>
          <w:sz w:val="32"/>
          <w:szCs w:val="32"/>
          <w:lang w:val="en-US" w:eastAsia="zh-CN" w:bidi="ar"/>
        </w:rPr>
        <w:t>市场监督管理局协同各行业主管部门立刻启动应急处置预案，多部门联动协同处置，快速管控风险。</w:t>
      </w:r>
    </w:p>
    <w:p>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textAlignment w:val="auto"/>
        <w:rPr>
          <w:rFonts w:hint="eastAsia" w:ascii="Times New Roman" w:hAnsi="Times New Roman" w:eastAsia="宋体" w:cs="宋体"/>
          <w:color w:val="000000"/>
          <w:kern w:val="0"/>
          <w:sz w:val="21"/>
          <w:szCs w:val="21"/>
          <w:lang w:val="en-US" w:eastAsia="zh-CN" w:bidi="ar"/>
        </w:rPr>
      </w:pP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第五</w:t>
      </w:r>
      <w:r>
        <w:rPr>
          <w:rFonts w:hint="eastAsia" w:ascii="Times New Roman" w:hAnsi="Times New Roman" w:eastAsia="黑体" w:cs="黑体"/>
          <w:sz w:val="32"/>
          <w:szCs w:val="32"/>
          <w:lang w:eastAsia="zh-CN"/>
        </w:rPr>
        <w:t>篇</w:t>
      </w:r>
      <w:r>
        <w:rPr>
          <w:rFonts w:hint="eastAsia" w:ascii="Times New Roman" w:hAnsi="Times New Roman" w:eastAsia="黑体" w:cs="黑体"/>
          <w:sz w:val="32"/>
          <w:szCs w:val="32"/>
        </w:rPr>
        <w:t xml:space="preserve"> 实施步骤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color w:val="000000"/>
          <w:kern w:val="0"/>
          <w:sz w:val="32"/>
          <w:szCs w:val="32"/>
          <w:lang w:val="en-US" w:eastAsia="zh-CN" w:bidi="ar"/>
        </w:rPr>
        <w:t>第一阶段：启动摸排建账阶段（1</w:t>
      </w:r>
      <w:r>
        <w:rPr>
          <w:rStyle w:val="10"/>
          <w:rFonts w:hint="eastAsia" w:ascii="Times New Roman" w:hAnsi="Times New Roman" w:eastAsia="仿宋_GB2312" w:cs="仿宋_GB2312"/>
          <w:color w:val="000000"/>
          <w:kern w:val="0"/>
          <w:sz w:val="32"/>
          <w:szCs w:val="32"/>
          <w:lang w:val="en-US" w:eastAsia="zh-CN" w:bidi="ar"/>
        </w:rPr>
        <w:noBreakHyphen/>
      </w:r>
      <w:r>
        <w:rPr>
          <w:rStyle w:val="10"/>
          <w:rFonts w:hint="eastAsia" w:ascii="Times New Roman" w:hAnsi="Times New Roman" w:eastAsia="仿宋_GB2312" w:cs="仿宋_GB2312"/>
          <w:color w:val="000000"/>
          <w:kern w:val="0"/>
          <w:sz w:val="32"/>
          <w:szCs w:val="32"/>
          <w:lang w:val="en-US" w:eastAsia="zh-CN" w:bidi="ar"/>
        </w:rPr>
        <w:t>3个月）</w:t>
      </w:r>
      <w:r>
        <w:rPr>
          <w:rFonts w:hint="eastAsia" w:ascii="Times New Roman" w:hAnsi="Times New Roman" w:eastAsia="仿宋_GB2312" w:cs="仿宋_GB2312"/>
          <w:color w:val="000000"/>
          <w:kern w:val="0"/>
          <w:sz w:val="32"/>
          <w:szCs w:val="32"/>
          <w:lang w:val="en-US" w:eastAsia="zh-CN" w:bidi="ar"/>
        </w:rPr>
        <w:t xml:space="preserve"> 印发专项工作通知；组织各行业主管部门梳理行业权责、合规指引、风险清单报送区市场监督管理局；完成官渡区AI</w:t>
      </w:r>
      <w:r>
        <w:rPr>
          <w:rFonts w:hint="eastAsia" w:ascii="Times New Roman" w:hAnsi="Times New Roman" w:eastAsia="仿宋_GB2312" w:cs="仿宋_GB2312"/>
          <w:color w:val="000000"/>
          <w:kern w:val="0"/>
          <w:sz w:val="32"/>
          <w:szCs w:val="32"/>
          <w:lang w:val="en-US" w:eastAsia="zh-CN" w:bidi="ar"/>
        </w:rPr>
        <w:noBreakHyphen/>
      </w:r>
      <w:r>
        <w:rPr>
          <w:rFonts w:hint="eastAsia" w:ascii="Times New Roman" w:hAnsi="Times New Roman" w:eastAsia="仿宋_GB2312" w:cs="仿宋_GB2312"/>
          <w:color w:val="000000"/>
          <w:kern w:val="0"/>
          <w:sz w:val="32"/>
          <w:szCs w:val="32"/>
          <w:lang w:val="en-US" w:eastAsia="zh-CN" w:bidi="ar"/>
        </w:rPr>
        <w:t>OPC专项主体台账搭建；完成本手册初稿编制、审议、印发；政务服务窗口正式落地商事登记+行业合规双重陪伴辅导服务。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仿宋_GB2312" w:cs="仿宋_GB2312"/>
          <w:color w:val="000000"/>
          <w:sz w:val="32"/>
          <w:szCs w:val="32"/>
        </w:rPr>
      </w:pPr>
      <w:r>
        <w:rPr>
          <w:rStyle w:val="10"/>
          <w:rFonts w:hint="eastAsia" w:ascii="Times New Roman" w:hAnsi="Times New Roman" w:eastAsia="仿宋_GB2312" w:cs="仿宋_GB2312"/>
          <w:color w:val="000000"/>
          <w:kern w:val="0"/>
          <w:sz w:val="32"/>
          <w:szCs w:val="32"/>
          <w:lang w:val="en-US" w:eastAsia="zh-CN" w:bidi="ar"/>
        </w:rPr>
        <w:t>第二阶段：常态落地运行阶段（长期执行）</w:t>
      </w:r>
      <w:r>
        <w:rPr>
          <w:rFonts w:hint="eastAsia" w:ascii="Times New Roman" w:hAnsi="Times New Roman" w:eastAsia="仿宋_GB2312" w:cs="仿宋_GB2312"/>
          <w:color w:val="000000"/>
          <w:kern w:val="0"/>
          <w:sz w:val="32"/>
          <w:szCs w:val="32"/>
          <w:lang w:val="en-US" w:eastAsia="zh-CN" w:bidi="ar"/>
        </w:rPr>
        <w:t xml:space="preserve"> 落实各成员单位常态化履职；</w:t>
      </w:r>
      <w:r>
        <w:rPr>
          <w:rFonts w:hint="eastAsia" w:ascii="Times New Roman" w:hAnsi="Times New Roman" w:eastAsia="仿宋_GB2312" w:cs="仿宋_GB2312"/>
          <w:b w:val="0"/>
          <w:bCs w:val="0"/>
          <w:sz w:val="32"/>
          <w:szCs w:val="32"/>
          <w:lang w:val="en-US" w:eastAsia="zh-CN"/>
        </w:rPr>
        <w:t>区</w:t>
      </w:r>
      <w:r>
        <w:rPr>
          <w:rFonts w:hint="eastAsia" w:ascii="Times New Roman" w:hAnsi="Times New Roman" w:eastAsia="仿宋_GB2312" w:cs="仿宋_GB2312"/>
          <w:color w:val="000000"/>
          <w:kern w:val="0"/>
          <w:sz w:val="32"/>
          <w:szCs w:val="32"/>
          <w:lang w:val="en-US" w:eastAsia="zh-CN" w:bidi="ar"/>
        </w:rPr>
        <w:t>市场监督管理局协同各行业主管部门按季度开展风险会商；持续推进陪伴准入、创业合规培训、动态分级监管；每半年组织一次手册动态修订，适配官渡新业态发展变化。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Times New Roman" w:hAnsi="Times New Roman" w:eastAsia="仿宋_GB2312" w:cs="仿宋_GB2312"/>
          <w:color w:val="000000"/>
          <w:kern w:val="0"/>
          <w:sz w:val="32"/>
          <w:szCs w:val="32"/>
          <w:lang w:val="en-US" w:eastAsia="zh-CN" w:bidi="ar"/>
        </w:rPr>
      </w:pPr>
      <w:r>
        <w:rPr>
          <w:rStyle w:val="10"/>
          <w:rFonts w:hint="eastAsia" w:ascii="Times New Roman" w:hAnsi="Times New Roman" w:eastAsia="仿宋_GB2312" w:cs="仿宋_GB2312"/>
          <w:color w:val="000000"/>
          <w:kern w:val="0"/>
          <w:sz w:val="32"/>
          <w:szCs w:val="32"/>
          <w:lang w:val="en-US" w:eastAsia="zh-CN" w:bidi="ar"/>
        </w:rPr>
        <w:t>第三阶段：年度评估优化阶段（每年度开展）</w:t>
      </w:r>
      <w:r>
        <w:rPr>
          <w:rFonts w:hint="eastAsia" w:ascii="Times New Roman" w:hAnsi="Times New Roman" w:eastAsia="仿宋_GB2312" w:cs="仿宋_GB2312"/>
          <w:color w:val="000000"/>
          <w:kern w:val="0"/>
          <w:sz w:val="32"/>
          <w:szCs w:val="32"/>
          <w:lang w:val="en-US" w:eastAsia="zh-CN" w:bidi="ar"/>
        </w:rPr>
        <w:t xml:space="preserve"> 开展手册实施成效综合评估，梳理官渡AI单人创业发展情况、风险处置案例，根据创业主体新场景、新风险动态调整工作举措，持续优化本实操手册。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420" w:firstLineChars="200"/>
        <w:jc w:val="left"/>
        <w:textAlignment w:val="auto"/>
        <w:rPr>
          <w:rFonts w:hint="eastAsia" w:ascii="Times New Roman" w:hAnsi="Times New Roman" w:eastAsia="宋体" w:cs="宋体"/>
          <w:color w:val="000000"/>
          <w:kern w:val="0"/>
          <w:sz w:val="21"/>
          <w:szCs w:val="21"/>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Times New Roman" w:hAnsi="Times New Roman" w:eastAsia="黑体" w:cs="黑体"/>
          <w:color w:val="000000"/>
          <w:sz w:val="32"/>
          <w:szCs w:val="32"/>
        </w:rPr>
      </w:pPr>
      <w:r>
        <w:rPr>
          <w:rFonts w:hint="eastAsia" w:ascii="Times New Roman" w:hAnsi="Times New Roman" w:eastAsia="黑体" w:cs="黑体"/>
          <w:color w:val="000000"/>
          <w:sz w:val="32"/>
          <w:szCs w:val="32"/>
        </w:rPr>
        <w:t>后记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kern w:val="0"/>
          <w:sz w:val="32"/>
          <w:szCs w:val="32"/>
          <w:lang w:val="en-US" w:eastAsia="zh-CN" w:bidi="ar"/>
        </w:rPr>
        <w:t>本手册是昆明市官渡区立足主城核心区数字小微创业治理的实践创新。立足官渡区位优势，整合全区各部门政务服务、监管资源，坚持服务创业和风险防控两手抓，以靠前陪伴式服务激发单人AI创业活力，以闭环风控守住安全底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我们希望通过本手册落地执行，为在官渡扎根的AI赋能单人创业主体，打造规则清晰、预期明确、有温度的创业环境，助力培育新质生产力，为官渡区数字经济高质量发展注入小微创业动能。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本手册由</w:t>
      </w:r>
      <w:r>
        <w:rPr>
          <w:rFonts w:hint="eastAsia" w:ascii="Times New Roman" w:hAnsi="Times New Roman" w:eastAsia="仿宋_GB2312" w:cs="仿宋_GB2312"/>
          <w:b w:val="0"/>
          <w:bCs w:val="0"/>
          <w:sz w:val="32"/>
          <w:szCs w:val="32"/>
          <w:lang w:val="en-US" w:eastAsia="zh-CN"/>
        </w:rPr>
        <w:t>区</w:t>
      </w:r>
      <w:r>
        <w:rPr>
          <w:rFonts w:hint="eastAsia" w:ascii="Times New Roman" w:hAnsi="Times New Roman" w:eastAsia="仿宋_GB2312" w:cs="仿宋_GB2312"/>
          <w:color w:val="000000"/>
          <w:kern w:val="0"/>
          <w:sz w:val="32"/>
          <w:szCs w:val="32"/>
          <w:lang w:val="en-US" w:eastAsia="zh-CN" w:bidi="ar"/>
        </w:rPr>
        <w:t>市场监督管理局负责解释，自发布之日实施。手册动态修订工作，由</w:t>
      </w:r>
      <w:r>
        <w:rPr>
          <w:rFonts w:hint="eastAsia" w:ascii="Times New Roman" w:hAnsi="Times New Roman" w:eastAsia="仿宋_GB2312" w:cs="仿宋_GB2312"/>
          <w:b w:val="0"/>
          <w:bCs w:val="0"/>
          <w:sz w:val="32"/>
          <w:szCs w:val="32"/>
          <w:lang w:val="en-US" w:eastAsia="zh-CN"/>
        </w:rPr>
        <w:t>区</w:t>
      </w:r>
      <w:r>
        <w:rPr>
          <w:rFonts w:hint="eastAsia" w:ascii="Times New Roman" w:hAnsi="Times New Roman" w:eastAsia="仿宋_GB2312" w:cs="仿宋_GB2312"/>
          <w:color w:val="000000"/>
          <w:kern w:val="0"/>
          <w:sz w:val="32"/>
          <w:szCs w:val="32"/>
          <w:lang w:val="en-US" w:eastAsia="zh-CN" w:bidi="ar"/>
        </w:rPr>
        <w:t>市场监督管理局协同各行业主管部门每半年组织开展，修订版本报区政府分管领导审定后印发。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left"/>
        <w:textAlignment w:val="auto"/>
        <w:rPr>
          <w:rFonts w:hint="eastAsia" w:ascii="Times New Roman" w:hAnsi="Times New Roman" w:eastAsia="仿宋_GB2312" w:cs="仿宋_GB2312"/>
          <w:color w:val="000000"/>
          <w:kern w:val="0"/>
          <w:sz w:val="32"/>
          <w:szCs w:val="32"/>
          <w:lang w:val="en-US" w:eastAsia="zh-CN" w:bidi="ar"/>
        </w:rPr>
      </w:pPr>
    </w:p>
    <w:p>
      <w:pPr>
        <w:keepNext w:val="0"/>
        <w:keepLines w:val="0"/>
        <w:pageBreakBefore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eastAsia="zh-CN"/>
        </w:rPr>
        <w:t>附</w:t>
      </w:r>
      <w:r>
        <w:rPr>
          <w:rFonts w:hint="eastAsia" w:ascii="Times New Roman" w:hAnsi="Times New Roman" w:eastAsia="仿宋_GB2312" w:cs="仿宋_GB2312"/>
          <w:sz w:val="28"/>
          <w:szCs w:val="28"/>
          <w:lang w:val="en-US" w:eastAsia="zh-CN"/>
        </w:rPr>
        <w:t>1.手册事项时效性</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1896"/>
        <w:gridCol w:w="4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vertAlign w:val="baseline"/>
              </w:rPr>
            </w:pPr>
            <w:r>
              <w:rPr>
                <w:rFonts w:hint="eastAsia" w:ascii="Times New Roman" w:hAnsi="Times New Roman" w:eastAsia="仿宋_GB2312" w:cs="仿宋_GB2312"/>
                <w:b/>
                <w:bCs/>
                <w:sz w:val="28"/>
                <w:szCs w:val="28"/>
              </w:rPr>
              <w:t>事项</w:t>
            </w:r>
          </w:p>
        </w:tc>
        <w:tc>
          <w:tcPr>
            <w:tcW w:w="1046"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vertAlign w:val="baseline"/>
              </w:rPr>
            </w:pPr>
            <w:r>
              <w:rPr>
                <w:rFonts w:hint="eastAsia" w:ascii="Times New Roman" w:hAnsi="Times New Roman" w:eastAsia="仿宋_GB2312" w:cs="仿宋_GB2312"/>
                <w:b/>
                <w:bCs/>
                <w:sz w:val="28"/>
                <w:szCs w:val="28"/>
              </w:rPr>
              <w:t>时效性</w:t>
            </w:r>
          </w:p>
        </w:tc>
        <w:tc>
          <w:tcPr>
            <w:tcW w:w="267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vertAlign w:val="baseline"/>
              </w:rPr>
            </w:pPr>
            <w:r>
              <w:rPr>
                <w:rFonts w:hint="eastAsia" w:ascii="Times New Roman" w:hAnsi="Times New Roman" w:eastAsia="仿宋_GB2312" w:cs="仿宋_GB2312"/>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手册常规修订周期</w:t>
            </w:r>
          </w:p>
        </w:tc>
        <w:tc>
          <w:tcPr>
            <w:tcW w:w="1046"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180天（半年）</w:t>
            </w:r>
          </w:p>
        </w:tc>
        <w:tc>
          <w:tcPr>
            <w:tcW w:w="267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自上次修订之日起算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风险会商例会</w:t>
            </w:r>
          </w:p>
        </w:tc>
        <w:tc>
          <w:tcPr>
            <w:tcW w:w="1046"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90天（每季度）</w:t>
            </w:r>
          </w:p>
        </w:tc>
        <w:tc>
          <w:tcPr>
            <w:tcW w:w="267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自上次修订之日起算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临时性风险事件研判会</w:t>
            </w:r>
          </w:p>
        </w:tc>
        <w:tc>
          <w:tcPr>
            <w:tcW w:w="1046"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1天</w:t>
            </w:r>
          </w:p>
        </w:tc>
        <w:tc>
          <w:tcPr>
            <w:tcW w:w="267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收到重大风险线索后24小时内组织召开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行业主管部门供稿更新提交</w:t>
            </w:r>
          </w:p>
        </w:tc>
        <w:tc>
          <w:tcPr>
            <w:tcW w:w="1046"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sz w:val="28"/>
                <w:szCs w:val="28"/>
              </w:rPr>
              <w:t>15天</w:t>
            </w:r>
          </w:p>
        </w:tc>
        <w:tc>
          <w:tcPr>
            <w:tcW w:w="267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vertAlign w:val="baseline"/>
              </w:rPr>
            </w:pPr>
            <w:r>
              <w:rPr>
                <w:rFonts w:hint="eastAsia" w:ascii="Times New Roman" w:hAnsi="Times New Roman" w:eastAsia="仿宋_GB2312" w:cs="仿宋_GB2312"/>
                <w:b w:val="0"/>
                <w:bCs w:val="0"/>
                <w:sz w:val="28"/>
                <w:szCs w:val="28"/>
                <w:lang w:val="en-US" w:eastAsia="zh-CN"/>
              </w:rPr>
              <w:t>区</w:t>
            </w:r>
            <w:r>
              <w:rPr>
                <w:rFonts w:hint="eastAsia" w:ascii="Times New Roman" w:hAnsi="Times New Roman" w:eastAsia="仿宋_GB2312" w:cs="仿宋_GB2312"/>
                <w:color w:val="000000"/>
                <w:kern w:val="0"/>
                <w:sz w:val="28"/>
                <w:szCs w:val="28"/>
                <w:lang w:val="en-US" w:eastAsia="zh-CN" w:bidi="ar"/>
              </w:rPr>
              <w:t>市场监督管理局</w:t>
            </w:r>
            <w:r>
              <w:rPr>
                <w:rFonts w:hint="eastAsia" w:ascii="Times New Roman" w:hAnsi="Times New Roman" w:eastAsia="仿宋_GB2312" w:cs="仿宋_GB2312"/>
                <w:sz w:val="28"/>
                <w:szCs w:val="28"/>
              </w:rPr>
              <w:t>发出修订通知后15个工作日内提交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行业合规指引供稿复核</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365天（每年一次）</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各行业主管部门每年至少复核一次本行业合规指引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行业标签库更新</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90天（每季度）</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结合研判会议同步更新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法规失效替换</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15天</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得知法规修订或失效后15个工作日内完成对应章节校核修正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配套服务指引篇章复核</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365天（每年一次）</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各供稿部门每年至少复核一次本部门服务指引内容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税务政策变动通报</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新政策发布后7个工作日内书面告知</w:t>
            </w:r>
            <w:r>
              <w:rPr>
                <w:rFonts w:hint="eastAsia" w:ascii="Times New Roman" w:hAnsi="Times New Roman" w:eastAsia="仿宋_GB2312" w:cs="仿宋_GB2312"/>
                <w:sz w:val="28"/>
                <w:szCs w:val="28"/>
                <w:lang w:eastAsia="zh-CN"/>
              </w:rPr>
              <w:t>区市场监督管理局</w:t>
            </w:r>
            <w:r>
              <w:rPr>
                <w:rFonts w:hint="eastAsia" w:ascii="Times New Roman" w:hAnsi="Times New Roman" w:eastAsia="仿宋_GB2312" w:cs="仿宋_GB2312"/>
                <w:sz w:val="28"/>
                <w:szCs w:val="28"/>
              </w:rPr>
              <w:t>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创业扶持政策变更通报</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申报条件变更后7个工作日内通报</w:t>
            </w:r>
            <w:r>
              <w:rPr>
                <w:rFonts w:hint="eastAsia" w:ascii="Times New Roman" w:hAnsi="Times New Roman" w:eastAsia="仿宋_GB2312" w:cs="仿宋_GB2312"/>
                <w:sz w:val="28"/>
                <w:szCs w:val="28"/>
                <w:lang w:eastAsia="zh-CN"/>
              </w:rPr>
              <w:t>区市场监督管理局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281"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法律服务范围调整通报</w:t>
            </w:r>
          </w:p>
        </w:tc>
        <w:tc>
          <w:tcPr>
            <w:tcW w:w="1046"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267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法律援助范围、条件调整后7个工作日内通报</w:t>
            </w:r>
            <w:r>
              <w:rPr>
                <w:rFonts w:hint="eastAsia" w:ascii="Times New Roman" w:hAnsi="Times New Roman" w:eastAsia="仿宋_GB2312" w:cs="仿宋_GB2312"/>
                <w:sz w:val="28"/>
                <w:szCs w:val="28"/>
                <w:lang w:eastAsia="zh-CN"/>
              </w:rPr>
              <w:t>区市场监督管理局</w:t>
            </w:r>
          </w:p>
        </w:tc>
      </w:tr>
    </w:tbl>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rPr>
      </w:pPr>
    </w:p>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eastAsia="zh-CN"/>
        </w:rPr>
        <w:t>附</w:t>
      </w:r>
      <w:r>
        <w:rPr>
          <w:rFonts w:hint="eastAsia" w:ascii="Times New Roman" w:hAnsi="Times New Roman" w:eastAsia="仿宋_GB2312" w:cs="仿宋_GB2312"/>
          <w:sz w:val="28"/>
          <w:szCs w:val="28"/>
          <w:lang w:val="en-US" w:eastAsia="zh-CN"/>
        </w:rPr>
        <w:t>2.特殊情形响应时限</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7"/>
        <w:gridCol w:w="1403"/>
        <w:gridCol w:w="2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lang w:eastAsia="zh-CN"/>
              </w:rPr>
            </w:pPr>
            <w:r>
              <w:rPr>
                <w:rFonts w:hint="eastAsia" w:ascii="Times New Roman" w:hAnsi="Times New Roman" w:eastAsia="仿宋_GB2312" w:cs="仿宋_GB2312"/>
                <w:b/>
                <w:bCs/>
                <w:sz w:val="28"/>
                <w:szCs w:val="28"/>
                <w:lang w:eastAsia="zh-CN"/>
              </w:rPr>
              <w:t>触发情形</w:t>
            </w:r>
          </w:p>
        </w:tc>
        <w:tc>
          <w:tcPr>
            <w:tcW w:w="774"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lang w:eastAsia="zh-CN"/>
              </w:rPr>
            </w:pPr>
            <w:r>
              <w:rPr>
                <w:rFonts w:hint="eastAsia" w:ascii="Times New Roman" w:hAnsi="Times New Roman" w:eastAsia="仿宋_GB2312" w:cs="仿宋_GB2312"/>
                <w:b/>
                <w:bCs/>
                <w:sz w:val="28"/>
                <w:szCs w:val="28"/>
                <w:lang w:eastAsia="zh-CN"/>
              </w:rPr>
              <w:t>响应时限</w:t>
            </w:r>
          </w:p>
        </w:tc>
        <w:tc>
          <w:tcPr>
            <w:tcW w:w="1423" w:type="pct"/>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b/>
                <w:bCs/>
                <w:sz w:val="28"/>
                <w:szCs w:val="28"/>
                <w:lang w:eastAsia="zh-CN"/>
              </w:rPr>
            </w:pPr>
            <w:r>
              <w:rPr>
                <w:rFonts w:hint="eastAsia" w:ascii="Times New Roman" w:hAnsi="Times New Roman" w:eastAsia="仿宋_GB2312" w:cs="仿宋_GB2312"/>
                <w:b/>
                <w:bCs/>
                <w:sz w:val="28"/>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国家或省市出台AI相关新法规新政策</w:t>
            </w:r>
          </w:p>
        </w:tc>
        <w:tc>
          <w:tcPr>
            <w:tcW w:w="774"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1423"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启动即时修订程序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辖区内出现新型重大风险事件</w:t>
            </w:r>
          </w:p>
        </w:tc>
        <w:tc>
          <w:tcPr>
            <w:tcW w:w="774"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3天</w:t>
            </w:r>
          </w:p>
        </w:tc>
        <w:tc>
          <w:tcPr>
            <w:tcW w:w="1423"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启动即时修订程序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法律法规修订导致手册条款不再适用</w:t>
            </w:r>
          </w:p>
        </w:tc>
        <w:tc>
          <w:tcPr>
            <w:tcW w:w="774"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1423"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启动即时修订程序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上级部门对AI+OPC业态提出新要求</w:t>
            </w:r>
          </w:p>
        </w:tc>
        <w:tc>
          <w:tcPr>
            <w:tcW w:w="774"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7天</w:t>
            </w:r>
          </w:p>
        </w:tc>
        <w:tc>
          <w:tcPr>
            <w:tcW w:w="1423" w:type="pct"/>
            <w:vAlign w:val="top"/>
          </w:tcPr>
          <w:p>
            <w:pPr>
              <w:keepNext w:val="0"/>
              <w:keepLines w:val="0"/>
              <w:pageBreakBefore w:val="0"/>
              <w:kinsoku/>
              <w:wordWrap w:val="0"/>
              <w:overflowPunct/>
              <w:topLinePunct w:val="0"/>
              <w:autoSpaceDE/>
              <w:autoSpaceDN/>
              <w:bidi w:val="0"/>
              <w:adjustRightInd/>
              <w:snapToGrid/>
              <w:spacing w:line="560" w:lineRule="exact"/>
              <w:textAlignment w:val="auto"/>
              <w:rPr>
                <w:rFonts w:hint="eastAsia" w:ascii="Times New Roman" w:hAnsi="Times New Roman" w:eastAsia="仿宋_GB2312" w:cs="仿宋_GB2312"/>
                <w:kern w:val="2"/>
                <w:sz w:val="28"/>
                <w:szCs w:val="28"/>
                <w:vertAlign w:val="baseline"/>
                <w:lang w:val="en-US" w:eastAsia="zh-CN" w:bidi="ar-SA"/>
              </w:rPr>
            </w:pPr>
            <w:r>
              <w:rPr>
                <w:rFonts w:hint="eastAsia" w:ascii="Times New Roman" w:hAnsi="Times New Roman" w:eastAsia="仿宋_GB2312" w:cs="仿宋_GB2312"/>
                <w:sz w:val="28"/>
                <w:szCs w:val="28"/>
              </w:rPr>
              <w:t>启动即时修订程序</w:t>
            </w:r>
          </w:p>
        </w:tc>
      </w:tr>
    </w:tbl>
    <w:p>
      <w:pPr>
        <w:keepNext w:val="0"/>
        <w:keepLines w:val="0"/>
        <w:pageBreakBefore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仿宋_GB2312"/>
          <w:sz w:val="32"/>
          <w:szCs w:val="32"/>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4091C0"/>
    <w:multiLevelType w:val="singleLevel"/>
    <w:tmpl w:val="AF4091C0"/>
    <w:lvl w:ilvl="0" w:tentative="0">
      <w:start w:val="2"/>
      <w:numFmt w:val="chineseCounting"/>
      <w:suff w:val="space"/>
      <w:lvlText w:val="第%1节"/>
      <w:lvlJc w:val="left"/>
      <w:rPr>
        <w:rFonts w:hint="eastAsia"/>
      </w:rPr>
    </w:lvl>
  </w:abstractNum>
  <w:abstractNum w:abstractNumId="1">
    <w:nsid w:val="D7F60D8A"/>
    <w:multiLevelType w:val="singleLevel"/>
    <w:tmpl w:val="D7F60D8A"/>
    <w:lvl w:ilvl="0" w:tentative="0">
      <w:start w:val="3"/>
      <w:numFmt w:val="chineseCounting"/>
      <w:suff w:val="nothing"/>
      <w:lvlText w:val="（%1）"/>
      <w:lvlJc w:val="left"/>
      <w:rPr>
        <w:rFonts w:hint="eastAsia"/>
      </w:rPr>
    </w:lvl>
  </w:abstractNum>
  <w:abstractNum w:abstractNumId="2">
    <w:nsid w:val="DC91AB12"/>
    <w:multiLevelType w:val="singleLevel"/>
    <w:tmpl w:val="DC91AB12"/>
    <w:lvl w:ilvl="0" w:tentative="0">
      <w:start w:val="5"/>
      <w:numFmt w:val="chineseCounting"/>
      <w:suff w:val="nothing"/>
      <w:lvlText w:val="%1、"/>
      <w:lvlJc w:val="left"/>
      <w:rPr>
        <w:rFonts w:hint="eastAsia"/>
      </w:rPr>
    </w:lvl>
  </w:abstractNum>
  <w:abstractNum w:abstractNumId="3">
    <w:nsid w:val="ECE2E64A"/>
    <w:multiLevelType w:val="singleLevel"/>
    <w:tmpl w:val="ECE2E64A"/>
    <w:lvl w:ilvl="0" w:tentative="0">
      <w:start w:val="2"/>
      <w:numFmt w:val="chineseCounting"/>
      <w:suff w:val="space"/>
      <w:lvlText w:val="第%1篇"/>
      <w:lvlJc w:val="left"/>
      <w:rPr>
        <w:rFonts w:hint="eastAsia"/>
      </w:rPr>
    </w:lvl>
  </w:abstractNum>
  <w:abstractNum w:abstractNumId="4">
    <w:nsid w:val="1CC43F92"/>
    <w:multiLevelType w:val="singleLevel"/>
    <w:tmpl w:val="1CC43F92"/>
    <w:lvl w:ilvl="0" w:tentative="0">
      <w:start w:val="2"/>
      <w:numFmt w:val="chineseCounting"/>
      <w:suff w:val="space"/>
      <w:lvlText w:val="第%1节"/>
      <w:lvlJc w:val="left"/>
      <w:rPr>
        <w:rFonts w:hint="eastAsia"/>
      </w:rPr>
    </w:lvl>
  </w:abstractNum>
  <w:abstractNum w:abstractNumId="5">
    <w:nsid w:val="3B02D89D"/>
    <w:multiLevelType w:val="singleLevel"/>
    <w:tmpl w:val="3B02D89D"/>
    <w:lvl w:ilvl="0" w:tentative="0">
      <w:start w:val="1"/>
      <w:numFmt w:val="chineseCounting"/>
      <w:suff w:val="nothing"/>
      <w:lvlText w:val="%1、"/>
      <w:lvlJc w:val="left"/>
      <w:rPr>
        <w:rFonts w:hint="eastAsia"/>
      </w:rPr>
    </w:lvl>
  </w:abstractNum>
  <w:abstractNum w:abstractNumId="6">
    <w:nsid w:val="6654F479"/>
    <w:multiLevelType w:val="singleLevel"/>
    <w:tmpl w:val="6654F479"/>
    <w:lvl w:ilvl="0" w:tentative="0">
      <w:start w:val="5"/>
      <w:numFmt w:val="chineseCounting"/>
      <w:suff w:val="nothing"/>
      <w:lvlText w:val="%1、"/>
      <w:lvlJc w:val="left"/>
      <w:rPr>
        <w:rFonts w:hint="eastAsia"/>
      </w:rPr>
    </w:lvl>
  </w:abstractNum>
  <w:abstractNum w:abstractNumId="7">
    <w:nsid w:val="6F13B4B9"/>
    <w:multiLevelType w:val="singleLevel"/>
    <w:tmpl w:val="6F13B4B9"/>
    <w:lvl w:ilvl="0" w:tentative="0">
      <w:start w:val="3"/>
      <w:numFmt w:val="chineseCounting"/>
      <w:suff w:val="space"/>
      <w:lvlText w:val="第%1章"/>
      <w:lvlJc w:val="left"/>
      <w:rPr>
        <w:rFonts w:hint="eastAsia"/>
      </w:rPr>
    </w:lvl>
  </w:abstractNum>
  <w:abstractNum w:abstractNumId="8">
    <w:nsid w:val="7375A46E"/>
    <w:multiLevelType w:val="singleLevel"/>
    <w:tmpl w:val="7375A46E"/>
    <w:lvl w:ilvl="0" w:tentative="0">
      <w:start w:val="1"/>
      <w:numFmt w:val="decimal"/>
      <w:lvlText w:val="%1."/>
      <w:lvlJc w:val="left"/>
      <w:pPr>
        <w:tabs>
          <w:tab w:val="left" w:pos="312"/>
        </w:tabs>
      </w:pPr>
    </w:lvl>
  </w:abstractNum>
  <w:num w:numId="1">
    <w:abstractNumId w:val="3"/>
  </w:num>
  <w:num w:numId="2">
    <w:abstractNumId w:val="2"/>
  </w:num>
  <w:num w:numId="3">
    <w:abstractNumId w:val="5"/>
  </w:num>
  <w:num w:numId="4">
    <w:abstractNumId w:val="1"/>
  </w:num>
  <w:num w:numId="5">
    <w:abstractNumId w:val="6"/>
  </w:num>
  <w:num w:numId="6">
    <w:abstractNumId w:val="7"/>
  </w:num>
  <w:num w:numId="7">
    <w:abstractNumId w:val="4"/>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05526"/>
    <w:rsid w:val="02754157"/>
    <w:rsid w:val="076738D9"/>
    <w:rsid w:val="07823B74"/>
    <w:rsid w:val="0CE16B9A"/>
    <w:rsid w:val="11F03B3B"/>
    <w:rsid w:val="157B7E19"/>
    <w:rsid w:val="196D4EE7"/>
    <w:rsid w:val="1A36549C"/>
    <w:rsid w:val="1BEB4A06"/>
    <w:rsid w:val="1E80119F"/>
    <w:rsid w:val="208C1F09"/>
    <w:rsid w:val="27B80D2E"/>
    <w:rsid w:val="282E208E"/>
    <w:rsid w:val="29551104"/>
    <w:rsid w:val="2A1718E9"/>
    <w:rsid w:val="2ACB3B45"/>
    <w:rsid w:val="2D405AD0"/>
    <w:rsid w:val="32541818"/>
    <w:rsid w:val="329F52B1"/>
    <w:rsid w:val="32BE173C"/>
    <w:rsid w:val="3847411B"/>
    <w:rsid w:val="392D38AA"/>
    <w:rsid w:val="3D883C6D"/>
    <w:rsid w:val="3F7B4DCA"/>
    <w:rsid w:val="3FED477B"/>
    <w:rsid w:val="42612425"/>
    <w:rsid w:val="43C74542"/>
    <w:rsid w:val="452E7FD4"/>
    <w:rsid w:val="47555F4C"/>
    <w:rsid w:val="48823F01"/>
    <w:rsid w:val="4D9E40DA"/>
    <w:rsid w:val="4DBA796D"/>
    <w:rsid w:val="4DEA2CFD"/>
    <w:rsid w:val="52602DF5"/>
    <w:rsid w:val="5321676F"/>
    <w:rsid w:val="53547FBD"/>
    <w:rsid w:val="55063DB6"/>
    <w:rsid w:val="555840AB"/>
    <w:rsid w:val="5794797E"/>
    <w:rsid w:val="5F886385"/>
    <w:rsid w:val="604D6E32"/>
    <w:rsid w:val="6499297F"/>
    <w:rsid w:val="680D6507"/>
    <w:rsid w:val="6D033ED9"/>
    <w:rsid w:val="6D5A5034"/>
    <w:rsid w:val="6E102946"/>
    <w:rsid w:val="6F314B9E"/>
    <w:rsid w:val="702174DC"/>
    <w:rsid w:val="71901A5D"/>
    <w:rsid w:val="71F14078"/>
    <w:rsid w:val="72D4554B"/>
    <w:rsid w:val="753B6B65"/>
    <w:rsid w:val="784527C9"/>
    <w:rsid w:val="79554319"/>
    <w:rsid w:val="79685EA1"/>
    <w:rsid w:val="7AB045F5"/>
    <w:rsid w:val="7E707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6</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2026-08-19T03:48:00Z</dcterms:created>
  <dc:creator>Administrator</dc:creator>
  <cp:lastModifiedBy>Administrator</cp:lastModifiedBy>
  <cp:lastPrinted>2026-09-08T07:16:38Z</cp:lastPrinted>
  <dcterms:modified xsi:type="dcterms:W3CDTF">2026-09-08T07:29:36Z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37CA9916BB774C89B393E393E620E6B0</vt:lpwstr>
  </property>
</Properties>
</file>