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7A6A1">
      <w:pPr>
        <w:spacing w:before="104" w:line="224" w:lineRule="auto"/>
        <w:rPr>
          <w:rFonts w:hint="eastAsia" w:ascii="黑体" w:hAnsi="黑体" w:eastAsia="黑体" w:cs="黑体"/>
          <w:spacing w:val="8"/>
          <w:sz w:val="32"/>
          <w:szCs w:val="32"/>
        </w:rPr>
      </w:pPr>
      <w:bookmarkStart w:id="1" w:name="_GoBack"/>
      <w:bookmarkEnd w:id="1"/>
      <w:bookmarkStart w:id="0" w:name="OLE_LINK1"/>
      <w:r>
        <w:rPr>
          <w:rFonts w:hint="eastAsia" w:ascii="黑体" w:hAnsi="黑体" w:eastAsia="黑体" w:cs="黑体"/>
          <w:spacing w:val="8"/>
          <w:sz w:val="32"/>
          <w:szCs w:val="32"/>
        </w:rPr>
        <w:t>附件</w:t>
      </w:r>
      <w:r>
        <w:rPr>
          <w:rFonts w:hint="eastAsia" w:ascii="黑体" w:hAnsi="黑体" w:eastAsia="黑体" w:cs="黑体"/>
          <w:spacing w:val="8"/>
          <w:sz w:val="32"/>
          <w:szCs w:val="32"/>
          <w:lang w:val="en-US" w:eastAsia="zh-CN"/>
        </w:rPr>
        <w:t>6</w:t>
      </w:r>
      <w:r>
        <w:rPr>
          <w:rFonts w:hint="eastAsia" w:ascii="黑体" w:hAnsi="黑体" w:eastAsia="黑体" w:cs="黑体"/>
          <w:spacing w:val="8"/>
          <w:sz w:val="32"/>
          <w:szCs w:val="32"/>
        </w:rPr>
        <w:t>：</w:t>
      </w:r>
    </w:p>
    <w:bookmarkEnd w:id="0"/>
    <w:p w14:paraId="4266429A">
      <w:pPr>
        <w:snapToGrid w:val="0"/>
        <w:spacing w:line="317" w:lineRule="auto"/>
        <w:jc w:val="center"/>
        <w:rPr>
          <w:rFonts w:hint="eastAsia" w:ascii="方正小标宋简体" w:hAnsi="Calibri" w:eastAsia="方正小标宋简体"/>
          <w:sz w:val="44"/>
          <w:szCs w:val="44"/>
        </w:rPr>
      </w:pPr>
      <w:r>
        <w:rPr>
          <w:rFonts w:hint="eastAsia" w:ascii="方正小标宋简体" w:hAnsi="Calibri" w:eastAsia="方正小标宋简体"/>
          <w:sz w:val="44"/>
          <w:szCs w:val="44"/>
          <w:lang w:val="en-US" w:eastAsia="zh-CN"/>
        </w:rPr>
        <w:t>云南省</w:t>
      </w:r>
      <w:r>
        <w:rPr>
          <w:rFonts w:hint="eastAsia" w:ascii="方正小标宋简体" w:hAnsi="Calibri" w:eastAsia="方正小标宋简体"/>
          <w:sz w:val="44"/>
          <w:szCs w:val="44"/>
        </w:rPr>
        <w:t>昆明市</w:t>
      </w:r>
      <w:r>
        <w:rPr>
          <w:rFonts w:hint="eastAsia" w:ascii="方正小标宋简体" w:hAnsi="Calibri" w:eastAsia="方正小标宋简体"/>
          <w:sz w:val="44"/>
          <w:szCs w:val="44"/>
          <w:lang w:eastAsia="zh-CN"/>
        </w:rPr>
        <w:t>官渡区</w:t>
      </w:r>
      <w:r>
        <w:rPr>
          <w:rFonts w:hint="eastAsia" w:ascii="方正小标宋简体" w:hAnsi="Calibri" w:eastAsia="方正小标宋简体"/>
          <w:sz w:val="44"/>
          <w:szCs w:val="44"/>
        </w:rPr>
        <w:t>烟草专卖局烟草制品</w:t>
      </w:r>
    </w:p>
    <w:p w14:paraId="00CA19AF">
      <w:pPr>
        <w:snapToGrid w:val="0"/>
        <w:spacing w:line="317" w:lineRule="auto"/>
        <w:jc w:val="center"/>
        <w:rPr>
          <w:rFonts w:ascii="仿宋_GB2312" w:hAnsi="仿宋_GB2312" w:eastAsia="仿宋_GB2312" w:cs="仿宋_GB2312"/>
          <w:sz w:val="32"/>
          <w:szCs w:val="32"/>
        </w:rPr>
      </w:pPr>
      <w:r>
        <w:rPr>
          <w:rFonts w:hint="eastAsia" w:ascii="方正小标宋简体" w:hAnsi="Calibri" w:eastAsia="方正小标宋简体"/>
          <w:sz w:val="44"/>
          <w:szCs w:val="44"/>
        </w:rPr>
        <w:t>零售点排队轮候制度</w:t>
      </w:r>
    </w:p>
    <w:p w14:paraId="35A0F1C8">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总则</w:t>
      </w:r>
    </w:p>
    <w:p w14:paraId="3B6C665B">
      <w:pPr>
        <w:numPr>
          <w:ilvl w:val="2"/>
          <w:numId w:val="0"/>
        </w:numPr>
        <w:spacing w:line="360" w:lineRule="auto"/>
        <w:ind w:left="0" w:leftChars="0" w:firstLine="680" w:firstLineChars="0"/>
        <w:rPr>
          <w:rFonts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第一条　</w:t>
      </w:r>
      <w:r>
        <w:rPr>
          <w:rFonts w:hint="eastAsia" w:ascii="仿宋_GB2312" w:hAnsi="仿宋_GB2312" w:eastAsia="仿宋_GB2312" w:cs="仿宋_GB2312"/>
          <w:sz w:val="32"/>
          <w:szCs w:val="32"/>
        </w:rPr>
        <w:t>为坚持公平、公正、公开原则，规范实施《</w:t>
      </w:r>
      <w:r>
        <w:rPr>
          <w:rFonts w:hint="eastAsia" w:ascii="仿宋_GB2312" w:hAnsi="仿宋_GB2312" w:eastAsia="仿宋_GB2312" w:cs="仿宋_GB2312"/>
          <w:sz w:val="32"/>
          <w:szCs w:val="32"/>
          <w:lang w:eastAsia="zh-CN"/>
        </w:rPr>
        <w:t>云南省昆明市官渡区烟草制品零售点</w:t>
      </w:r>
      <w:r>
        <w:rPr>
          <w:rFonts w:hint="eastAsia" w:ascii="仿宋_GB2312" w:hAnsi="仿宋_GB2312" w:eastAsia="仿宋_GB2312" w:cs="仿宋_GB2312"/>
          <w:sz w:val="32"/>
          <w:szCs w:val="32"/>
        </w:rPr>
        <w:t>合理布局规划》，根据《中华人民共和国行政许可法》《烟草专卖许可证管理办法》《烟草专卖许可证管理办法实施细则》等法律法规和规章的规定，结合</w:t>
      </w:r>
      <w:r>
        <w:rPr>
          <w:rFonts w:hint="eastAsia" w:ascii="仿宋_GB2312" w:hAnsi="仿宋_GB2312" w:eastAsia="仿宋_GB2312" w:cs="仿宋_GB2312"/>
          <w:sz w:val="32"/>
          <w:szCs w:val="32"/>
          <w:lang w:eastAsia="zh-CN"/>
        </w:rPr>
        <w:t>官渡区</w:t>
      </w:r>
      <w:r>
        <w:rPr>
          <w:rFonts w:hint="eastAsia" w:ascii="仿宋_GB2312" w:hAnsi="仿宋_GB2312" w:eastAsia="仿宋_GB2312" w:cs="仿宋_GB2312"/>
          <w:sz w:val="32"/>
          <w:szCs w:val="32"/>
        </w:rPr>
        <w:t>实际，制定本制度。</w:t>
      </w:r>
    </w:p>
    <w:p w14:paraId="484EF595">
      <w:pPr>
        <w:numPr>
          <w:ilvl w:val="2"/>
          <w:numId w:val="0"/>
        </w:numPr>
        <w:spacing w:line="360" w:lineRule="auto"/>
        <w:ind w:left="0" w:leftChars="0" w:firstLine="680" w:firstLineChars="0"/>
        <w:rPr>
          <w:rFonts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第二条　</w:t>
      </w:r>
      <w:r>
        <w:rPr>
          <w:rFonts w:hint="eastAsia" w:ascii="仿宋_GB2312" w:hAnsi="仿宋_GB2312" w:eastAsia="仿宋_GB2312" w:cs="仿宋_GB2312"/>
          <w:sz w:val="32"/>
          <w:szCs w:val="32"/>
        </w:rPr>
        <w:t>本制度适用于昆明市</w:t>
      </w:r>
      <w:r>
        <w:rPr>
          <w:rFonts w:hint="eastAsia" w:ascii="仿宋_GB2312" w:hAnsi="仿宋_GB2312" w:eastAsia="仿宋_GB2312" w:cs="仿宋_GB2312"/>
          <w:sz w:val="32"/>
          <w:szCs w:val="32"/>
          <w:lang w:eastAsia="zh-CN"/>
        </w:rPr>
        <w:t>官渡区</w:t>
      </w:r>
      <w:r>
        <w:rPr>
          <w:rFonts w:hint="eastAsia" w:ascii="仿宋_GB2312" w:hAnsi="仿宋_GB2312" w:eastAsia="仿宋_GB2312" w:cs="仿宋_GB2312"/>
          <w:sz w:val="32"/>
          <w:szCs w:val="32"/>
        </w:rPr>
        <w:t>行政辖区烟草制品零售点新办申请排队轮候预登记。</w:t>
      </w:r>
    </w:p>
    <w:p w14:paraId="7FD75EC0">
      <w:pPr>
        <w:numPr>
          <w:ilvl w:val="2"/>
          <w:numId w:val="0"/>
        </w:numPr>
        <w:spacing w:line="360" w:lineRule="auto"/>
        <w:ind w:left="0" w:leftChars="0" w:firstLine="680" w:firstLineChars="0"/>
        <w:rPr>
          <w:rFonts w:ascii="仿宋_GB2312" w:hAnsi="仿宋_GB2312" w:eastAsia="仿宋_GB2312" w:cs="仿宋_GB2312"/>
          <w:color w:val="auto"/>
          <w:sz w:val="32"/>
          <w:szCs w:val="32"/>
        </w:rPr>
      </w:pPr>
      <w:r>
        <w:rPr>
          <w:rFonts w:hint="eastAsia" w:ascii="仿宋_GB2312" w:hAnsi="仿宋_GB2312" w:eastAsia="黑体" w:cs="仿宋_GB2312"/>
          <w:color w:val="auto"/>
          <w:kern w:val="2"/>
          <w:sz w:val="32"/>
          <w:szCs w:val="32"/>
          <w:lang w:val="en-US" w:eastAsia="zh-CN" w:bidi="ar-SA"/>
        </w:rPr>
        <w:t>第三条　</w:t>
      </w:r>
      <w:r>
        <w:rPr>
          <w:rFonts w:hint="eastAsia" w:ascii="仿宋_GB2312" w:hAnsi="仿宋_GB2312" w:eastAsia="仿宋_GB2312" w:cs="仿宋_GB2312"/>
          <w:kern w:val="28"/>
          <w:sz w:val="32"/>
          <w:szCs w:val="32"/>
        </w:rPr>
        <w:t>本区</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w:t>
      </w:r>
      <w:r>
        <w:rPr>
          <w:rFonts w:hint="eastAsia" w:ascii="仿宋_GB2312" w:hAnsi="仿宋_GB2312" w:eastAsia="仿宋_GB2312" w:cs="仿宋_GB2312"/>
          <w:color w:val="auto"/>
          <w:kern w:val="28"/>
          <w:sz w:val="32"/>
          <w:szCs w:val="32"/>
        </w:rPr>
        <w:t>新办申请人应按本制度首先提出排队轮候申请，直至该最小单元网格内的零售点实际数量小于</w:t>
      </w:r>
      <w:r>
        <w:rPr>
          <w:rFonts w:hint="eastAsia" w:ascii="仿宋_GB2312" w:hAnsi="仿宋_GB2312" w:eastAsia="仿宋_GB2312" w:cs="仿宋_GB2312"/>
          <w:color w:val="auto"/>
          <w:sz w:val="32"/>
          <w:szCs w:val="32"/>
        </w:rPr>
        <w:t>规划数时，再按照排队轮候的顺序依次提交新办申请。</w:t>
      </w:r>
    </w:p>
    <w:p w14:paraId="72CB010B">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程序及要求</w:t>
      </w:r>
    </w:p>
    <w:p w14:paraId="6D696C85">
      <w:pPr>
        <w:numPr>
          <w:ilvl w:val="2"/>
          <w:numId w:val="0"/>
        </w:numPr>
        <w:spacing w:line="360" w:lineRule="auto"/>
        <w:ind w:left="0" w:leftChars="0" w:firstLine="640" w:firstLineChars="200"/>
        <w:rPr>
          <w:rFonts w:ascii="楷体" w:hAnsi="楷体" w:eastAsia="楷体" w:cs="楷体"/>
          <w:color w:val="auto"/>
          <w:sz w:val="32"/>
          <w:szCs w:val="32"/>
        </w:rPr>
      </w:pPr>
      <w:r>
        <w:rPr>
          <w:rFonts w:hint="eastAsia" w:ascii="楷体" w:hAnsi="楷体" w:eastAsia="黑体" w:cs="楷体"/>
          <w:color w:val="auto"/>
          <w:kern w:val="2"/>
          <w:sz w:val="32"/>
          <w:szCs w:val="32"/>
          <w:lang w:val="en-US" w:eastAsia="zh-CN" w:bidi="ar-SA"/>
        </w:rPr>
        <w:t>第四条　</w:t>
      </w: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w:t>
      </w:r>
      <w:r>
        <w:rPr>
          <w:rFonts w:hint="eastAsia" w:ascii="仿宋_GB2312" w:hAnsi="仿宋_GB2312" w:eastAsia="仿宋_GB2312" w:cs="仿宋_GB2312"/>
          <w:kern w:val="28"/>
          <w:sz w:val="32"/>
          <w:szCs w:val="32"/>
          <w:lang w:eastAsia="zh-CN"/>
        </w:rPr>
        <w:t>区</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w:t>
      </w:r>
      <w:r>
        <w:rPr>
          <w:rFonts w:hint="eastAsia" w:ascii="仿宋_GB2312" w:hAnsi="仿宋_GB2312" w:eastAsia="仿宋_GB2312" w:cs="仿宋_GB2312"/>
          <w:color w:val="auto"/>
          <w:kern w:val="28"/>
          <w:sz w:val="32"/>
          <w:szCs w:val="32"/>
        </w:rPr>
        <w:t>发证机关采取集中抽签方式确定该最小单元网格首次排队轮候顺序。</w:t>
      </w:r>
    </w:p>
    <w:p w14:paraId="6B6CDF10">
      <w:pPr>
        <w:numPr>
          <w:ilvl w:val="2"/>
          <w:numId w:val="0"/>
        </w:numPr>
        <w:spacing w:line="360" w:lineRule="auto"/>
        <w:ind w:left="0" w:leftChars="0" w:firstLine="640" w:firstLineChars="200"/>
        <w:rPr>
          <w:rFonts w:ascii="楷体" w:hAnsi="楷体" w:eastAsia="楷体" w:cs="楷体"/>
          <w:sz w:val="32"/>
          <w:szCs w:val="32"/>
        </w:rPr>
      </w:pPr>
      <w:r>
        <w:rPr>
          <w:rFonts w:hint="eastAsia" w:ascii="楷体" w:hAnsi="楷体" w:eastAsia="黑体" w:cs="楷体"/>
          <w:color w:val="auto"/>
          <w:kern w:val="2"/>
          <w:sz w:val="32"/>
          <w:szCs w:val="32"/>
          <w:lang w:val="en-US" w:eastAsia="zh-CN" w:bidi="ar-SA"/>
        </w:rPr>
        <w:t>第五条　</w:t>
      </w:r>
      <w:r>
        <w:rPr>
          <w:rFonts w:hint="eastAsia" w:ascii="仿宋_GB2312" w:hAnsi="仿宋_GB2312" w:eastAsia="仿宋_GB2312" w:cs="仿宋_GB2312"/>
          <w:kern w:val="28"/>
          <w:sz w:val="32"/>
          <w:szCs w:val="32"/>
        </w:rPr>
        <w:t>集中抽签按照“提前申请—集中公证抽签—公示抽签结果”的程序进行。自本制度实施之日起5个工作日内，对外发布参与集中抽签的报名地点、时间和方式；自本制度实施之日起10个工作日内，对外发布集中公证抽签的地点、时间和方案；自本制度实施之日起15个工作日内，完成集中公证抽签。</w:t>
      </w:r>
    </w:p>
    <w:p w14:paraId="743DCCE4">
      <w:pPr>
        <w:spacing w:line="360" w:lineRule="auto"/>
        <w:ind w:firstLine="640" w:firstLineChars="200"/>
        <w:rPr>
          <w:rFonts w:hint="eastAsia" w:ascii="仿宋_GB2312" w:hAnsi="仿宋_GB2312" w:eastAsia="仿宋_GB2312" w:cs="仿宋_GB2312"/>
          <w:kern w:val="28"/>
          <w:sz w:val="32"/>
          <w:szCs w:val="32"/>
        </w:rPr>
      </w:pPr>
      <w:r>
        <w:rPr>
          <w:rFonts w:hint="eastAsia" w:ascii="仿宋_GB2312" w:hAnsi="仿宋_GB2312" w:eastAsia="仿宋_GB2312" w:cs="仿宋_GB2312"/>
          <w:kern w:val="28"/>
          <w:sz w:val="32"/>
          <w:szCs w:val="32"/>
        </w:rPr>
        <w:t>集中公证抽签现场按照对外发布方案确定最小单元网格首次排队轮候顺序，并在2个工作日内公示。</w:t>
      </w:r>
    </w:p>
    <w:p w14:paraId="1900DDC1">
      <w:pPr>
        <w:numPr>
          <w:ilvl w:val="2"/>
          <w:numId w:val="0"/>
        </w:numPr>
        <w:spacing w:line="360" w:lineRule="auto"/>
        <w:ind w:left="0" w:leftChars="0" w:firstLine="640" w:firstLineChars="200"/>
        <w:rPr>
          <w:rFonts w:hint="eastAsia" w:ascii="仿宋_GB2312" w:hAnsi="仿宋_GB2312" w:eastAsia="仿宋_GB2312" w:cs="仿宋_GB2312"/>
          <w:color w:val="auto"/>
          <w:kern w:val="28"/>
          <w:sz w:val="32"/>
          <w:szCs w:val="32"/>
        </w:rPr>
      </w:pPr>
      <w:r>
        <w:rPr>
          <w:rFonts w:hint="eastAsia" w:ascii="仿宋_GB2312" w:hAnsi="仿宋_GB2312" w:eastAsia="黑体" w:cs="仿宋_GB2312"/>
          <w:color w:val="auto"/>
          <w:kern w:val="28"/>
          <w:sz w:val="32"/>
          <w:szCs w:val="32"/>
          <w:lang w:val="en-US" w:eastAsia="zh-CN" w:bidi="ar-SA"/>
        </w:rPr>
        <w:t>第六条　</w:t>
      </w:r>
      <w:r>
        <w:rPr>
          <w:rFonts w:hint="eastAsia" w:ascii="仿宋_GB2312" w:hAnsi="仿宋_GB2312" w:eastAsia="仿宋_GB2312" w:cs="仿宋_GB2312"/>
          <w:color w:val="auto"/>
          <w:kern w:val="28"/>
          <w:sz w:val="32"/>
          <w:szCs w:val="32"/>
          <w:highlight w:val="none"/>
          <w:lang w:val="en-US" w:eastAsia="zh-CN"/>
        </w:rPr>
        <w:t>在集中抽签确定排队轮候顺序时，</w:t>
      </w:r>
      <w:r>
        <w:rPr>
          <w:rFonts w:hint="eastAsia" w:ascii="仿宋_GB2312" w:hAnsi="仿宋_GB2312" w:eastAsia="仿宋_GB2312" w:cs="仿宋_GB2312"/>
          <w:color w:val="auto"/>
          <w:kern w:val="28"/>
          <w:sz w:val="32"/>
          <w:szCs w:val="32"/>
        </w:rPr>
        <w:t>申请人应当依据当期最小单元网格动态调整的公示情况，在申请人的实际经营地址符合当期可新增零售点最小单元网格要求的基础上，按照对外发布参与集中</w:t>
      </w:r>
      <w:r>
        <w:rPr>
          <w:rFonts w:hint="eastAsia" w:ascii="仿宋_GB2312" w:hAnsi="仿宋_GB2312" w:eastAsia="仿宋_GB2312" w:cs="仿宋_GB2312"/>
          <w:color w:val="auto"/>
          <w:kern w:val="28"/>
          <w:sz w:val="32"/>
          <w:szCs w:val="32"/>
          <w:lang w:eastAsia="zh-CN"/>
        </w:rPr>
        <w:t>抽签</w:t>
      </w:r>
      <w:r>
        <w:rPr>
          <w:rFonts w:hint="eastAsia" w:ascii="仿宋_GB2312" w:hAnsi="仿宋_GB2312" w:eastAsia="仿宋_GB2312" w:cs="仿宋_GB2312"/>
          <w:color w:val="auto"/>
          <w:kern w:val="28"/>
          <w:sz w:val="32"/>
          <w:szCs w:val="32"/>
        </w:rPr>
        <w:t>的地点、时间，自愿填写并提交《</w:t>
      </w:r>
      <w:r>
        <w:rPr>
          <w:rFonts w:hint="eastAsia" w:ascii="仿宋_GB2312" w:hAnsi="仿宋_GB2312" w:eastAsia="仿宋_GB2312" w:cs="仿宋_GB2312"/>
          <w:color w:val="auto"/>
          <w:kern w:val="28"/>
          <w:sz w:val="32"/>
          <w:szCs w:val="32"/>
          <w:lang w:eastAsia="zh-CN"/>
        </w:rPr>
        <w:t>云南省昆明市官渡区烟草制品零售点</w:t>
      </w:r>
      <w:r>
        <w:rPr>
          <w:rFonts w:hint="eastAsia" w:ascii="仿宋_GB2312" w:hAnsi="仿宋_GB2312" w:eastAsia="仿宋_GB2312" w:cs="仿宋_GB2312"/>
          <w:color w:val="auto"/>
          <w:kern w:val="28"/>
          <w:sz w:val="32"/>
          <w:szCs w:val="32"/>
        </w:rPr>
        <w:t>集中</w:t>
      </w:r>
      <w:r>
        <w:rPr>
          <w:rFonts w:hint="eastAsia" w:ascii="仿宋_GB2312" w:hAnsi="仿宋_GB2312" w:eastAsia="仿宋_GB2312" w:cs="仿宋_GB2312"/>
          <w:color w:val="auto"/>
          <w:kern w:val="28"/>
          <w:sz w:val="32"/>
          <w:szCs w:val="32"/>
          <w:lang w:val="en-US" w:eastAsia="zh-CN"/>
        </w:rPr>
        <w:t>抽签</w:t>
      </w:r>
      <w:r>
        <w:rPr>
          <w:rFonts w:hint="eastAsia" w:ascii="仿宋_GB2312" w:hAnsi="仿宋_GB2312" w:eastAsia="仿宋_GB2312" w:cs="仿宋_GB2312"/>
          <w:color w:val="auto"/>
          <w:kern w:val="28"/>
          <w:sz w:val="32"/>
          <w:szCs w:val="32"/>
        </w:rPr>
        <w:t>申请表》（详见附表）。</w:t>
      </w:r>
    </w:p>
    <w:p w14:paraId="117C7BF7">
      <w:pPr>
        <w:numPr>
          <w:ilvl w:val="0"/>
          <w:numId w:val="0"/>
        </w:numPr>
        <w:spacing w:line="360" w:lineRule="auto"/>
        <w:ind w:firstLine="640" w:firstLineChars="200"/>
        <w:rPr>
          <w:rFonts w:hint="eastAsia" w:ascii="仿宋_GB2312" w:hAnsi="仿宋_GB2312" w:eastAsia="仿宋_GB2312" w:cs="仿宋_GB2312"/>
          <w:color w:val="auto"/>
          <w:kern w:val="28"/>
          <w:sz w:val="32"/>
          <w:szCs w:val="32"/>
          <w:highlight w:val="none"/>
        </w:rPr>
      </w:pPr>
      <w:r>
        <w:rPr>
          <w:rFonts w:hint="eastAsia" w:ascii="仿宋_GB2312" w:hAnsi="仿宋_GB2312" w:eastAsia="仿宋_GB2312" w:cs="仿宋_GB2312"/>
          <w:color w:val="auto"/>
          <w:kern w:val="28"/>
          <w:sz w:val="32"/>
          <w:szCs w:val="32"/>
          <w:highlight w:val="none"/>
        </w:rPr>
        <w:t>集中</w:t>
      </w:r>
      <w:r>
        <w:rPr>
          <w:rFonts w:hint="eastAsia" w:ascii="仿宋_GB2312" w:hAnsi="仿宋_GB2312" w:eastAsia="仿宋_GB2312" w:cs="仿宋_GB2312"/>
          <w:color w:val="auto"/>
          <w:kern w:val="28"/>
          <w:sz w:val="32"/>
          <w:szCs w:val="32"/>
          <w:highlight w:val="none"/>
          <w:lang w:val="en-US" w:eastAsia="zh-CN"/>
        </w:rPr>
        <w:t>抽签</w:t>
      </w:r>
      <w:r>
        <w:rPr>
          <w:rFonts w:hint="eastAsia" w:ascii="仿宋_GB2312" w:hAnsi="仿宋_GB2312" w:eastAsia="仿宋_GB2312" w:cs="仿宋_GB2312"/>
          <w:color w:val="auto"/>
          <w:kern w:val="28"/>
          <w:sz w:val="32"/>
          <w:szCs w:val="32"/>
          <w:highlight w:val="none"/>
        </w:rPr>
        <w:t>结束后，按照</w:t>
      </w:r>
      <w:r>
        <w:rPr>
          <w:rFonts w:hint="eastAsia" w:ascii="仿宋_GB2312" w:hAnsi="仿宋_GB2312" w:eastAsia="仿宋_GB2312" w:cs="仿宋_GB2312"/>
          <w:color w:val="auto"/>
          <w:kern w:val="28"/>
          <w:sz w:val="32"/>
          <w:szCs w:val="32"/>
          <w:highlight w:val="none"/>
          <w:lang w:val="en-US" w:eastAsia="zh-CN"/>
        </w:rPr>
        <w:t>抽签</w:t>
      </w:r>
      <w:r>
        <w:rPr>
          <w:rFonts w:hint="eastAsia" w:ascii="仿宋_GB2312" w:hAnsi="仿宋_GB2312" w:eastAsia="仿宋_GB2312" w:cs="仿宋_GB2312"/>
          <w:color w:val="auto"/>
          <w:kern w:val="28"/>
          <w:sz w:val="32"/>
          <w:szCs w:val="32"/>
          <w:highlight w:val="none"/>
        </w:rPr>
        <w:t>顺序确定</w:t>
      </w:r>
      <w:r>
        <w:rPr>
          <w:rFonts w:hint="eastAsia" w:ascii="仿宋_GB2312" w:hAnsi="仿宋_GB2312" w:eastAsia="仿宋_GB2312" w:cs="仿宋_GB2312"/>
          <w:color w:val="auto"/>
          <w:kern w:val="28"/>
          <w:sz w:val="32"/>
          <w:szCs w:val="32"/>
          <w:highlight w:val="none"/>
          <w:lang w:val="en-US" w:eastAsia="zh-CN"/>
        </w:rPr>
        <w:t>各最小单元网格的排队轮候顺序，并按抽签顺序填写提交《云南省昆明市官渡区烟草专卖局烟草制品零售点XX单元网格排队轮候申请表》（详见附表）。</w:t>
      </w:r>
      <w:r>
        <w:rPr>
          <w:rFonts w:hint="eastAsia" w:ascii="仿宋_GB2312" w:hAnsi="仿宋_GB2312" w:eastAsia="仿宋_GB2312" w:cs="仿宋_GB2312"/>
          <w:color w:val="auto"/>
          <w:kern w:val="28"/>
          <w:sz w:val="32"/>
          <w:szCs w:val="32"/>
          <w:highlight w:val="none"/>
        </w:rPr>
        <w:t>未在当期对外发布的报名地点、时间内参与集中</w:t>
      </w:r>
      <w:r>
        <w:rPr>
          <w:rFonts w:hint="eastAsia" w:ascii="仿宋_GB2312" w:hAnsi="仿宋_GB2312" w:eastAsia="仿宋_GB2312" w:cs="仿宋_GB2312"/>
          <w:color w:val="auto"/>
          <w:kern w:val="28"/>
          <w:sz w:val="32"/>
          <w:szCs w:val="32"/>
          <w:highlight w:val="none"/>
          <w:lang w:eastAsia="zh-CN"/>
        </w:rPr>
        <w:t>抽签</w:t>
      </w:r>
      <w:r>
        <w:rPr>
          <w:rFonts w:hint="eastAsia" w:ascii="仿宋_GB2312" w:hAnsi="仿宋_GB2312" w:eastAsia="仿宋_GB2312" w:cs="仿宋_GB2312"/>
          <w:color w:val="auto"/>
          <w:kern w:val="28"/>
          <w:sz w:val="32"/>
          <w:szCs w:val="32"/>
          <w:highlight w:val="none"/>
        </w:rPr>
        <w:t>的，按照提交</w:t>
      </w:r>
      <w:r>
        <w:rPr>
          <w:rFonts w:hint="eastAsia" w:ascii="仿宋_GB2312" w:hAnsi="仿宋_GB2312" w:eastAsia="仿宋_GB2312" w:cs="仿宋_GB2312"/>
          <w:color w:val="auto"/>
          <w:kern w:val="28"/>
          <w:sz w:val="32"/>
          <w:szCs w:val="32"/>
          <w:highlight w:val="none"/>
          <w:lang w:val="en-US" w:eastAsia="zh-CN"/>
        </w:rPr>
        <w:t>排队轮候</w:t>
      </w:r>
      <w:r>
        <w:rPr>
          <w:rFonts w:hint="eastAsia" w:ascii="仿宋_GB2312" w:hAnsi="仿宋_GB2312" w:eastAsia="仿宋_GB2312" w:cs="仿宋_GB2312"/>
          <w:color w:val="auto"/>
          <w:kern w:val="28"/>
          <w:sz w:val="32"/>
          <w:szCs w:val="32"/>
          <w:highlight w:val="none"/>
        </w:rPr>
        <w:t>申请资料的时间顺序依次排在当期参加集中</w:t>
      </w:r>
      <w:r>
        <w:rPr>
          <w:rFonts w:hint="eastAsia" w:ascii="仿宋_GB2312" w:hAnsi="仿宋_GB2312" w:eastAsia="仿宋_GB2312" w:cs="仿宋_GB2312"/>
          <w:color w:val="auto"/>
          <w:kern w:val="28"/>
          <w:sz w:val="32"/>
          <w:szCs w:val="32"/>
          <w:highlight w:val="none"/>
          <w:lang w:eastAsia="zh-CN"/>
        </w:rPr>
        <w:t>抽签</w:t>
      </w:r>
      <w:r>
        <w:rPr>
          <w:rFonts w:hint="eastAsia" w:ascii="仿宋_GB2312" w:hAnsi="仿宋_GB2312" w:eastAsia="仿宋_GB2312" w:cs="仿宋_GB2312"/>
          <w:color w:val="auto"/>
          <w:kern w:val="28"/>
          <w:sz w:val="32"/>
          <w:szCs w:val="32"/>
          <w:highlight w:val="none"/>
        </w:rPr>
        <w:t>的顺序之后。</w:t>
      </w:r>
    </w:p>
    <w:p w14:paraId="72048D50">
      <w:pPr>
        <w:numPr>
          <w:ilvl w:val="2"/>
          <w:numId w:val="0"/>
        </w:numPr>
        <w:spacing w:line="360" w:lineRule="auto"/>
        <w:ind w:left="0" w:leftChars="0" w:firstLine="640" w:firstLineChars="200"/>
        <w:rPr>
          <w:rFonts w:hint="eastAsia" w:ascii="仿宋_GB2312" w:hAnsi="仿宋_GB2312" w:eastAsia="仿宋_GB2312" w:cs="仿宋_GB2312"/>
          <w:kern w:val="28"/>
          <w:sz w:val="32"/>
          <w:szCs w:val="32"/>
        </w:rPr>
      </w:pPr>
      <w:r>
        <w:rPr>
          <w:rFonts w:hint="eastAsia" w:ascii="仿宋_GB2312" w:hAnsi="仿宋_GB2312" w:eastAsia="黑体" w:cs="仿宋_GB2312"/>
          <w:color w:val="auto"/>
          <w:kern w:val="28"/>
          <w:sz w:val="32"/>
          <w:szCs w:val="32"/>
          <w:lang w:val="en-US" w:eastAsia="zh-CN" w:bidi="ar-SA"/>
        </w:rPr>
        <w:t>第七条　</w:t>
      </w:r>
      <w:r>
        <w:rPr>
          <w:rFonts w:hint="eastAsia" w:ascii="仿宋_GB2312" w:hAnsi="仿宋_GB2312" w:eastAsia="仿宋_GB2312" w:cs="仿宋_GB2312"/>
          <w:kern w:val="28"/>
          <w:sz w:val="32"/>
          <w:szCs w:val="32"/>
        </w:rPr>
        <w:t>申请人应当确保自愿填写的集中</w:t>
      </w:r>
      <w:r>
        <w:rPr>
          <w:rFonts w:hint="eastAsia" w:ascii="仿宋_GB2312" w:hAnsi="仿宋_GB2312" w:eastAsia="仿宋_GB2312" w:cs="仿宋_GB2312"/>
          <w:kern w:val="28"/>
          <w:sz w:val="32"/>
          <w:szCs w:val="32"/>
          <w:lang w:eastAsia="zh-CN"/>
        </w:rPr>
        <w:t>抽签</w:t>
      </w:r>
      <w:r>
        <w:rPr>
          <w:rFonts w:hint="eastAsia" w:ascii="仿宋_GB2312" w:hAnsi="仿宋_GB2312" w:eastAsia="仿宋_GB2312" w:cs="仿宋_GB2312"/>
          <w:kern w:val="28"/>
          <w:sz w:val="32"/>
          <w:szCs w:val="32"/>
        </w:rPr>
        <w:t>登记信息、新办申请资料信息等准确无误。出现信息不一致或者</w:t>
      </w:r>
      <w:r>
        <w:rPr>
          <w:rFonts w:hint="eastAsia" w:ascii="仿宋_GB2312" w:hAnsi="仿宋_GB2312" w:eastAsia="仿宋_GB2312" w:cs="仿宋_GB2312"/>
          <w:kern w:val="28"/>
          <w:sz w:val="32"/>
          <w:szCs w:val="32"/>
          <w:lang w:val="en-US" w:eastAsia="zh-CN"/>
        </w:rPr>
        <w:t>弄虚作假的，</w:t>
      </w:r>
      <w:r>
        <w:rPr>
          <w:rFonts w:hint="eastAsia" w:ascii="仿宋_GB2312" w:hAnsi="仿宋_GB2312" w:eastAsia="仿宋_GB2312" w:cs="仿宋_GB2312"/>
          <w:kern w:val="28"/>
          <w:sz w:val="32"/>
          <w:szCs w:val="32"/>
        </w:rPr>
        <w:t>一律取消所涉及申请人个人的当期集中</w:t>
      </w:r>
      <w:r>
        <w:rPr>
          <w:rFonts w:hint="eastAsia" w:ascii="仿宋_GB2312" w:hAnsi="仿宋_GB2312" w:eastAsia="仿宋_GB2312" w:cs="仿宋_GB2312"/>
          <w:kern w:val="28"/>
          <w:sz w:val="32"/>
          <w:szCs w:val="32"/>
          <w:lang w:eastAsia="zh-CN"/>
        </w:rPr>
        <w:t>抽签</w:t>
      </w:r>
      <w:r>
        <w:rPr>
          <w:rFonts w:hint="eastAsia" w:ascii="仿宋_GB2312" w:hAnsi="仿宋_GB2312" w:eastAsia="仿宋_GB2312" w:cs="仿宋_GB2312"/>
          <w:kern w:val="28"/>
          <w:sz w:val="32"/>
          <w:szCs w:val="32"/>
        </w:rPr>
        <w:t>结果</w:t>
      </w:r>
      <w:r>
        <w:rPr>
          <w:rFonts w:hint="eastAsia" w:ascii="仿宋_GB2312" w:hAnsi="仿宋_GB2312" w:eastAsia="仿宋_GB2312" w:cs="仿宋_GB2312"/>
          <w:kern w:val="28"/>
          <w:sz w:val="32"/>
          <w:szCs w:val="32"/>
          <w:lang w:eastAsia="zh-CN"/>
        </w:rPr>
        <w:t>。</w:t>
      </w:r>
    </w:p>
    <w:p w14:paraId="31568227">
      <w:pPr>
        <w:numPr>
          <w:ilvl w:val="2"/>
          <w:numId w:val="0"/>
        </w:numPr>
        <w:spacing w:line="360" w:lineRule="auto"/>
        <w:ind w:left="0" w:leftChars="0" w:firstLine="640" w:firstLineChars="200"/>
        <w:rPr>
          <w:rFonts w:hint="eastAsia" w:ascii="仿宋_GB2312" w:hAnsi="仿宋_GB2312" w:eastAsia="仿宋_GB2312" w:cs="仿宋_GB2312"/>
          <w:kern w:val="28"/>
          <w:sz w:val="32"/>
          <w:szCs w:val="32"/>
        </w:rPr>
      </w:pPr>
      <w:r>
        <w:rPr>
          <w:rFonts w:hint="eastAsia" w:ascii="仿宋_GB2312" w:hAnsi="仿宋_GB2312" w:eastAsia="黑体" w:cs="仿宋_GB2312"/>
          <w:color w:val="auto"/>
          <w:kern w:val="28"/>
          <w:sz w:val="32"/>
          <w:szCs w:val="32"/>
          <w:lang w:val="en-US" w:eastAsia="zh-CN" w:bidi="ar-SA"/>
        </w:rPr>
        <w:t>第八条　</w:t>
      </w:r>
      <w:r>
        <w:rPr>
          <w:rFonts w:hint="eastAsia" w:ascii="仿宋_GB2312" w:hAnsi="仿宋_GB2312" w:eastAsia="仿宋_GB2312" w:cs="仿宋_GB2312"/>
          <w:kern w:val="28"/>
          <w:sz w:val="32"/>
          <w:szCs w:val="32"/>
        </w:rPr>
        <w:t>烟草制品零售点排队轮候采取最小单元网格管理，自愿加入排队轮候的申请人，应填写并提交《</w:t>
      </w:r>
      <w:r>
        <w:rPr>
          <w:rFonts w:hint="eastAsia" w:ascii="仿宋_GB2312" w:hAnsi="仿宋_GB2312" w:eastAsia="仿宋_GB2312" w:cs="仿宋_GB2312"/>
          <w:kern w:val="28"/>
          <w:sz w:val="32"/>
          <w:szCs w:val="32"/>
          <w:lang w:val="en-US" w:eastAsia="zh-CN"/>
        </w:rPr>
        <w:t>云南省</w:t>
      </w:r>
      <w:r>
        <w:rPr>
          <w:rFonts w:hint="eastAsia" w:ascii="仿宋_GB2312" w:hAnsi="仿宋_GB2312" w:eastAsia="仿宋_GB2312" w:cs="仿宋_GB2312"/>
          <w:kern w:val="28"/>
          <w:sz w:val="32"/>
          <w:szCs w:val="32"/>
        </w:rPr>
        <w:t>昆明市</w:t>
      </w:r>
      <w:r>
        <w:rPr>
          <w:rFonts w:hint="eastAsia" w:ascii="仿宋_GB2312" w:hAnsi="仿宋_GB2312" w:eastAsia="仿宋_GB2312" w:cs="仿宋_GB2312"/>
          <w:kern w:val="28"/>
          <w:sz w:val="32"/>
          <w:szCs w:val="32"/>
          <w:lang w:eastAsia="zh-CN"/>
        </w:rPr>
        <w:t>官渡区</w:t>
      </w:r>
      <w:r>
        <w:rPr>
          <w:rFonts w:hint="eastAsia" w:ascii="仿宋_GB2312" w:hAnsi="仿宋_GB2312" w:eastAsia="仿宋_GB2312" w:cs="仿宋_GB2312"/>
          <w:kern w:val="28"/>
          <w:sz w:val="32"/>
          <w:szCs w:val="32"/>
        </w:rPr>
        <w:t>烟草专卖局烟草制品零售点XX单元网格排队轮候申请表》（详见附表）。申请人在填报信息时应准确、真实。</w:t>
      </w:r>
    </w:p>
    <w:p w14:paraId="4E93A9C5">
      <w:pPr>
        <w:numPr>
          <w:ilvl w:val="2"/>
          <w:numId w:val="0"/>
        </w:numPr>
        <w:spacing w:line="360" w:lineRule="auto"/>
        <w:ind w:left="0" w:leftChars="0" w:firstLine="640" w:firstLineChars="200"/>
        <w:rPr>
          <w:rFonts w:hint="eastAsia" w:ascii="仿宋_GB2312" w:hAnsi="仿宋_GB2312" w:eastAsia="仿宋_GB2312" w:cs="仿宋_GB2312"/>
          <w:sz w:val="32"/>
          <w:szCs w:val="32"/>
          <w:highlight w:val="none"/>
          <w:lang w:val="en-US" w:eastAsia="zh-CN"/>
        </w:rPr>
      </w:pPr>
      <w:r>
        <w:rPr>
          <w:rFonts w:hint="eastAsia" w:ascii="仿宋_GB2312" w:hAnsi="仿宋_GB2312" w:eastAsia="黑体" w:cs="仿宋_GB2312"/>
          <w:color w:val="auto"/>
          <w:kern w:val="2"/>
          <w:sz w:val="32"/>
          <w:szCs w:val="32"/>
          <w:lang w:val="en-US" w:eastAsia="zh-CN" w:bidi="ar-SA"/>
        </w:rPr>
        <w:t>第九条　</w:t>
      </w:r>
      <w:r>
        <w:rPr>
          <w:rFonts w:hint="eastAsia" w:ascii="仿宋_GB2312" w:hAnsi="仿宋_GB2312" w:eastAsia="仿宋_GB2312" w:cs="仿宋_GB2312"/>
          <w:sz w:val="32"/>
          <w:szCs w:val="32"/>
        </w:rPr>
        <w:t>根据申请人线上</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线下</w:t>
      </w:r>
      <w:r>
        <w:rPr>
          <w:rFonts w:hint="eastAsia" w:ascii="仿宋_GB2312" w:hAnsi="仿宋_GB2312" w:eastAsia="仿宋_GB2312" w:cs="仿宋_GB2312"/>
          <w:sz w:val="32"/>
          <w:szCs w:val="32"/>
        </w:rPr>
        <w:t>提交时间，生成排队轮候顺序，并告知申请人单元网格内排队轮候顺序号。</w:t>
      </w:r>
      <w:r>
        <w:rPr>
          <w:rFonts w:hint="eastAsia" w:ascii="仿宋_GB2312" w:hAnsi="仿宋_GB2312" w:eastAsia="仿宋_GB2312" w:cs="仿宋_GB2312"/>
          <w:sz w:val="32"/>
          <w:szCs w:val="32"/>
          <w:highlight w:val="none"/>
          <w:lang w:val="en-US" w:eastAsia="zh-CN"/>
        </w:rPr>
        <w:t>线上申请排队轮候的，一般在发证机关对外公开的信息系统或政务服务平台上进行申请；线下申请排队轮候的，一般在发证机关对外公开的政务服务窗口提出申请。</w:t>
      </w:r>
    </w:p>
    <w:p w14:paraId="5FCF00DA">
      <w:pPr>
        <w:widowControl w:val="0"/>
        <w:numPr>
          <w:ilvl w:val="2"/>
          <w:numId w:val="0"/>
        </w:numPr>
        <w:spacing w:line="360" w:lineRule="auto"/>
        <w:ind w:left="0" w:leftChars="0" w:firstLine="640" w:firstLineChars="200"/>
        <w:jc w:val="both"/>
        <w:rPr>
          <w:rFonts w:hint="eastAsia" w:ascii="仿宋_GB2312" w:hAnsi="仿宋_GB2312" w:eastAsia="仿宋_GB2312" w:cs="仿宋_GB2312"/>
          <w:sz w:val="32"/>
          <w:szCs w:val="32"/>
          <w:highlight w:val="none"/>
          <w:lang w:val="en-US" w:eastAsia="zh-CN"/>
        </w:rPr>
      </w:pPr>
      <w:r>
        <w:rPr>
          <w:rFonts w:hint="eastAsia" w:ascii="仿宋_GB2312" w:hAnsi="仿宋_GB2312" w:eastAsia="黑体" w:cs="仿宋_GB2312"/>
          <w:color w:val="auto"/>
          <w:kern w:val="2"/>
          <w:sz w:val="32"/>
          <w:szCs w:val="32"/>
          <w:lang w:val="en-US" w:eastAsia="zh-CN" w:bidi="ar-SA"/>
        </w:rPr>
        <w:t>第十条　</w:t>
      </w:r>
      <w:r>
        <w:rPr>
          <w:rFonts w:hint="eastAsia" w:ascii="仿宋_GB2312" w:hAnsi="仿宋_GB2312" w:eastAsia="仿宋_GB2312" w:cs="仿宋_GB2312"/>
          <w:kern w:val="2"/>
          <w:sz w:val="32"/>
          <w:szCs w:val="32"/>
          <w:highlight w:val="none"/>
          <w:lang w:val="en-US" w:eastAsia="zh-CN" w:bidi="ar-SA"/>
        </w:rPr>
        <w:t>到号时，将对申请人拟选经营场所进行前置核查，</w:t>
      </w:r>
      <w:r>
        <w:rPr>
          <w:rFonts w:hint="default" w:ascii="仿宋_GB2312" w:hAnsi="仿宋_GB2312" w:eastAsia="仿宋_GB2312" w:cs="仿宋_GB2312"/>
          <w:kern w:val="2"/>
          <w:sz w:val="32"/>
          <w:szCs w:val="32"/>
          <w:highlight w:val="none"/>
          <w:lang w:val="en-US" w:eastAsia="zh-CN" w:bidi="ar-SA"/>
        </w:rPr>
        <w:t>协助申请人自主判断其经营场所是否符合规划数量限额之外的发证条件</w:t>
      </w:r>
      <w:r>
        <w:rPr>
          <w:rFonts w:hint="eastAsia" w:ascii="仿宋_GB2312" w:hAnsi="仿宋_GB2312" w:eastAsia="仿宋_GB2312" w:cs="仿宋_GB2312"/>
          <w:kern w:val="2"/>
          <w:sz w:val="32"/>
          <w:szCs w:val="32"/>
          <w:highlight w:val="none"/>
          <w:lang w:val="en-US" w:eastAsia="zh-CN" w:bidi="ar-SA"/>
        </w:rPr>
        <w:t>，进一步提高办证服务效率</w:t>
      </w:r>
      <w:r>
        <w:rPr>
          <w:rFonts w:hint="default"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kern w:val="2"/>
          <w:sz w:val="32"/>
          <w:szCs w:val="32"/>
          <w:highlight w:val="none"/>
          <w:lang w:val="en-US" w:eastAsia="zh-CN" w:bidi="ar-SA"/>
        </w:rPr>
        <w:t>针对前置核查中不符合相关法律法规及本规定相关条件的，其排队轮候顺序号自动作废。</w:t>
      </w:r>
    </w:p>
    <w:p w14:paraId="43285BA5">
      <w:pPr>
        <w:numPr>
          <w:ilvl w:val="2"/>
          <w:numId w:val="0"/>
        </w:numPr>
        <w:spacing w:line="360" w:lineRule="auto"/>
        <w:ind w:left="0" w:leftChars="0" w:firstLine="640" w:firstLineChars="200"/>
        <w:rPr>
          <w:rFonts w:hint="eastAsia" w:ascii="仿宋_GB2312" w:hAnsi="仿宋_GB2312" w:eastAsia="仿宋_GB2312" w:cs="仿宋_GB2312"/>
          <w:kern w:val="28"/>
          <w:sz w:val="32"/>
          <w:szCs w:val="32"/>
          <w:lang w:val="en-US" w:eastAsia="zh-CN"/>
        </w:rPr>
      </w:pPr>
      <w:r>
        <w:rPr>
          <w:rFonts w:hint="eastAsia" w:ascii="仿宋_GB2312" w:hAnsi="仿宋_GB2312" w:eastAsia="黑体" w:cs="仿宋_GB2312"/>
          <w:color w:val="auto"/>
          <w:kern w:val="28"/>
          <w:sz w:val="32"/>
          <w:szCs w:val="32"/>
          <w:lang w:val="en-US" w:eastAsia="zh-CN" w:bidi="ar-SA"/>
        </w:rPr>
        <w:t>第十一条　</w:t>
      </w:r>
      <w:r>
        <w:rPr>
          <w:rFonts w:hint="eastAsia" w:ascii="仿宋_GB2312" w:hAnsi="仿宋_GB2312" w:eastAsia="仿宋_GB2312" w:cs="仿宋_GB2312"/>
          <w:kern w:val="28"/>
          <w:sz w:val="32"/>
          <w:szCs w:val="32"/>
        </w:rPr>
        <w:t>排队轮候实行有效期管理，每一次申请排队轮候的有效期限为180天，自顺序号生成之日起生效。</w:t>
      </w:r>
      <w:r>
        <w:rPr>
          <w:rFonts w:hint="eastAsia" w:ascii="仿宋_GB2312" w:hAnsi="仿宋_GB2312" w:eastAsia="仿宋_GB2312" w:cs="仿宋_GB2312"/>
          <w:kern w:val="28"/>
          <w:sz w:val="32"/>
          <w:szCs w:val="32"/>
          <w:lang w:val="en-US" w:eastAsia="zh-CN"/>
        </w:rPr>
        <w:t>顺序号过期后自动失效，该顺序号的后序顺序号自动递补。</w:t>
      </w:r>
    </w:p>
    <w:p w14:paraId="3CB90111">
      <w:pPr>
        <w:numPr>
          <w:ilvl w:val="2"/>
          <w:numId w:val="0"/>
        </w:numPr>
        <w:spacing w:line="36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第十二条　</w:t>
      </w:r>
      <w:r>
        <w:rPr>
          <w:rFonts w:hint="eastAsia" w:ascii="仿宋_GB2312" w:hAnsi="仿宋_GB2312" w:eastAsia="仿宋_GB2312" w:cs="仿宋_GB2312"/>
          <w:sz w:val="32"/>
          <w:szCs w:val="32"/>
        </w:rPr>
        <w:t>发证机关应公开排队轮候情况，并接受公众监督。申请人可通过线上、线下等方式查询排队轮候的排号情况。</w:t>
      </w:r>
    </w:p>
    <w:p w14:paraId="3A392FCF">
      <w:pPr>
        <w:numPr>
          <w:ilvl w:val="2"/>
          <w:numId w:val="0"/>
        </w:numPr>
        <w:spacing w:line="36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第十三条　</w:t>
      </w:r>
      <w:r>
        <w:rPr>
          <w:rFonts w:hint="eastAsia" w:ascii="仿宋_GB2312" w:hAnsi="仿宋_GB2312" w:eastAsia="仿宋_GB2312" w:cs="仿宋_GB2312"/>
          <w:color w:val="auto"/>
          <w:sz w:val="32"/>
          <w:szCs w:val="32"/>
          <w:highlight w:val="none"/>
        </w:rPr>
        <w:t>当</w:t>
      </w:r>
      <w:r>
        <w:rPr>
          <w:rFonts w:hint="eastAsia" w:ascii="仿宋_GB2312" w:hAnsi="仿宋_GB2312" w:eastAsia="仿宋_GB2312" w:cs="仿宋_GB2312"/>
          <w:color w:val="auto"/>
          <w:sz w:val="32"/>
          <w:szCs w:val="32"/>
          <w:highlight w:val="none"/>
          <w:lang w:val="en-US" w:eastAsia="zh-CN"/>
        </w:rPr>
        <w:t>发证机关按规定执行动态调整公示后，当期最小</w:t>
      </w:r>
      <w:r>
        <w:rPr>
          <w:rFonts w:hint="eastAsia" w:ascii="仿宋_GB2312" w:hAnsi="仿宋_GB2312" w:eastAsia="仿宋_GB2312" w:cs="仿宋_GB2312"/>
          <w:color w:val="auto"/>
          <w:sz w:val="32"/>
          <w:szCs w:val="32"/>
          <w:highlight w:val="none"/>
        </w:rPr>
        <w:t>单元网格内可新增零售点时，</w:t>
      </w:r>
      <w:r>
        <w:rPr>
          <w:rFonts w:hint="eastAsia" w:ascii="仿宋_GB2312" w:hAnsi="仿宋_GB2312" w:eastAsia="仿宋_GB2312" w:cs="仿宋_GB2312"/>
          <w:sz w:val="32"/>
          <w:szCs w:val="32"/>
        </w:rPr>
        <w:t>由发证机关按照顺序号和申请表约定的联系方式，在5个工作日内，依次通知申请人提交烟草专卖零售许可证新办申请。</w:t>
      </w:r>
    </w:p>
    <w:p w14:paraId="54399ED5">
      <w:pPr>
        <w:numPr>
          <w:ilvl w:val="2"/>
          <w:numId w:val="0"/>
        </w:numPr>
        <w:spacing w:line="360" w:lineRule="auto"/>
        <w:ind w:left="0" w:leftChars="0"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黑体" w:cs="仿宋_GB2312"/>
          <w:color w:val="auto"/>
          <w:kern w:val="2"/>
          <w:sz w:val="32"/>
          <w:szCs w:val="32"/>
          <w:lang w:val="en-US" w:eastAsia="zh-CN" w:bidi="ar-SA"/>
        </w:rPr>
        <w:t>第十四条　</w:t>
      </w:r>
      <w:r>
        <w:rPr>
          <w:rFonts w:hint="eastAsia" w:ascii="仿宋_GB2312" w:hAnsi="仿宋_GB2312" w:eastAsia="仿宋_GB2312" w:cs="仿宋_GB2312"/>
          <w:sz w:val="32"/>
          <w:szCs w:val="32"/>
        </w:rPr>
        <w:t>到号办理时，申请人提交的办证申请信息应与排队轮候登记信息一致。信息不一致的</w:t>
      </w:r>
      <w:r>
        <w:rPr>
          <w:rFonts w:hint="eastAsia" w:ascii="仿宋_GB2312" w:hAnsi="仿宋_GB2312" w:eastAsia="仿宋_GB2312" w:cs="仿宋_GB2312"/>
          <w:sz w:val="32"/>
          <w:szCs w:val="32"/>
          <w:lang w:val="en-US" w:eastAsia="zh-CN"/>
        </w:rPr>
        <w:t>按作废处理，</w:t>
      </w:r>
      <w:r>
        <w:rPr>
          <w:rFonts w:hint="eastAsia" w:ascii="仿宋_GB2312" w:hAnsi="仿宋_GB2312" w:eastAsia="仿宋_GB2312" w:cs="仿宋_GB2312"/>
          <w:sz w:val="32"/>
          <w:szCs w:val="32"/>
        </w:rPr>
        <w:t>申请人需重新登记排队轮候。</w:t>
      </w:r>
      <w:r>
        <w:rPr>
          <w:rFonts w:hint="eastAsia" w:ascii="仿宋_GB2312" w:hAnsi="仿宋_GB2312" w:eastAsia="仿宋_GB2312" w:cs="仿宋_GB2312"/>
          <w:color w:val="auto"/>
          <w:sz w:val="32"/>
          <w:szCs w:val="32"/>
          <w:highlight w:val="none"/>
        </w:rPr>
        <w:t>如同一申请人对同一</w:t>
      </w:r>
      <w:r>
        <w:rPr>
          <w:rFonts w:hint="eastAsia" w:ascii="仿宋_GB2312" w:hAnsi="仿宋_GB2312" w:eastAsia="仿宋_GB2312" w:cs="仿宋_GB2312"/>
          <w:color w:val="auto"/>
          <w:sz w:val="32"/>
          <w:szCs w:val="32"/>
          <w:highlight w:val="none"/>
          <w:lang w:val="en-US" w:eastAsia="zh-CN"/>
        </w:rPr>
        <w:t>经营地址</w:t>
      </w:r>
      <w:r>
        <w:rPr>
          <w:rFonts w:hint="eastAsia" w:ascii="仿宋_GB2312" w:hAnsi="仿宋_GB2312" w:eastAsia="仿宋_GB2312" w:cs="仿宋_GB2312"/>
          <w:color w:val="auto"/>
          <w:sz w:val="32"/>
          <w:szCs w:val="32"/>
          <w:highlight w:val="none"/>
        </w:rPr>
        <w:t>申请点重复提出申请的，以首次有效申请为准，发证机关将对其他申请予以退回。</w:t>
      </w:r>
    </w:p>
    <w:p w14:paraId="7BF8BABF">
      <w:pPr>
        <w:numPr>
          <w:ilvl w:val="2"/>
          <w:numId w:val="0"/>
        </w:numPr>
        <w:spacing w:line="360" w:lineRule="auto"/>
        <w:ind w:left="0" w:leftChars="0" w:firstLine="640" w:firstLineChars="200"/>
        <w:rPr>
          <w:rFonts w:hint="eastAsia"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第十五条　</w:t>
      </w:r>
      <w:r>
        <w:rPr>
          <w:rFonts w:ascii="仿宋_GB2312" w:hAnsi="仿宋_GB2312" w:eastAsia="仿宋_GB2312" w:cs="仿宋_GB2312"/>
          <w:sz w:val="32"/>
          <w:szCs w:val="32"/>
        </w:rPr>
        <w:t>有下列情形之一的，</w:t>
      </w:r>
      <w:r>
        <w:rPr>
          <w:rFonts w:hint="eastAsia" w:ascii="仿宋_GB2312" w:hAnsi="仿宋_GB2312" w:eastAsia="仿宋_GB2312" w:cs="仿宋_GB2312"/>
          <w:sz w:val="32"/>
          <w:szCs w:val="32"/>
        </w:rPr>
        <w:t>排队</w:t>
      </w:r>
      <w:r>
        <w:rPr>
          <w:rFonts w:ascii="仿宋_GB2312" w:hAnsi="仿宋_GB2312" w:eastAsia="仿宋_GB2312" w:cs="仿宋_GB2312"/>
          <w:sz w:val="32"/>
          <w:szCs w:val="32"/>
        </w:rPr>
        <w:t>轮候资格作废，发证机关以</w:t>
      </w:r>
      <w:r>
        <w:rPr>
          <w:rFonts w:hint="eastAsia" w:ascii="仿宋_GB2312" w:hAnsi="仿宋_GB2312" w:eastAsia="仿宋_GB2312" w:cs="仿宋_GB2312"/>
          <w:sz w:val="32"/>
          <w:szCs w:val="32"/>
        </w:rPr>
        <w:t>电话</w:t>
      </w:r>
      <w:r>
        <w:rPr>
          <w:rFonts w:ascii="仿宋_GB2312" w:hAnsi="仿宋_GB2312" w:eastAsia="仿宋_GB2312" w:cs="仿宋_GB2312"/>
          <w:sz w:val="32"/>
          <w:szCs w:val="32"/>
        </w:rPr>
        <w:t>告知，并按照轮候次序通知下一个轮候申请人提交许可证新办申请：</w:t>
      </w:r>
    </w:p>
    <w:p w14:paraId="41DA2545">
      <w:pPr>
        <w:pStyle w:val="2"/>
        <w:widowControl/>
        <w:spacing w:before="0" w:beforeAutospacing="0" w:after="0" w:afterAutospacing="0" w:line="580" w:lineRule="exact"/>
        <w:ind w:firstLine="645"/>
        <w:jc w:val="both"/>
        <w:textAlignment w:val="center"/>
        <w:rPr>
          <w:rFonts w:ascii="仿宋_GB2312" w:hAnsi="仿宋_GB2312" w:eastAsia="仿宋_GB2312" w:cs="仿宋_GB2312"/>
          <w:kern w:val="2"/>
          <w:sz w:val="32"/>
          <w:szCs w:val="32"/>
        </w:rPr>
      </w:pPr>
      <w:r>
        <w:rPr>
          <w:rFonts w:ascii="仿宋_GB2312" w:hAnsi="仿宋_GB2312" w:eastAsia="仿宋_GB2312" w:cs="仿宋_GB2312"/>
          <w:kern w:val="2"/>
          <w:sz w:val="32"/>
          <w:szCs w:val="32"/>
        </w:rPr>
        <w:t>（一）轮候申请人在接到通知后</w:t>
      </w:r>
      <w:r>
        <w:rPr>
          <w:rFonts w:hint="eastAsia" w:ascii="仿宋_GB2312" w:hAnsi="仿宋_GB2312" w:eastAsia="仿宋_GB2312" w:cs="仿宋_GB2312"/>
          <w:kern w:val="2"/>
          <w:sz w:val="32"/>
          <w:szCs w:val="32"/>
        </w:rPr>
        <w:t>5</w:t>
      </w:r>
      <w:r>
        <w:rPr>
          <w:rFonts w:hint="eastAsia" w:ascii="仿宋_GB2312" w:hAnsi="仿宋_GB2312" w:eastAsia="仿宋_GB2312" w:cs="仿宋_GB2312"/>
          <w:sz w:val="32"/>
          <w:szCs w:val="32"/>
        </w:rPr>
        <w:t>个工作日</w:t>
      </w:r>
      <w:r>
        <w:rPr>
          <w:rFonts w:ascii="仿宋_GB2312" w:hAnsi="仿宋_GB2312" w:eastAsia="仿宋_GB2312" w:cs="仿宋_GB2312"/>
          <w:kern w:val="2"/>
          <w:sz w:val="32"/>
          <w:szCs w:val="32"/>
        </w:rPr>
        <w:t>内未提出许可证新办申请的；</w:t>
      </w:r>
    </w:p>
    <w:p w14:paraId="45690E38">
      <w:pPr>
        <w:pStyle w:val="2"/>
        <w:widowControl/>
        <w:spacing w:before="0" w:beforeAutospacing="0" w:after="0" w:afterAutospacing="0" w:line="580" w:lineRule="exact"/>
        <w:ind w:firstLine="645"/>
        <w:jc w:val="both"/>
        <w:textAlignment w:val="center"/>
        <w:rPr>
          <w:rFonts w:ascii="仿宋_GB2312" w:hAnsi="仿宋_GB2312" w:eastAsia="仿宋_GB2312" w:cs="仿宋_GB2312"/>
          <w:kern w:val="2"/>
          <w:sz w:val="32"/>
          <w:szCs w:val="32"/>
        </w:rPr>
      </w:pPr>
      <w:r>
        <w:rPr>
          <w:rFonts w:ascii="仿宋_GB2312" w:hAnsi="仿宋_GB2312" w:eastAsia="仿宋_GB2312" w:cs="仿宋_GB2312"/>
          <w:kern w:val="2"/>
          <w:sz w:val="32"/>
          <w:szCs w:val="32"/>
        </w:rPr>
        <w:t>（二）按照轮候申请人提供的联系方式无法联系到申请人且申请人在</w:t>
      </w:r>
      <w:r>
        <w:rPr>
          <w:rFonts w:hint="eastAsia" w:ascii="仿宋_GB2312" w:hAnsi="仿宋_GB2312" w:eastAsia="仿宋_GB2312" w:cs="仿宋_GB2312"/>
          <w:kern w:val="2"/>
          <w:sz w:val="32"/>
          <w:szCs w:val="32"/>
        </w:rPr>
        <w:t>5</w:t>
      </w:r>
      <w:r>
        <w:rPr>
          <w:rFonts w:hint="eastAsia" w:ascii="仿宋_GB2312" w:hAnsi="仿宋_GB2312" w:eastAsia="仿宋_GB2312" w:cs="仿宋_GB2312"/>
          <w:sz w:val="32"/>
          <w:szCs w:val="32"/>
        </w:rPr>
        <w:t>个工作日</w:t>
      </w:r>
      <w:r>
        <w:rPr>
          <w:rFonts w:ascii="仿宋_GB2312" w:hAnsi="仿宋_GB2312" w:eastAsia="仿宋_GB2312" w:cs="仿宋_GB2312"/>
          <w:kern w:val="2"/>
          <w:sz w:val="32"/>
          <w:szCs w:val="32"/>
        </w:rPr>
        <w:t>内未提出许可证新办申请的；</w:t>
      </w:r>
    </w:p>
    <w:p w14:paraId="1D9E97B7">
      <w:pPr>
        <w:pStyle w:val="2"/>
        <w:widowControl/>
        <w:spacing w:before="0" w:beforeAutospacing="0" w:after="0" w:afterAutospacing="0" w:line="580" w:lineRule="exact"/>
        <w:ind w:firstLine="645"/>
        <w:jc w:val="both"/>
        <w:textAlignment w:val="center"/>
        <w:rPr>
          <w:rFonts w:ascii="仿宋_GB2312" w:hAnsi="仿宋_GB2312" w:eastAsia="仿宋_GB2312" w:cs="仿宋_GB2312"/>
          <w:kern w:val="2"/>
          <w:sz w:val="32"/>
          <w:szCs w:val="32"/>
        </w:rPr>
      </w:pPr>
      <w:r>
        <w:rPr>
          <w:rFonts w:ascii="仿宋_GB2312" w:hAnsi="仿宋_GB2312" w:eastAsia="仿宋_GB2312" w:cs="仿宋_GB2312"/>
          <w:kern w:val="2"/>
          <w:sz w:val="32"/>
          <w:szCs w:val="32"/>
        </w:rPr>
        <w:t>（三）经发证机关核查后发现不符合办证条件的；</w:t>
      </w:r>
    </w:p>
    <w:p w14:paraId="176F3E1B">
      <w:pPr>
        <w:pStyle w:val="2"/>
        <w:widowControl/>
        <w:spacing w:before="0" w:beforeAutospacing="0" w:after="0" w:afterAutospacing="0" w:line="580" w:lineRule="exact"/>
        <w:ind w:firstLine="645"/>
        <w:jc w:val="both"/>
        <w:textAlignment w:val="center"/>
        <w:rPr>
          <w:rFonts w:ascii="仿宋_GB2312" w:hAnsi="仿宋_GB2312" w:eastAsia="仿宋_GB2312" w:cs="仿宋_GB2312"/>
          <w:kern w:val="2"/>
          <w:sz w:val="32"/>
          <w:szCs w:val="32"/>
        </w:rPr>
      </w:pPr>
      <w:r>
        <w:rPr>
          <w:rFonts w:ascii="仿宋_GB2312" w:hAnsi="仿宋_GB2312" w:eastAsia="仿宋_GB2312" w:cs="仿宋_GB2312"/>
          <w:kern w:val="2"/>
          <w:sz w:val="32"/>
          <w:szCs w:val="32"/>
        </w:rPr>
        <w:t>（四）许可证新办申请的</w:t>
      </w:r>
      <w:r>
        <w:rPr>
          <w:rFonts w:hint="eastAsia" w:ascii="仿宋_GB2312" w:hAnsi="仿宋_GB2312" w:eastAsia="仿宋_GB2312" w:cs="仿宋_GB2312"/>
          <w:kern w:val="2"/>
          <w:sz w:val="32"/>
          <w:szCs w:val="32"/>
        </w:rPr>
        <w:t>经营</w:t>
      </w:r>
      <w:r>
        <w:rPr>
          <w:rFonts w:ascii="仿宋_GB2312" w:hAnsi="仿宋_GB2312" w:eastAsia="仿宋_GB2312" w:cs="仿宋_GB2312"/>
          <w:kern w:val="2"/>
          <w:sz w:val="32"/>
          <w:szCs w:val="32"/>
        </w:rPr>
        <w:t>主体、经营地址</w:t>
      </w:r>
      <w:r>
        <w:rPr>
          <w:rFonts w:hint="eastAsia" w:ascii="仿宋_GB2312" w:hAnsi="仿宋_GB2312" w:eastAsia="仿宋_GB2312" w:cs="仿宋_GB2312"/>
          <w:kern w:val="2"/>
          <w:sz w:val="32"/>
          <w:szCs w:val="32"/>
        </w:rPr>
        <w:t>等</w:t>
      </w:r>
      <w:r>
        <w:rPr>
          <w:rFonts w:ascii="仿宋_GB2312" w:hAnsi="仿宋_GB2312" w:eastAsia="仿宋_GB2312" w:cs="仿宋_GB2312"/>
          <w:kern w:val="2"/>
          <w:sz w:val="32"/>
          <w:szCs w:val="32"/>
        </w:rPr>
        <w:t>与申请编号登记信息不一致的；</w:t>
      </w:r>
    </w:p>
    <w:p w14:paraId="2727013E">
      <w:pPr>
        <w:pStyle w:val="2"/>
        <w:widowControl/>
        <w:spacing w:before="0" w:beforeAutospacing="0" w:after="0" w:afterAutospacing="0" w:line="580" w:lineRule="exact"/>
        <w:ind w:firstLine="645"/>
        <w:jc w:val="both"/>
        <w:textAlignment w:val="center"/>
        <w:rPr>
          <w:rFonts w:ascii="仿宋_GB2312" w:hAnsi="仿宋_GB2312" w:eastAsia="仿宋_GB2312" w:cs="仿宋_GB2312"/>
          <w:kern w:val="2"/>
          <w:sz w:val="32"/>
          <w:szCs w:val="32"/>
        </w:rPr>
      </w:pPr>
      <w:r>
        <w:rPr>
          <w:rFonts w:ascii="仿宋_GB2312" w:hAnsi="仿宋_GB2312" w:eastAsia="仿宋_GB2312" w:cs="仿宋_GB2312"/>
          <w:kern w:val="2"/>
          <w:sz w:val="32"/>
          <w:szCs w:val="32"/>
        </w:rPr>
        <w:t>（五）轮候申请人在排队轮候期间擅自从事烟草专卖品生产经营活动被行政处罚2次以上（含2次）或被追究刑事责任的；</w:t>
      </w:r>
    </w:p>
    <w:p w14:paraId="7F3B82F0">
      <w:pPr>
        <w:pStyle w:val="2"/>
        <w:widowControl/>
        <w:spacing w:before="0" w:beforeAutospacing="0" w:after="0" w:afterAutospacing="0" w:line="580" w:lineRule="exact"/>
        <w:ind w:firstLine="645"/>
        <w:jc w:val="both"/>
        <w:textAlignment w:val="center"/>
        <w:rPr>
          <w:rFonts w:ascii="仿宋_GB2312" w:hAnsi="仿宋_GB2312" w:eastAsia="仿宋_GB2312" w:cs="仿宋_GB2312"/>
          <w:sz w:val="32"/>
          <w:szCs w:val="32"/>
        </w:rPr>
      </w:pPr>
      <w:r>
        <w:rPr>
          <w:rFonts w:ascii="仿宋_GB2312" w:hAnsi="仿宋_GB2312" w:eastAsia="仿宋_GB2312" w:cs="仿宋_GB2312"/>
          <w:kern w:val="2"/>
          <w:sz w:val="32"/>
          <w:szCs w:val="32"/>
        </w:rPr>
        <w:t>（六）因轮候申请人原因导致轮候资格作废的其他情形。</w:t>
      </w:r>
    </w:p>
    <w:p w14:paraId="705857E5">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监督检查</w:t>
      </w:r>
    </w:p>
    <w:p w14:paraId="1107B5F7">
      <w:pPr>
        <w:numPr>
          <w:ilvl w:val="2"/>
          <w:numId w:val="0"/>
        </w:numPr>
        <w:spacing w:line="360" w:lineRule="auto"/>
        <w:ind w:left="0" w:leftChars="0" w:firstLine="680" w:firstLineChars="0"/>
        <w:rPr>
          <w:rFonts w:ascii="楷体" w:hAnsi="楷体" w:eastAsia="楷体" w:cs="楷体"/>
          <w:sz w:val="32"/>
          <w:szCs w:val="32"/>
        </w:rPr>
      </w:pPr>
      <w:r>
        <w:rPr>
          <w:rFonts w:hint="eastAsia" w:ascii="楷体" w:hAnsi="楷体" w:eastAsia="黑体" w:cs="楷体"/>
          <w:color w:val="auto"/>
          <w:kern w:val="2"/>
          <w:sz w:val="32"/>
          <w:szCs w:val="32"/>
          <w:lang w:val="en-US" w:eastAsia="zh-CN" w:bidi="ar-SA"/>
        </w:rPr>
        <w:t>第十六条　</w:t>
      </w:r>
      <w:r>
        <w:rPr>
          <w:rFonts w:hint="eastAsia" w:ascii="仿宋_GB2312" w:hAnsi="仿宋_GB2312" w:eastAsia="仿宋_GB2312" w:cs="仿宋_GB2312"/>
          <w:sz w:val="32"/>
          <w:szCs w:val="32"/>
        </w:rPr>
        <w:t>上级烟草专卖局应当加强对下级烟草专卖局排队轮候管理工作的监督检查，完善排队轮候管理工作督查机制，防范违法违规行为的发生。</w:t>
      </w:r>
    </w:p>
    <w:p w14:paraId="11312E71">
      <w:pPr>
        <w:numPr>
          <w:ilvl w:val="2"/>
          <w:numId w:val="0"/>
        </w:numPr>
        <w:spacing w:line="360" w:lineRule="auto"/>
        <w:ind w:left="0" w:leftChars="0" w:firstLine="680" w:firstLineChars="0"/>
        <w:rPr>
          <w:rFonts w:ascii="黑体" w:hAnsi="黑体" w:eastAsia="黑体" w:cs="黑体"/>
          <w:sz w:val="32"/>
          <w:szCs w:val="32"/>
        </w:rPr>
      </w:pPr>
      <w:r>
        <w:rPr>
          <w:rFonts w:hint="eastAsia" w:ascii="黑体" w:hAnsi="黑体" w:eastAsia="黑体" w:cs="黑体"/>
          <w:color w:val="auto"/>
          <w:kern w:val="2"/>
          <w:sz w:val="32"/>
          <w:szCs w:val="32"/>
          <w:lang w:val="en-US" w:eastAsia="zh-CN" w:bidi="ar-SA"/>
        </w:rPr>
        <w:t>第十七条　</w:t>
      </w:r>
      <w:r>
        <w:rPr>
          <w:rFonts w:hint="eastAsia" w:ascii="仿宋_GB2312" w:hAnsi="仿宋_GB2312" w:eastAsia="仿宋_GB2312" w:cs="仿宋_GB2312"/>
          <w:sz w:val="32"/>
          <w:szCs w:val="32"/>
        </w:rPr>
        <w:t>发证机关接收和办理排队轮候业务，不得收取任何费用。</w:t>
      </w:r>
    </w:p>
    <w:p w14:paraId="6D64295A">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附则</w:t>
      </w:r>
    </w:p>
    <w:p w14:paraId="6870BB1C">
      <w:pPr>
        <w:numPr>
          <w:ilvl w:val="2"/>
          <w:numId w:val="0"/>
        </w:numPr>
        <w:spacing w:line="360" w:lineRule="auto"/>
        <w:ind w:left="0" w:leftChars="0" w:firstLine="680" w:firstLineChars="0"/>
        <w:rPr>
          <w:rFonts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第十八条　</w:t>
      </w: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129148A8">
      <w:pPr>
        <w:numPr>
          <w:ilvl w:val="2"/>
          <w:numId w:val="0"/>
        </w:numPr>
        <w:spacing w:line="360" w:lineRule="auto"/>
        <w:ind w:left="0" w:leftChars="0" w:firstLine="680" w:firstLineChars="0"/>
        <w:rPr>
          <w:rFonts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第十九条　</w:t>
      </w:r>
      <w:r>
        <w:rPr>
          <w:rFonts w:hint="eastAsia" w:ascii="仿宋_GB2312" w:hAnsi="仿宋_GB2312" w:eastAsia="仿宋_GB2312" w:cs="仿宋_GB2312"/>
          <w:sz w:val="32"/>
          <w:szCs w:val="32"/>
        </w:rPr>
        <w:t>本制度由昆明市</w:t>
      </w:r>
      <w:r>
        <w:rPr>
          <w:rFonts w:hint="eastAsia" w:ascii="仿宋_GB2312" w:hAnsi="仿宋_GB2312" w:eastAsia="仿宋_GB2312" w:cs="仿宋_GB2312"/>
          <w:sz w:val="32"/>
          <w:szCs w:val="32"/>
          <w:lang w:val="en-US" w:eastAsia="zh-CN"/>
        </w:rPr>
        <w:t>官渡区</w:t>
      </w:r>
      <w:r>
        <w:rPr>
          <w:rFonts w:hint="eastAsia" w:ascii="仿宋_GB2312" w:hAnsi="仿宋_GB2312" w:eastAsia="仿宋_GB2312" w:cs="仿宋_GB2312"/>
          <w:sz w:val="32"/>
          <w:szCs w:val="32"/>
        </w:rPr>
        <w:t>烟草专卖局负责解释。</w:t>
      </w:r>
    </w:p>
    <w:p w14:paraId="7339AAD9">
      <w:pPr>
        <w:numPr>
          <w:ilvl w:val="2"/>
          <w:numId w:val="0"/>
        </w:numPr>
        <w:spacing w:line="360" w:lineRule="auto"/>
        <w:ind w:left="0" w:leftChars="0" w:firstLine="680" w:firstLineChars="0"/>
        <w:rPr>
          <w:rFonts w:hint="eastAsia" w:ascii="仿宋_GB2312" w:hAnsi="仿宋_GB2312" w:eastAsia="仿宋_GB2312" w:cs="仿宋_GB2312"/>
          <w:sz w:val="32"/>
          <w:szCs w:val="32"/>
        </w:rPr>
      </w:pPr>
      <w:r>
        <w:rPr>
          <w:rFonts w:hint="eastAsia" w:ascii="仿宋_GB2312" w:hAnsi="仿宋_GB2312" w:eastAsia="黑体" w:cs="仿宋_GB2312"/>
          <w:color w:val="auto"/>
          <w:kern w:val="2"/>
          <w:sz w:val="32"/>
          <w:szCs w:val="32"/>
          <w:lang w:val="en-US" w:eastAsia="zh-CN" w:bidi="ar-SA"/>
        </w:rPr>
        <w:t>第二十条　</w:t>
      </w:r>
      <w:r>
        <w:rPr>
          <w:rFonts w:hint="eastAsia" w:ascii="仿宋_GB2312" w:hAnsi="仿宋_GB2312" w:eastAsia="仿宋_GB2312" w:cs="仿宋_GB2312"/>
          <w:sz w:val="32"/>
          <w:szCs w:val="32"/>
        </w:rPr>
        <w:t>本制度自《</w:t>
      </w:r>
      <w:r>
        <w:rPr>
          <w:rFonts w:hint="eastAsia" w:ascii="仿宋_GB2312" w:hAnsi="仿宋_GB2312" w:eastAsia="仿宋_GB2312" w:cs="仿宋_GB2312"/>
          <w:sz w:val="32"/>
          <w:szCs w:val="32"/>
          <w:lang w:eastAsia="zh-CN"/>
        </w:rPr>
        <w:t>云南省昆明市官渡区烟草制品零售点</w:t>
      </w:r>
      <w:r>
        <w:rPr>
          <w:rFonts w:hint="eastAsia" w:ascii="仿宋_GB2312" w:hAnsi="仿宋_GB2312" w:eastAsia="仿宋_GB2312" w:cs="仿宋_GB2312"/>
          <w:sz w:val="32"/>
          <w:szCs w:val="32"/>
        </w:rPr>
        <w:t>合理布局规划》实施之日起同时施行。</w:t>
      </w:r>
    </w:p>
    <w:p w14:paraId="70CCA009">
      <w:pPr>
        <w:spacing w:line="360" w:lineRule="auto"/>
        <w:ind w:firstLine="640" w:firstLineChars="200"/>
        <w:rPr>
          <w:rFonts w:hint="eastAsia" w:ascii="仿宋_GB2312" w:hAnsi="仿宋_GB2312" w:eastAsia="仿宋_GB2312" w:cs="仿宋_GB2312"/>
          <w:sz w:val="32"/>
          <w:szCs w:val="32"/>
        </w:rPr>
      </w:pPr>
    </w:p>
    <w:p w14:paraId="1890723B">
      <w:pPr>
        <w:spacing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附表</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官渡区</w:t>
      </w:r>
      <w:r>
        <w:rPr>
          <w:rFonts w:hint="eastAsia" w:ascii="仿宋_GB2312" w:hAnsi="仿宋_GB2312" w:eastAsia="仿宋_GB2312" w:cs="仿宋_GB2312"/>
          <w:sz w:val="32"/>
          <w:szCs w:val="32"/>
        </w:rPr>
        <w:t>烟草专卖局烟草制品零售点XX单元网格排队轮候申请表</w:t>
      </w:r>
      <w:r>
        <w:rPr>
          <w:rFonts w:hint="eastAsia" w:ascii="仿宋_GB2312" w:hAnsi="仿宋_GB2312" w:eastAsia="仿宋_GB2312" w:cs="仿宋_GB2312"/>
          <w:sz w:val="32"/>
          <w:szCs w:val="32"/>
          <w:lang w:eastAsia="zh-CN"/>
        </w:rPr>
        <w:t>》</w:t>
      </w:r>
    </w:p>
    <w:p w14:paraId="7E429EB1">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云南省昆明市官渡区烟草制品零售点</w:t>
      </w:r>
      <w:r>
        <w:rPr>
          <w:rFonts w:hint="eastAsia" w:ascii="仿宋_GB2312" w:hAnsi="仿宋_GB2312" w:eastAsia="仿宋_GB2312" w:cs="仿宋_GB2312"/>
          <w:sz w:val="32"/>
          <w:szCs w:val="32"/>
        </w:rPr>
        <w:t>集中</w:t>
      </w:r>
      <w:r>
        <w:rPr>
          <w:rFonts w:hint="eastAsia" w:ascii="仿宋_GB2312" w:hAnsi="仿宋_GB2312" w:eastAsia="仿宋_GB2312" w:cs="仿宋_GB2312"/>
          <w:sz w:val="32"/>
          <w:szCs w:val="32"/>
          <w:lang w:val="en-US" w:eastAsia="zh-CN"/>
        </w:rPr>
        <w:t>抽签</w:t>
      </w:r>
      <w:r>
        <w:rPr>
          <w:rFonts w:hint="eastAsia" w:ascii="仿宋_GB2312" w:hAnsi="仿宋_GB2312" w:eastAsia="仿宋_GB2312" w:cs="仿宋_GB2312"/>
          <w:sz w:val="32"/>
          <w:szCs w:val="32"/>
        </w:rPr>
        <w:t>申请表》</w:t>
      </w:r>
    </w:p>
    <w:p w14:paraId="3B6735E0">
      <w:pPr>
        <w:spacing w:line="360" w:lineRule="auto"/>
        <w:ind w:firstLine="640" w:firstLineChars="200"/>
        <w:rPr>
          <w:rFonts w:hint="eastAsia" w:ascii="仿宋_GB2312" w:hAnsi="仿宋_GB2312" w:eastAsia="仿宋_GB2312" w:cs="仿宋_GB2312"/>
          <w:sz w:val="32"/>
          <w:szCs w:val="32"/>
          <w:lang w:val="en-US" w:eastAsia="zh-CN"/>
        </w:rPr>
        <w:sectPr>
          <w:pgSz w:w="11906" w:h="16838"/>
          <w:pgMar w:top="2098" w:right="1474" w:bottom="1984" w:left="1587" w:header="0" w:footer="795" w:gutter="0"/>
          <w:cols w:space="720" w:num="1"/>
        </w:sectPr>
      </w:pPr>
    </w:p>
    <w:p w14:paraId="24E28333">
      <w:pPr>
        <w:spacing w:line="360" w:lineRule="auto"/>
        <w:rPr>
          <w:rFonts w:hint="eastAsia" w:ascii="黑体" w:hAnsi="黑体" w:eastAsia="黑体" w:cs="黑体"/>
          <w:sz w:val="44"/>
          <w:szCs w:val="44"/>
          <w:lang w:val="en-US" w:eastAsia="zh-CN"/>
        </w:rPr>
      </w:pPr>
      <w:r>
        <w:rPr>
          <w:rFonts w:hint="eastAsia" w:ascii="黑体" w:hAnsi="黑体" w:eastAsia="黑体" w:cs="黑体"/>
          <w:sz w:val="32"/>
          <w:szCs w:val="32"/>
        </w:rPr>
        <w:t>附表</w:t>
      </w:r>
      <w:r>
        <w:rPr>
          <w:rFonts w:hint="eastAsia" w:ascii="黑体" w:hAnsi="黑体" w:eastAsia="黑体" w:cs="黑体"/>
          <w:sz w:val="32"/>
          <w:szCs w:val="32"/>
          <w:lang w:val="en-US" w:eastAsia="zh-CN"/>
        </w:rPr>
        <w:t>1</w:t>
      </w:r>
    </w:p>
    <w:p w14:paraId="35709FB9">
      <w:pPr>
        <w:spacing w:line="360" w:lineRule="auto"/>
        <w:ind w:left="402"/>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云南省</w:t>
      </w:r>
      <w:r>
        <w:rPr>
          <w:rFonts w:hint="eastAsia" w:ascii="方正小标宋简体" w:hAnsi="方正小标宋简体" w:eastAsia="方正小标宋简体" w:cs="方正小标宋简体"/>
          <w:sz w:val="44"/>
          <w:szCs w:val="44"/>
        </w:rPr>
        <w:t>昆明市</w:t>
      </w:r>
      <w:r>
        <w:rPr>
          <w:rFonts w:hint="eastAsia" w:ascii="方正小标宋简体" w:hAnsi="方正小标宋简体" w:eastAsia="方正小标宋简体" w:cs="方正小标宋简体"/>
          <w:sz w:val="44"/>
          <w:szCs w:val="44"/>
          <w:lang w:eastAsia="zh-CN"/>
        </w:rPr>
        <w:t>官渡区</w:t>
      </w:r>
      <w:r>
        <w:rPr>
          <w:rFonts w:hint="eastAsia" w:ascii="方正小标宋简体" w:hAnsi="方正小标宋简体" w:eastAsia="方正小标宋简体" w:cs="方正小标宋简体"/>
          <w:sz w:val="44"/>
          <w:szCs w:val="44"/>
        </w:rPr>
        <w:t>烟草专卖局烟草制品零售点XX单元网格排队轮候申请表</w:t>
      </w:r>
    </w:p>
    <w:tbl>
      <w:tblPr>
        <w:tblStyle w:val="3"/>
        <w:tblW w:w="0" w:type="auto"/>
        <w:tblInd w:w="96" w:type="dxa"/>
        <w:tblLayout w:type="fixed"/>
        <w:tblCellMar>
          <w:top w:w="0" w:type="dxa"/>
          <w:left w:w="108" w:type="dxa"/>
          <w:bottom w:w="0" w:type="dxa"/>
          <w:right w:w="108" w:type="dxa"/>
        </w:tblCellMar>
      </w:tblPr>
      <w:tblGrid>
        <w:gridCol w:w="2422"/>
        <w:gridCol w:w="2218"/>
        <w:gridCol w:w="1753"/>
        <w:gridCol w:w="2033"/>
      </w:tblGrid>
      <w:tr w14:paraId="369BD1F3">
        <w:tblPrEx>
          <w:tblCellMar>
            <w:top w:w="0" w:type="dxa"/>
            <w:left w:w="108" w:type="dxa"/>
            <w:bottom w:w="0" w:type="dxa"/>
            <w:right w:w="108" w:type="dxa"/>
          </w:tblCellMar>
        </w:tblPrEx>
        <w:trPr>
          <w:trHeight w:val="42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0B6107C1">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申请人基本信息</w:t>
            </w:r>
          </w:p>
        </w:tc>
      </w:tr>
      <w:tr w14:paraId="2DC14F23">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351540D9">
            <w:pPr>
              <w:widowControl/>
              <w:jc w:val="center"/>
              <w:textAlignment w:val="center"/>
              <w:rPr>
                <w:rFonts w:ascii="宋体" w:hAnsi="宋体" w:cs="宋体"/>
                <w:sz w:val="24"/>
                <w:szCs w:val="22"/>
              </w:rPr>
            </w:pPr>
            <w:r>
              <w:rPr>
                <w:rFonts w:hint="eastAsia" w:ascii="宋体" w:hAnsi="宋体" w:cs="宋体"/>
                <w:kern w:val="0"/>
                <w:sz w:val="24"/>
                <w:szCs w:val="22"/>
                <w:lang w:bidi="ar"/>
              </w:rPr>
              <w:t>申请人姓名</w:t>
            </w:r>
          </w:p>
        </w:tc>
        <w:tc>
          <w:tcPr>
            <w:tcW w:w="2218" w:type="dxa"/>
            <w:tcBorders>
              <w:top w:val="single" w:color="000000" w:sz="4" w:space="0"/>
              <w:left w:val="single" w:color="000000" w:sz="4" w:space="0"/>
              <w:bottom w:val="single" w:color="000000" w:sz="4" w:space="0"/>
              <w:right w:val="single" w:color="000000" w:sz="4" w:space="0"/>
            </w:tcBorders>
            <w:noWrap/>
            <w:vAlign w:val="center"/>
          </w:tcPr>
          <w:p w14:paraId="260C34B6">
            <w:pPr>
              <w:jc w:val="center"/>
              <w:rPr>
                <w:rFonts w:ascii="宋体" w:hAnsi="宋体" w:cs="宋体"/>
                <w:sz w:val="24"/>
                <w:szCs w:val="22"/>
              </w:rPr>
            </w:pPr>
          </w:p>
        </w:tc>
        <w:tc>
          <w:tcPr>
            <w:tcW w:w="1753" w:type="dxa"/>
            <w:tcBorders>
              <w:top w:val="single" w:color="000000" w:sz="4" w:space="0"/>
              <w:left w:val="single" w:color="000000" w:sz="4" w:space="0"/>
              <w:bottom w:val="single" w:color="000000" w:sz="4" w:space="0"/>
              <w:right w:val="single" w:color="000000" w:sz="4" w:space="0"/>
            </w:tcBorders>
            <w:noWrap/>
            <w:vAlign w:val="center"/>
          </w:tcPr>
          <w:p w14:paraId="7915D93D">
            <w:pPr>
              <w:widowControl/>
              <w:jc w:val="center"/>
              <w:textAlignment w:val="center"/>
              <w:rPr>
                <w:rFonts w:hint="eastAsia" w:ascii="宋体" w:hAnsi="宋体" w:cs="宋体"/>
                <w:kern w:val="0"/>
                <w:sz w:val="24"/>
                <w:szCs w:val="22"/>
                <w:lang w:bidi="ar"/>
              </w:rPr>
            </w:pPr>
            <w:r>
              <w:rPr>
                <w:rFonts w:hint="eastAsia" w:ascii="宋体" w:hAnsi="宋体" w:cs="宋体"/>
                <w:kern w:val="0"/>
                <w:sz w:val="24"/>
                <w:szCs w:val="22"/>
                <w:lang w:bidi="ar"/>
              </w:rPr>
              <w:t>申请日期</w:t>
            </w:r>
          </w:p>
          <w:p w14:paraId="287A9B54">
            <w:pPr>
              <w:widowControl/>
              <w:jc w:val="center"/>
              <w:textAlignment w:val="center"/>
              <w:rPr>
                <w:rFonts w:hint="eastAsia" w:ascii="宋体" w:hAnsi="宋体" w:eastAsia="宋体" w:cs="宋体"/>
                <w:kern w:val="0"/>
                <w:sz w:val="24"/>
                <w:szCs w:val="22"/>
                <w:lang w:eastAsia="zh-CN" w:bidi="ar"/>
              </w:rPr>
            </w:pPr>
            <w:r>
              <w:rPr>
                <w:rFonts w:hint="eastAsia" w:ascii="宋体" w:hAnsi="宋体" w:cs="宋体"/>
                <w:b w:val="0"/>
                <w:bCs w:val="0"/>
                <w:kern w:val="0"/>
                <w:sz w:val="18"/>
                <w:szCs w:val="16"/>
                <w:highlight w:val="none"/>
                <w:lang w:eastAsia="zh-CN" w:bidi="ar"/>
              </w:rPr>
              <w:t>（</w:t>
            </w:r>
            <w:r>
              <w:rPr>
                <w:rFonts w:hint="eastAsia" w:ascii="宋体" w:hAnsi="宋体" w:cs="宋体"/>
                <w:b w:val="0"/>
                <w:bCs w:val="0"/>
                <w:kern w:val="0"/>
                <w:sz w:val="18"/>
                <w:szCs w:val="16"/>
                <w:highlight w:val="none"/>
                <w:lang w:val="en-US" w:eastAsia="zh-CN" w:bidi="ar"/>
              </w:rPr>
              <w:t>需精确到时和分</w:t>
            </w:r>
            <w:r>
              <w:rPr>
                <w:rFonts w:hint="eastAsia" w:ascii="宋体" w:hAnsi="宋体" w:cs="宋体"/>
                <w:b w:val="0"/>
                <w:bCs w:val="0"/>
                <w:kern w:val="0"/>
                <w:sz w:val="18"/>
                <w:szCs w:val="16"/>
                <w:highlight w:val="none"/>
                <w:lang w:eastAsia="zh-CN" w:bidi="ar"/>
              </w:rPr>
              <w:t>）</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366F27BC">
            <w:pPr>
              <w:jc w:val="center"/>
              <w:rPr>
                <w:rFonts w:ascii="宋体" w:hAnsi="宋体" w:cs="宋体"/>
                <w:sz w:val="24"/>
                <w:szCs w:val="22"/>
              </w:rPr>
            </w:pPr>
          </w:p>
        </w:tc>
      </w:tr>
      <w:tr w14:paraId="0C1D68AF">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3E378A42">
            <w:pPr>
              <w:widowControl/>
              <w:jc w:val="center"/>
              <w:textAlignment w:val="center"/>
              <w:rPr>
                <w:rFonts w:ascii="宋体" w:hAnsi="宋体" w:cs="宋体"/>
                <w:sz w:val="24"/>
                <w:szCs w:val="22"/>
              </w:rPr>
            </w:pPr>
            <w:r>
              <w:rPr>
                <w:rFonts w:hint="eastAsia" w:ascii="宋体" w:hAnsi="宋体" w:cs="宋体"/>
                <w:kern w:val="0"/>
                <w:sz w:val="24"/>
                <w:szCs w:val="22"/>
                <w:lang w:bidi="ar"/>
              </w:rPr>
              <w:t>身份证号码</w:t>
            </w:r>
          </w:p>
        </w:tc>
        <w:tc>
          <w:tcPr>
            <w:tcW w:w="2218" w:type="dxa"/>
            <w:tcBorders>
              <w:top w:val="single" w:color="000000" w:sz="4" w:space="0"/>
              <w:left w:val="single" w:color="000000" w:sz="4" w:space="0"/>
              <w:bottom w:val="single" w:color="000000" w:sz="4" w:space="0"/>
              <w:right w:val="single" w:color="000000" w:sz="4" w:space="0"/>
            </w:tcBorders>
            <w:noWrap/>
            <w:vAlign w:val="center"/>
          </w:tcPr>
          <w:p w14:paraId="4A7A44DF">
            <w:pPr>
              <w:jc w:val="center"/>
              <w:rPr>
                <w:rFonts w:ascii="宋体" w:hAnsi="宋体" w:cs="宋体"/>
                <w:sz w:val="24"/>
                <w:szCs w:val="22"/>
              </w:rPr>
            </w:pPr>
          </w:p>
        </w:tc>
        <w:tc>
          <w:tcPr>
            <w:tcW w:w="1753" w:type="dxa"/>
            <w:tcBorders>
              <w:top w:val="single" w:color="000000" w:sz="4" w:space="0"/>
              <w:left w:val="single" w:color="000000" w:sz="4" w:space="0"/>
              <w:bottom w:val="single" w:color="000000" w:sz="4" w:space="0"/>
              <w:right w:val="single" w:color="000000" w:sz="4" w:space="0"/>
            </w:tcBorders>
            <w:noWrap/>
            <w:vAlign w:val="center"/>
          </w:tcPr>
          <w:p w14:paraId="7EF51E4F">
            <w:pPr>
              <w:widowControl/>
              <w:jc w:val="center"/>
              <w:textAlignment w:val="center"/>
              <w:rPr>
                <w:rFonts w:ascii="宋体" w:hAnsi="宋体" w:cs="宋体"/>
                <w:sz w:val="24"/>
                <w:szCs w:val="22"/>
              </w:rPr>
            </w:pPr>
            <w:r>
              <w:rPr>
                <w:rFonts w:hint="eastAsia" w:ascii="宋体" w:hAnsi="宋体" w:cs="宋体"/>
                <w:kern w:val="0"/>
                <w:sz w:val="24"/>
                <w:szCs w:val="22"/>
                <w:lang w:bidi="ar"/>
              </w:rPr>
              <w:t>联系电话</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0A28AE70">
            <w:pPr>
              <w:jc w:val="center"/>
              <w:rPr>
                <w:rFonts w:ascii="宋体" w:hAnsi="宋体" w:cs="宋体"/>
                <w:sz w:val="24"/>
                <w:szCs w:val="22"/>
              </w:rPr>
            </w:pPr>
          </w:p>
        </w:tc>
      </w:tr>
      <w:tr w14:paraId="0C79F49B">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7F565478">
            <w:pPr>
              <w:widowControl/>
              <w:jc w:val="center"/>
              <w:textAlignment w:val="center"/>
              <w:rPr>
                <w:rFonts w:ascii="宋体" w:hAnsi="宋体" w:cs="宋体"/>
                <w:sz w:val="24"/>
                <w:szCs w:val="22"/>
              </w:rPr>
            </w:pPr>
            <w:r>
              <w:rPr>
                <w:rFonts w:hint="eastAsia" w:ascii="宋体" w:hAnsi="宋体" w:cs="宋体"/>
                <w:kern w:val="0"/>
                <w:sz w:val="24"/>
                <w:szCs w:val="22"/>
                <w:lang w:bidi="ar"/>
              </w:rPr>
              <w:t>归属街道</w:t>
            </w:r>
          </w:p>
        </w:tc>
        <w:tc>
          <w:tcPr>
            <w:tcW w:w="2218" w:type="dxa"/>
            <w:tcBorders>
              <w:top w:val="single" w:color="000000" w:sz="4" w:space="0"/>
              <w:left w:val="single" w:color="000000" w:sz="4" w:space="0"/>
              <w:bottom w:val="single" w:color="000000" w:sz="4" w:space="0"/>
              <w:right w:val="single" w:color="000000" w:sz="4" w:space="0"/>
            </w:tcBorders>
            <w:noWrap/>
            <w:vAlign w:val="center"/>
          </w:tcPr>
          <w:p w14:paraId="11FDE6E1">
            <w:pPr>
              <w:jc w:val="center"/>
              <w:rPr>
                <w:rFonts w:ascii="宋体" w:hAnsi="宋体" w:cs="宋体"/>
                <w:sz w:val="24"/>
                <w:szCs w:val="22"/>
              </w:rPr>
            </w:pPr>
          </w:p>
        </w:tc>
        <w:tc>
          <w:tcPr>
            <w:tcW w:w="1753" w:type="dxa"/>
            <w:tcBorders>
              <w:top w:val="single" w:color="000000" w:sz="4" w:space="0"/>
              <w:left w:val="single" w:color="000000" w:sz="4" w:space="0"/>
              <w:bottom w:val="single" w:color="000000" w:sz="4" w:space="0"/>
              <w:right w:val="single" w:color="000000" w:sz="4" w:space="0"/>
            </w:tcBorders>
            <w:noWrap/>
            <w:vAlign w:val="center"/>
          </w:tcPr>
          <w:p w14:paraId="1B5FA0EB">
            <w:pPr>
              <w:widowControl/>
              <w:jc w:val="center"/>
              <w:textAlignment w:val="center"/>
              <w:rPr>
                <w:rFonts w:ascii="宋体" w:hAnsi="宋体" w:cs="宋体"/>
                <w:sz w:val="24"/>
                <w:szCs w:val="22"/>
              </w:rPr>
            </w:pPr>
            <w:r>
              <w:rPr>
                <w:rFonts w:hint="eastAsia" w:ascii="宋体" w:hAnsi="宋体" w:cs="宋体"/>
                <w:kern w:val="0"/>
                <w:sz w:val="24"/>
                <w:szCs w:val="22"/>
                <w:lang w:bidi="ar"/>
              </w:rPr>
              <w:t>归属网格</w:t>
            </w:r>
          </w:p>
        </w:tc>
        <w:tc>
          <w:tcPr>
            <w:tcW w:w="2033" w:type="dxa"/>
            <w:tcBorders>
              <w:top w:val="single" w:color="000000" w:sz="4" w:space="0"/>
              <w:left w:val="single" w:color="000000" w:sz="4" w:space="0"/>
              <w:bottom w:val="single" w:color="000000" w:sz="4" w:space="0"/>
              <w:right w:val="single" w:color="000000" w:sz="4" w:space="0"/>
            </w:tcBorders>
            <w:noWrap/>
            <w:vAlign w:val="center"/>
          </w:tcPr>
          <w:p w14:paraId="7228B06C">
            <w:pPr>
              <w:jc w:val="center"/>
              <w:rPr>
                <w:rFonts w:ascii="宋体" w:hAnsi="宋体" w:cs="宋体"/>
                <w:sz w:val="24"/>
                <w:szCs w:val="22"/>
              </w:rPr>
            </w:pPr>
          </w:p>
        </w:tc>
      </w:tr>
      <w:tr w14:paraId="217CCE89">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07702888">
            <w:pPr>
              <w:widowControl/>
              <w:jc w:val="center"/>
              <w:textAlignment w:val="center"/>
              <w:rPr>
                <w:rFonts w:ascii="宋体" w:hAnsi="宋体" w:cs="宋体"/>
                <w:sz w:val="24"/>
                <w:szCs w:val="22"/>
              </w:rPr>
            </w:pPr>
            <w:r>
              <w:rPr>
                <w:rFonts w:hint="eastAsia" w:ascii="宋体" w:hAnsi="宋体" w:cs="宋体"/>
                <w:kern w:val="0"/>
                <w:sz w:val="24"/>
                <w:szCs w:val="22"/>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6E298129">
            <w:pPr>
              <w:jc w:val="center"/>
              <w:rPr>
                <w:rFonts w:ascii="宋体" w:hAnsi="宋体" w:cs="宋体"/>
                <w:sz w:val="24"/>
                <w:szCs w:val="22"/>
              </w:rPr>
            </w:pPr>
          </w:p>
        </w:tc>
      </w:tr>
      <w:tr w14:paraId="4C2CC28C">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39D6F113">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营业执照基本信息</w:t>
            </w:r>
          </w:p>
        </w:tc>
      </w:tr>
      <w:tr w14:paraId="18BC6CC0">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43D59A52">
            <w:pPr>
              <w:widowControl/>
              <w:jc w:val="center"/>
              <w:textAlignment w:val="center"/>
              <w:rPr>
                <w:rFonts w:ascii="宋体" w:hAnsi="宋体" w:cs="宋体"/>
                <w:sz w:val="24"/>
                <w:szCs w:val="22"/>
              </w:rPr>
            </w:pPr>
            <w:r>
              <w:rPr>
                <w:rFonts w:hint="eastAsia" w:ascii="宋体" w:hAnsi="宋体" w:cs="宋体"/>
                <w:kern w:val="0"/>
                <w:sz w:val="24"/>
                <w:szCs w:val="22"/>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757D582A">
            <w:pPr>
              <w:jc w:val="center"/>
              <w:rPr>
                <w:rFonts w:ascii="宋体" w:hAnsi="宋体" w:cs="宋体"/>
                <w:sz w:val="24"/>
                <w:szCs w:val="22"/>
              </w:rPr>
            </w:pPr>
          </w:p>
        </w:tc>
      </w:tr>
      <w:tr w14:paraId="4A7B0FA3">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6CF43A21">
            <w:pPr>
              <w:widowControl/>
              <w:jc w:val="center"/>
              <w:textAlignment w:val="center"/>
              <w:rPr>
                <w:rFonts w:ascii="宋体" w:hAnsi="宋体" w:cs="宋体"/>
                <w:sz w:val="24"/>
                <w:szCs w:val="22"/>
              </w:rPr>
            </w:pPr>
            <w:r>
              <w:rPr>
                <w:rFonts w:hint="eastAsia" w:ascii="宋体" w:hAnsi="宋体" w:cs="宋体"/>
                <w:kern w:val="0"/>
                <w:sz w:val="24"/>
                <w:szCs w:val="22"/>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32069877">
            <w:pPr>
              <w:jc w:val="center"/>
              <w:rPr>
                <w:rFonts w:ascii="宋体" w:hAnsi="宋体" w:cs="宋体"/>
                <w:sz w:val="24"/>
                <w:szCs w:val="22"/>
              </w:rPr>
            </w:pPr>
          </w:p>
        </w:tc>
      </w:tr>
      <w:tr w14:paraId="58A13BA4">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6FA12377">
            <w:pPr>
              <w:widowControl/>
              <w:jc w:val="center"/>
              <w:textAlignment w:val="center"/>
              <w:rPr>
                <w:rFonts w:ascii="宋体" w:hAnsi="宋体" w:cs="宋体"/>
                <w:sz w:val="24"/>
                <w:szCs w:val="22"/>
              </w:rPr>
            </w:pPr>
            <w:r>
              <w:rPr>
                <w:rFonts w:hint="eastAsia" w:ascii="宋体" w:hAnsi="宋体" w:cs="宋体"/>
                <w:kern w:val="0"/>
                <w:sz w:val="24"/>
                <w:szCs w:val="22"/>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1E232041">
            <w:pPr>
              <w:jc w:val="center"/>
              <w:rPr>
                <w:rFonts w:ascii="宋体" w:hAnsi="宋体" w:cs="宋体"/>
                <w:sz w:val="24"/>
                <w:szCs w:val="22"/>
              </w:rPr>
            </w:pPr>
          </w:p>
        </w:tc>
      </w:tr>
      <w:tr w14:paraId="4FAA5B73">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5D0ED430">
            <w:pPr>
              <w:widowControl/>
              <w:jc w:val="center"/>
              <w:textAlignment w:val="center"/>
              <w:rPr>
                <w:rFonts w:ascii="宋体" w:hAnsi="宋体" w:cs="宋体"/>
                <w:sz w:val="24"/>
                <w:szCs w:val="22"/>
              </w:rPr>
            </w:pPr>
            <w:r>
              <w:rPr>
                <w:rFonts w:hint="eastAsia" w:ascii="宋体" w:hAnsi="宋体" w:cs="宋体"/>
                <w:kern w:val="0"/>
                <w:sz w:val="24"/>
                <w:szCs w:val="22"/>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3FB3EE94">
            <w:pPr>
              <w:jc w:val="center"/>
              <w:rPr>
                <w:rFonts w:ascii="宋体" w:hAnsi="宋体" w:cs="宋体"/>
                <w:sz w:val="24"/>
                <w:szCs w:val="22"/>
              </w:rPr>
            </w:pPr>
          </w:p>
        </w:tc>
      </w:tr>
      <w:tr w14:paraId="15E84644">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noWrap w:val="0"/>
            <w:vAlign w:val="center"/>
          </w:tcPr>
          <w:p w14:paraId="052C51B0">
            <w:pPr>
              <w:widowControl/>
              <w:jc w:val="left"/>
              <w:textAlignment w:val="center"/>
              <w:rPr>
                <w:rFonts w:ascii="宋体" w:hAnsi="宋体" w:cs="宋体"/>
                <w:b/>
                <w:bCs/>
                <w:sz w:val="24"/>
                <w:lang w:bidi="ar"/>
              </w:rPr>
            </w:pPr>
            <w:r>
              <w:rPr>
                <w:rFonts w:ascii="宋体" w:hAnsi="宋体" w:cs="宋体"/>
                <w:b/>
                <w:bCs/>
                <w:sz w:val="24"/>
                <w:lang w:bidi="ar"/>
              </w:rPr>
              <w:t>申请人承诺：</w:t>
            </w:r>
          </w:p>
          <w:p w14:paraId="61BC7D42">
            <w:pPr>
              <w:widowControl/>
              <w:ind w:firstLine="480" w:firstLineChars="200"/>
              <w:jc w:val="left"/>
              <w:textAlignment w:val="center"/>
              <w:rPr>
                <w:rFonts w:ascii="宋体" w:hAnsi="宋体" w:cs="宋体"/>
                <w:sz w:val="24"/>
                <w:lang w:bidi="ar"/>
              </w:rPr>
            </w:pPr>
            <w:r>
              <w:rPr>
                <w:rFonts w:ascii="宋体" w:hAnsi="宋体" w:cs="宋体"/>
                <w:sz w:val="24"/>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261AE69A">
            <w:pPr>
              <w:widowControl/>
              <w:ind w:firstLine="480" w:firstLineChars="200"/>
              <w:jc w:val="left"/>
              <w:textAlignment w:val="center"/>
              <w:rPr>
                <w:rFonts w:hint="eastAsia" w:ascii="宋体" w:hAnsi="宋体" w:eastAsia="宋体" w:cs="宋体"/>
                <w:sz w:val="24"/>
                <w:lang w:eastAsia="zh-CN" w:bidi="ar"/>
              </w:rPr>
            </w:pPr>
            <w:r>
              <w:rPr>
                <w:rFonts w:ascii="宋体" w:hAnsi="宋体" w:cs="宋体"/>
                <w:sz w:val="24"/>
                <w:lang w:bidi="ar"/>
              </w:rPr>
              <w:t>2.</w:t>
            </w:r>
            <w:r>
              <w:rPr>
                <w:rFonts w:hint="eastAsia" w:ascii="宋体" w:hAnsi="宋体" w:cs="宋体"/>
                <w:sz w:val="24"/>
                <w:lang w:bidi="ar"/>
              </w:rPr>
              <w:t>排队轮候实行有效期管理，每一次申请排队轮候的有效期限为180天，自顺序号生成之日起生效。顺序号过期后自动失效，该顺序号的后序顺序号自动递补</w:t>
            </w:r>
            <w:r>
              <w:rPr>
                <w:rFonts w:hint="eastAsia" w:ascii="宋体" w:hAnsi="宋体" w:cs="宋体"/>
                <w:sz w:val="24"/>
                <w:lang w:eastAsia="zh-CN" w:bidi="ar"/>
              </w:rPr>
              <w:t>；</w:t>
            </w:r>
          </w:p>
          <w:p w14:paraId="69DBA3CB">
            <w:pPr>
              <w:widowControl/>
              <w:ind w:firstLine="480" w:firstLineChars="200"/>
              <w:jc w:val="left"/>
              <w:textAlignment w:val="center"/>
              <w:rPr>
                <w:rFonts w:ascii="宋体" w:hAnsi="宋体" w:cs="宋体"/>
                <w:sz w:val="24"/>
                <w:lang w:bidi="ar"/>
              </w:rPr>
            </w:pPr>
            <w:r>
              <w:rPr>
                <w:rFonts w:hint="eastAsia" w:ascii="宋体" w:hAnsi="宋体" w:cs="宋体"/>
                <w:sz w:val="24"/>
                <w:lang w:bidi="ar"/>
              </w:rPr>
              <w:t>3.</w:t>
            </w:r>
            <w:r>
              <w:rPr>
                <w:rFonts w:ascii="宋体" w:hAnsi="宋体" w:cs="宋体"/>
                <w:sz w:val="24"/>
                <w:lang w:bidi="ar"/>
              </w:rPr>
              <w:t>申请人所提交的预登记信息确保与到号办理时提交的办证信息一致，若不一致的，申请人应重新登记轮候；</w:t>
            </w:r>
          </w:p>
          <w:p w14:paraId="34795451">
            <w:pPr>
              <w:widowControl/>
              <w:ind w:firstLine="480" w:firstLineChars="200"/>
              <w:jc w:val="left"/>
              <w:textAlignment w:val="center"/>
              <w:rPr>
                <w:rFonts w:hint="eastAsia" w:ascii="宋体" w:hAnsi="宋体" w:cs="宋体"/>
                <w:sz w:val="24"/>
                <w:lang w:bidi="ar"/>
              </w:rPr>
            </w:pPr>
            <w:r>
              <w:rPr>
                <w:rFonts w:hint="eastAsia" w:ascii="宋体" w:hAnsi="宋体" w:cs="宋体"/>
                <w:sz w:val="24"/>
                <w:lang w:bidi="ar"/>
              </w:rPr>
              <w:t>4</w:t>
            </w:r>
            <w:r>
              <w:rPr>
                <w:rFonts w:ascii="宋体" w:hAnsi="宋体" w:cs="宋体"/>
                <w:sz w:val="24"/>
                <w:lang w:bidi="ar"/>
              </w:rPr>
              <w:t>.有下列情形之一的，</w:t>
            </w:r>
            <w:r>
              <w:rPr>
                <w:rFonts w:hint="eastAsia" w:ascii="宋体" w:hAnsi="宋体" w:cs="宋体"/>
                <w:sz w:val="24"/>
                <w:lang w:bidi="ar"/>
              </w:rPr>
              <w:t>排队</w:t>
            </w:r>
            <w:r>
              <w:rPr>
                <w:rFonts w:ascii="宋体" w:hAnsi="宋体" w:cs="宋体"/>
                <w:sz w:val="24"/>
                <w:lang w:bidi="ar"/>
              </w:rPr>
              <w:t>轮候资格作废，发证机关以</w:t>
            </w:r>
            <w:r>
              <w:rPr>
                <w:rFonts w:hint="eastAsia" w:ascii="宋体" w:hAnsi="宋体" w:cs="宋体"/>
                <w:sz w:val="24"/>
                <w:lang w:bidi="ar"/>
              </w:rPr>
              <w:t>电话</w:t>
            </w:r>
            <w:r>
              <w:rPr>
                <w:rFonts w:ascii="宋体" w:hAnsi="宋体" w:cs="宋体"/>
                <w:sz w:val="24"/>
                <w:lang w:bidi="ar"/>
              </w:rPr>
              <w:t>告知，并按照轮候次序通知下一个轮候申请人提交许可证新办申请：</w:t>
            </w:r>
          </w:p>
          <w:p w14:paraId="58265636">
            <w:pPr>
              <w:widowControl/>
              <w:ind w:firstLine="480" w:firstLineChars="200"/>
              <w:jc w:val="left"/>
              <w:textAlignment w:val="center"/>
              <w:rPr>
                <w:rFonts w:ascii="宋体" w:hAnsi="宋体" w:cs="宋体"/>
                <w:sz w:val="24"/>
                <w:lang w:bidi="ar"/>
              </w:rPr>
            </w:pPr>
            <w:r>
              <w:rPr>
                <w:rFonts w:ascii="宋体" w:hAnsi="宋体" w:cs="宋体"/>
                <w:sz w:val="24"/>
                <w:lang w:bidi="ar"/>
              </w:rPr>
              <w:t>（一）轮候申请人在接到通知后</w:t>
            </w:r>
            <w:r>
              <w:rPr>
                <w:rFonts w:hint="eastAsia" w:ascii="宋体" w:hAnsi="宋体" w:cs="宋体"/>
                <w:sz w:val="24"/>
                <w:lang w:bidi="ar"/>
              </w:rPr>
              <w:t>5个工作日</w:t>
            </w:r>
            <w:r>
              <w:rPr>
                <w:rFonts w:ascii="宋体" w:hAnsi="宋体" w:cs="宋体"/>
                <w:sz w:val="24"/>
                <w:lang w:bidi="ar"/>
              </w:rPr>
              <w:t>内未提出许可证新办申请的；</w:t>
            </w:r>
          </w:p>
          <w:p w14:paraId="5983781D">
            <w:pPr>
              <w:widowControl/>
              <w:ind w:firstLine="480" w:firstLineChars="200"/>
              <w:jc w:val="left"/>
              <w:textAlignment w:val="center"/>
              <w:rPr>
                <w:rFonts w:ascii="宋体" w:hAnsi="宋体" w:cs="宋体"/>
                <w:sz w:val="24"/>
                <w:lang w:bidi="ar"/>
              </w:rPr>
            </w:pPr>
            <w:r>
              <w:rPr>
                <w:rFonts w:ascii="宋体" w:hAnsi="宋体" w:cs="宋体"/>
                <w:sz w:val="24"/>
                <w:lang w:bidi="ar"/>
              </w:rPr>
              <w:t>（二）按照轮候申请人提供的联系方式无法联系到申请人且申请人在</w:t>
            </w:r>
            <w:r>
              <w:rPr>
                <w:rFonts w:hint="eastAsia" w:ascii="宋体" w:hAnsi="宋体" w:cs="宋体"/>
                <w:sz w:val="24"/>
                <w:lang w:bidi="ar"/>
              </w:rPr>
              <w:t>5个工作日</w:t>
            </w:r>
            <w:r>
              <w:rPr>
                <w:rFonts w:ascii="宋体" w:hAnsi="宋体" w:cs="宋体"/>
                <w:sz w:val="24"/>
                <w:lang w:bidi="ar"/>
              </w:rPr>
              <w:t>内未提出许可证新办申请的；</w:t>
            </w:r>
          </w:p>
          <w:p w14:paraId="1ACBD2EE">
            <w:pPr>
              <w:widowControl/>
              <w:ind w:firstLine="480" w:firstLineChars="200"/>
              <w:jc w:val="left"/>
              <w:textAlignment w:val="center"/>
              <w:rPr>
                <w:rFonts w:ascii="宋体" w:hAnsi="宋体" w:cs="宋体"/>
                <w:sz w:val="24"/>
                <w:lang w:bidi="ar"/>
              </w:rPr>
            </w:pPr>
            <w:r>
              <w:rPr>
                <w:rFonts w:ascii="宋体" w:hAnsi="宋体" w:cs="宋体"/>
                <w:sz w:val="24"/>
                <w:lang w:bidi="ar"/>
              </w:rPr>
              <w:t>（三）经发证机关核查后发现不符合办证条件的；</w:t>
            </w:r>
          </w:p>
          <w:p w14:paraId="50B2C072">
            <w:pPr>
              <w:widowControl/>
              <w:ind w:firstLine="480" w:firstLineChars="200"/>
              <w:jc w:val="left"/>
              <w:textAlignment w:val="center"/>
              <w:rPr>
                <w:rFonts w:ascii="宋体" w:hAnsi="宋体" w:cs="宋体"/>
                <w:sz w:val="24"/>
                <w:lang w:bidi="ar"/>
              </w:rPr>
            </w:pPr>
            <w:r>
              <w:rPr>
                <w:rFonts w:ascii="宋体" w:hAnsi="宋体" w:cs="宋体"/>
                <w:sz w:val="24"/>
                <w:lang w:bidi="ar"/>
              </w:rPr>
              <w:t>（四）许可证新办申请的</w:t>
            </w:r>
            <w:r>
              <w:rPr>
                <w:rFonts w:hint="eastAsia" w:ascii="宋体" w:hAnsi="宋体" w:cs="宋体"/>
                <w:sz w:val="24"/>
                <w:lang w:bidi="ar"/>
              </w:rPr>
              <w:t>经营</w:t>
            </w:r>
            <w:r>
              <w:rPr>
                <w:rFonts w:ascii="宋体" w:hAnsi="宋体" w:cs="宋体"/>
                <w:sz w:val="24"/>
                <w:lang w:bidi="ar"/>
              </w:rPr>
              <w:t>主体、经营地址</w:t>
            </w:r>
            <w:r>
              <w:rPr>
                <w:rFonts w:hint="eastAsia" w:ascii="宋体" w:hAnsi="宋体" w:cs="宋体"/>
                <w:sz w:val="24"/>
                <w:lang w:bidi="ar"/>
              </w:rPr>
              <w:t>等</w:t>
            </w:r>
            <w:r>
              <w:rPr>
                <w:rFonts w:ascii="宋体" w:hAnsi="宋体" w:cs="宋体"/>
                <w:sz w:val="24"/>
                <w:lang w:bidi="ar"/>
              </w:rPr>
              <w:t>与申请编号登记信息不一致的；</w:t>
            </w:r>
          </w:p>
          <w:p w14:paraId="25953A5E">
            <w:pPr>
              <w:widowControl/>
              <w:ind w:firstLine="480" w:firstLineChars="200"/>
              <w:jc w:val="left"/>
              <w:textAlignment w:val="center"/>
              <w:rPr>
                <w:rFonts w:ascii="宋体" w:hAnsi="宋体" w:cs="宋体"/>
                <w:sz w:val="24"/>
                <w:lang w:bidi="ar"/>
              </w:rPr>
            </w:pPr>
            <w:r>
              <w:rPr>
                <w:rFonts w:ascii="宋体" w:hAnsi="宋体" w:cs="宋体"/>
                <w:sz w:val="24"/>
                <w:lang w:bidi="ar"/>
              </w:rPr>
              <w:t>（五）轮候申请人在排队轮候期间擅自从事烟草专卖品生产经营活动被行政处罚2次以上（含2次）或被追究刑事责任的；</w:t>
            </w:r>
          </w:p>
          <w:p w14:paraId="6B9AE547">
            <w:pPr>
              <w:widowControl/>
              <w:ind w:firstLine="480" w:firstLineChars="200"/>
              <w:jc w:val="left"/>
              <w:textAlignment w:val="center"/>
              <w:rPr>
                <w:rFonts w:ascii="宋体" w:hAnsi="宋体" w:cs="宋体"/>
                <w:sz w:val="24"/>
                <w:lang w:bidi="ar"/>
              </w:rPr>
            </w:pPr>
            <w:r>
              <w:rPr>
                <w:rFonts w:ascii="宋体" w:hAnsi="宋体" w:cs="宋体"/>
                <w:sz w:val="24"/>
                <w:lang w:bidi="ar"/>
              </w:rPr>
              <w:t>（六）因轮候申请人原因导致轮候资格作废的其他情形。</w:t>
            </w:r>
          </w:p>
          <w:p w14:paraId="06F2C089">
            <w:pPr>
              <w:widowControl/>
              <w:ind w:firstLine="480" w:firstLineChars="200"/>
              <w:jc w:val="left"/>
              <w:textAlignment w:val="center"/>
              <w:rPr>
                <w:rFonts w:ascii="宋体" w:hAnsi="宋体" w:cs="宋体"/>
                <w:sz w:val="24"/>
                <w:lang w:bidi="ar"/>
              </w:rPr>
            </w:pPr>
          </w:p>
          <w:p w14:paraId="2953C431">
            <w:pPr>
              <w:widowControl/>
              <w:ind w:firstLine="482" w:firstLineChars="200"/>
              <w:jc w:val="left"/>
              <w:textAlignment w:val="center"/>
              <w:rPr>
                <w:rFonts w:ascii="宋体" w:hAnsi="宋体" w:cs="宋体"/>
                <w:b/>
                <w:bCs/>
                <w:sz w:val="24"/>
                <w:lang w:bidi="ar"/>
              </w:rPr>
            </w:pPr>
          </w:p>
          <w:p w14:paraId="3AA0FAFD">
            <w:pPr>
              <w:widowControl/>
              <w:ind w:firstLine="482" w:firstLineChars="200"/>
              <w:jc w:val="left"/>
              <w:textAlignment w:val="center"/>
              <w:rPr>
                <w:rFonts w:ascii="宋体" w:hAnsi="宋体" w:cs="宋体"/>
                <w:b/>
                <w:bCs/>
                <w:sz w:val="24"/>
                <w:lang w:bidi="ar"/>
              </w:rPr>
            </w:pPr>
          </w:p>
          <w:p w14:paraId="03056FC5">
            <w:pPr>
              <w:widowControl/>
              <w:ind w:firstLine="482" w:firstLineChars="200"/>
              <w:jc w:val="left"/>
              <w:textAlignment w:val="center"/>
              <w:rPr>
                <w:rFonts w:ascii="宋体" w:hAnsi="宋体" w:cs="宋体"/>
                <w:b/>
                <w:bCs/>
                <w:sz w:val="24"/>
                <w:szCs w:val="22"/>
              </w:rPr>
            </w:pPr>
            <w:r>
              <w:rPr>
                <w:rFonts w:ascii="宋体" w:hAnsi="宋体" w:cs="宋体"/>
                <w:b/>
                <w:bCs/>
                <w:sz w:val="24"/>
                <w:lang w:bidi="ar"/>
              </w:rPr>
              <w:t>申请人或代理人（签名或印章）：</w:t>
            </w:r>
            <w:r>
              <w:rPr>
                <w:rFonts w:ascii="宋体" w:hAnsi="宋体" w:cs="宋体"/>
                <w:b/>
                <w:bCs/>
                <w:sz w:val="24"/>
                <w:u w:val="single"/>
                <w:lang w:bidi="ar"/>
              </w:rPr>
              <w:t xml:space="preserve">        </w:t>
            </w:r>
            <w:r>
              <w:rPr>
                <w:rFonts w:ascii="宋体" w:hAnsi="宋体" w:cs="宋体"/>
                <w:b/>
                <w:bCs/>
                <w:sz w:val="24"/>
                <w:lang w:bidi="ar"/>
              </w:rPr>
              <w:t xml:space="preserve">                                                                         </w:t>
            </w:r>
          </w:p>
        </w:tc>
      </w:tr>
      <w:tr w14:paraId="35437988">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noWrap w:val="0"/>
            <w:vAlign w:val="center"/>
          </w:tcPr>
          <w:p w14:paraId="2726C609">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noWrap w:val="0"/>
            <w:vAlign w:val="center"/>
          </w:tcPr>
          <w:p w14:paraId="670EFF74">
            <w:pPr>
              <w:jc w:val="center"/>
              <w:rPr>
                <w:rFonts w:ascii="宋体" w:hAnsi="宋体" w:cs="宋体"/>
                <w:b/>
                <w:bCs/>
                <w:sz w:val="24"/>
                <w:szCs w:val="22"/>
              </w:rPr>
            </w:pPr>
          </w:p>
        </w:tc>
      </w:tr>
    </w:tbl>
    <w:p w14:paraId="61ADD876">
      <w:pPr>
        <w:autoSpaceDE w:val="0"/>
        <w:autoSpaceDN w:val="0"/>
        <w:adjustRightInd w:val="0"/>
        <w:snapToGrid w:val="0"/>
        <w:spacing w:line="360" w:lineRule="auto"/>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0DC7223">
      <w:pPr>
        <w:spacing w:before="101" w:line="228" w:lineRule="auto"/>
        <w:ind w:left="46"/>
        <w:rPr>
          <w:rFonts w:hint="eastAsia" w:ascii="黑体" w:hAnsi="黑体" w:eastAsia="黑体" w:cs="黑体"/>
          <w:sz w:val="31"/>
          <w:szCs w:val="31"/>
          <w:lang w:val="en-US" w:eastAsia="zh-CN"/>
        </w:rPr>
      </w:pPr>
      <w:r>
        <w:rPr>
          <w:rFonts w:ascii="黑体" w:hAnsi="黑体" w:eastAsia="黑体" w:cs="黑体"/>
          <w:spacing w:val="-3"/>
          <w:sz w:val="31"/>
          <w:szCs w:val="31"/>
        </w:rPr>
        <w:t>附表</w:t>
      </w:r>
      <w:r>
        <w:rPr>
          <w:rFonts w:hint="eastAsia" w:ascii="黑体" w:hAnsi="黑体" w:eastAsia="黑体" w:cs="黑体"/>
          <w:spacing w:val="-3"/>
          <w:sz w:val="31"/>
          <w:szCs w:val="31"/>
          <w:lang w:val="en-US" w:eastAsia="zh-CN"/>
        </w:rPr>
        <w:t>2</w:t>
      </w:r>
    </w:p>
    <w:p w14:paraId="566A0F5D">
      <w:pPr>
        <w:spacing w:line="360" w:lineRule="auto"/>
        <w:ind w:left="402"/>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云南省昆明市官渡区烟草制品零售点</w:t>
      </w:r>
    </w:p>
    <w:p w14:paraId="29E88E1C">
      <w:pPr>
        <w:spacing w:line="360" w:lineRule="auto"/>
        <w:ind w:left="402"/>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集中</w:t>
      </w:r>
      <w:r>
        <w:rPr>
          <w:rFonts w:hint="eastAsia" w:ascii="方正小标宋简体" w:hAnsi="方正小标宋简体" w:eastAsia="方正小标宋简体" w:cs="方正小标宋简体"/>
          <w:sz w:val="44"/>
          <w:szCs w:val="44"/>
          <w:lang w:val="en-US" w:eastAsia="zh-CN"/>
        </w:rPr>
        <w:t>抽签</w:t>
      </w:r>
      <w:r>
        <w:rPr>
          <w:rFonts w:hint="eastAsia" w:ascii="方正小标宋简体" w:hAnsi="方正小标宋简体" w:eastAsia="方正小标宋简体" w:cs="方正小标宋简体"/>
          <w:sz w:val="44"/>
          <w:szCs w:val="44"/>
        </w:rPr>
        <w:t>申请表</w:t>
      </w:r>
    </w:p>
    <w:p w14:paraId="0F1786D9">
      <w:pPr>
        <w:spacing w:before="73"/>
      </w:pPr>
    </w:p>
    <w:tbl>
      <w:tblPr>
        <w:tblStyle w:val="5"/>
        <w:tblW w:w="84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425"/>
        <w:gridCol w:w="2282"/>
        <w:gridCol w:w="1542"/>
        <w:gridCol w:w="2181"/>
      </w:tblGrid>
      <w:tr w14:paraId="218D38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8430" w:type="dxa"/>
            <w:gridSpan w:val="4"/>
            <w:noWrap w:val="0"/>
            <w:vAlign w:val="top"/>
          </w:tcPr>
          <w:p w14:paraId="67E408C0">
            <w:pPr>
              <w:spacing w:before="93" w:line="227" w:lineRule="auto"/>
              <w:ind w:left="3412"/>
              <w:rPr>
                <w:rFonts w:ascii="宋体" w:hAnsi="宋体" w:eastAsia="宋体" w:cs="宋体"/>
                <w:sz w:val="23"/>
                <w:szCs w:val="23"/>
              </w:rPr>
            </w:pPr>
            <w:r>
              <w:rPr>
                <w:rFonts w:ascii="宋体" w:hAnsi="宋体" w:eastAsia="宋体" w:cs="宋体"/>
                <w:b/>
                <w:bCs/>
                <w:spacing w:val="2"/>
                <w:sz w:val="23"/>
                <w:szCs w:val="23"/>
              </w:rPr>
              <w:t>申请人基本信息</w:t>
            </w:r>
          </w:p>
        </w:tc>
      </w:tr>
      <w:tr w14:paraId="7571C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2425" w:type="dxa"/>
            <w:noWrap w:val="0"/>
            <w:vAlign w:val="top"/>
          </w:tcPr>
          <w:p w14:paraId="7AD2B444">
            <w:pPr>
              <w:spacing w:before="159" w:line="227" w:lineRule="auto"/>
              <w:ind w:left="652"/>
              <w:rPr>
                <w:rFonts w:ascii="宋体" w:hAnsi="宋体" w:eastAsia="宋体" w:cs="宋体"/>
                <w:sz w:val="23"/>
                <w:szCs w:val="23"/>
              </w:rPr>
            </w:pPr>
            <w:r>
              <w:rPr>
                <w:rFonts w:ascii="宋体" w:hAnsi="宋体" w:eastAsia="宋体" w:cs="宋体"/>
                <w:spacing w:val="1"/>
                <w:sz w:val="23"/>
                <w:szCs w:val="23"/>
              </w:rPr>
              <w:t>申请人姓名</w:t>
            </w:r>
          </w:p>
        </w:tc>
        <w:tc>
          <w:tcPr>
            <w:tcW w:w="2282" w:type="dxa"/>
            <w:noWrap w:val="0"/>
            <w:vAlign w:val="top"/>
          </w:tcPr>
          <w:p w14:paraId="5C53EB40">
            <w:pPr>
              <w:pStyle w:val="6"/>
            </w:pPr>
          </w:p>
        </w:tc>
        <w:tc>
          <w:tcPr>
            <w:tcW w:w="1542" w:type="dxa"/>
            <w:noWrap w:val="0"/>
            <w:vAlign w:val="top"/>
          </w:tcPr>
          <w:p w14:paraId="55AC6C16">
            <w:pPr>
              <w:spacing w:before="159" w:line="227" w:lineRule="auto"/>
              <w:ind w:left="329"/>
              <w:rPr>
                <w:rFonts w:ascii="宋体" w:hAnsi="宋体" w:eastAsia="宋体" w:cs="宋体"/>
                <w:sz w:val="23"/>
                <w:szCs w:val="23"/>
              </w:rPr>
            </w:pPr>
            <w:r>
              <w:rPr>
                <w:rFonts w:ascii="宋体" w:hAnsi="宋体" w:eastAsia="宋体" w:cs="宋体"/>
                <w:spacing w:val="-1"/>
                <w:sz w:val="23"/>
                <w:szCs w:val="23"/>
              </w:rPr>
              <w:t>申请日期</w:t>
            </w:r>
          </w:p>
        </w:tc>
        <w:tc>
          <w:tcPr>
            <w:tcW w:w="2181" w:type="dxa"/>
            <w:noWrap w:val="0"/>
            <w:vAlign w:val="top"/>
          </w:tcPr>
          <w:p w14:paraId="10AA94DC">
            <w:pPr>
              <w:pStyle w:val="6"/>
            </w:pPr>
          </w:p>
        </w:tc>
      </w:tr>
      <w:tr w14:paraId="149ED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2425" w:type="dxa"/>
            <w:noWrap w:val="0"/>
            <w:vAlign w:val="top"/>
          </w:tcPr>
          <w:p w14:paraId="1D884909">
            <w:pPr>
              <w:spacing w:before="160" w:line="227" w:lineRule="auto"/>
              <w:ind w:left="627"/>
              <w:rPr>
                <w:rFonts w:ascii="宋体" w:hAnsi="宋体" w:eastAsia="宋体" w:cs="宋体"/>
                <w:sz w:val="23"/>
                <w:szCs w:val="23"/>
              </w:rPr>
            </w:pPr>
            <w:r>
              <w:rPr>
                <w:rFonts w:ascii="宋体" w:hAnsi="宋体" w:eastAsia="宋体" w:cs="宋体"/>
                <w:spacing w:val="6"/>
                <w:sz w:val="23"/>
                <w:szCs w:val="23"/>
              </w:rPr>
              <w:t>身份证号码</w:t>
            </w:r>
          </w:p>
        </w:tc>
        <w:tc>
          <w:tcPr>
            <w:tcW w:w="2282" w:type="dxa"/>
            <w:noWrap w:val="0"/>
            <w:vAlign w:val="top"/>
          </w:tcPr>
          <w:p w14:paraId="5CCA85F8">
            <w:pPr>
              <w:pStyle w:val="6"/>
            </w:pPr>
          </w:p>
        </w:tc>
        <w:tc>
          <w:tcPr>
            <w:tcW w:w="1542" w:type="dxa"/>
            <w:noWrap w:val="0"/>
            <w:vAlign w:val="top"/>
          </w:tcPr>
          <w:p w14:paraId="3D0031A5">
            <w:pPr>
              <w:spacing w:before="159" w:line="230" w:lineRule="auto"/>
              <w:ind w:left="299"/>
              <w:rPr>
                <w:rFonts w:ascii="宋体" w:hAnsi="宋体" w:eastAsia="宋体" w:cs="宋体"/>
                <w:sz w:val="23"/>
                <w:szCs w:val="23"/>
              </w:rPr>
            </w:pPr>
            <w:r>
              <w:rPr>
                <w:rFonts w:ascii="宋体" w:hAnsi="宋体" w:eastAsia="宋体" w:cs="宋体"/>
                <w:spacing w:val="7"/>
                <w:sz w:val="23"/>
                <w:szCs w:val="23"/>
              </w:rPr>
              <w:t>联系电话</w:t>
            </w:r>
          </w:p>
        </w:tc>
        <w:tc>
          <w:tcPr>
            <w:tcW w:w="2181" w:type="dxa"/>
            <w:noWrap w:val="0"/>
            <w:vAlign w:val="top"/>
          </w:tcPr>
          <w:p w14:paraId="7DD105AB">
            <w:pPr>
              <w:pStyle w:val="6"/>
            </w:pPr>
          </w:p>
        </w:tc>
      </w:tr>
      <w:tr w14:paraId="186BC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8430" w:type="dxa"/>
            <w:gridSpan w:val="4"/>
            <w:noWrap w:val="0"/>
            <w:vAlign w:val="top"/>
          </w:tcPr>
          <w:p w14:paraId="4E06635C">
            <w:pPr>
              <w:spacing w:before="127" w:line="227" w:lineRule="auto"/>
              <w:ind w:left="3268"/>
              <w:rPr>
                <w:rFonts w:ascii="宋体" w:hAnsi="宋体" w:eastAsia="宋体" w:cs="宋体"/>
                <w:sz w:val="23"/>
                <w:szCs w:val="23"/>
              </w:rPr>
            </w:pPr>
            <w:r>
              <w:rPr>
                <w:rFonts w:ascii="宋体" w:hAnsi="宋体" w:eastAsia="宋体" w:cs="宋体"/>
                <w:b/>
                <w:bCs/>
                <w:spacing w:val="6"/>
                <w:sz w:val="23"/>
                <w:szCs w:val="23"/>
              </w:rPr>
              <w:t>营业执照基本信息</w:t>
            </w:r>
          </w:p>
        </w:tc>
      </w:tr>
      <w:tr w14:paraId="76F9C5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noWrap w:val="0"/>
            <w:vAlign w:val="top"/>
          </w:tcPr>
          <w:p w14:paraId="399E2C5F">
            <w:pPr>
              <w:spacing w:before="129" w:line="227" w:lineRule="auto"/>
              <w:ind w:left="266"/>
              <w:rPr>
                <w:rFonts w:ascii="宋体" w:hAnsi="宋体" w:eastAsia="宋体" w:cs="宋体"/>
                <w:sz w:val="23"/>
                <w:szCs w:val="23"/>
              </w:rPr>
            </w:pPr>
            <w:r>
              <w:rPr>
                <w:rFonts w:ascii="宋体" w:hAnsi="宋体" w:eastAsia="宋体" w:cs="宋体"/>
                <w:spacing w:val="8"/>
                <w:sz w:val="23"/>
                <w:szCs w:val="23"/>
              </w:rPr>
              <w:t>统一社会信用代码</w:t>
            </w:r>
          </w:p>
        </w:tc>
        <w:tc>
          <w:tcPr>
            <w:tcW w:w="6005" w:type="dxa"/>
            <w:gridSpan w:val="3"/>
            <w:noWrap w:val="0"/>
            <w:vAlign w:val="top"/>
          </w:tcPr>
          <w:p w14:paraId="3BF42E5C">
            <w:pPr>
              <w:pStyle w:val="6"/>
            </w:pPr>
          </w:p>
        </w:tc>
      </w:tr>
      <w:tr w14:paraId="4A940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noWrap w:val="0"/>
            <w:vAlign w:val="top"/>
          </w:tcPr>
          <w:p w14:paraId="0F6FAA50">
            <w:pPr>
              <w:spacing w:before="129" w:line="227" w:lineRule="auto"/>
              <w:ind w:left="263"/>
              <w:rPr>
                <w:rFonts w:ascii="宋体" w:hAnsi="宋体" w:eastAsia="宋体" w:cs="宋体"/>
                <w:sz w:val="23"/>
                <w:szCs w:val="23"/>
              </w:rPr>
            </w:pPr>
            <w:r>
              <w:rPr>
                <w:rFonts w:ascii="宋体" w:hAnsi="宋体" w:eastAsia="宋体" w:cs="宋体"/>
                <w:spacing w:val="5"/>
                <w:sz w:val="23"/>
                <w:szCs w:val="23"/>
              </w:rPr>
              <w:t>经营者（负责人）</w:t>
            </w:r>
          </w:p>
        </w:tc>
        <w:tc>
          <w:tcPr>
            <w:tcW w:w="6005" w:type="dxa"/>
            <w:gridSpan w:val="3"/>
            <w:noWrap w:val="0"/>
            <w:vAlign w:val="top"/>
          </w:tcPr>
          <w:p w14:paraId="16AF3CF9">
            <w:pPr>
              <w:pStyle w:val="6"/>
            </w:pPr>
          </w:p>
        </w:tc>
      </w:tr>
      <w:tr w14:paraId="7C150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noWrap w:val="0"/>
            <w:vAlign w:val="top"/>
          </w:tcPr>
          <w:p w14:paraId="0FB0A743">
            <w:pPr>
              <w:spacing w:before="126" w:line="230" w:lineRule="auto"/>
              <w:ind w:left="744"/>
              <w:rPr>
                <w:rFonts w:ascii="宋体" w:hAnsi="宋体" w:eastAsia="宋体" w:cs="宋体"/>
                <w:sz w:val="23"/>
                <w:szCs w:val="23"/>
              </w:rPr>
            </w:pPr>
            <w:r>
              <w:rPr>
                <w:rFonts w:ascii="宋体" w:hAnsi="宋体" w:eastAsia="宋体" w:cs="宋体"/>
                <w:spacing w:val="6"/>
                <w:sz w:val="23"/>
                <w:szCs w:val="23"/>
              </w:rPr>
              <w:t>企业名称</w:t>
            </w:r>
          </w:p>
        </w:tc>
        <w:tc>
          <w:tcPr>
            <w:tcW w:w="6005" w:type="dxa"/>
            <w:gridSpan w:val="3"/>
            <w:noWrap w:val="0"/>
            <w:vAlign w:val="top"/>
          </w:tcPr>
          <w:p w14:paraId="238A9FB3">
            <w:pPr>
              <w:pStyle w:val="6"/>
            </w:pPr>
          </w:p>
        </w:tc>
      </w:tr>
      <w:tr w14:paraId="0148E2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noWrap w:val="0"/>
            <w:vAlign w:val="top"/>
          </w:tcPr>
          <w:p w14:paraId="7700B76D">
            <w:pPr>
              <w:spacing w:before="129" w:line="227" w:lineRule="auto"/>
              <w:ind w:left="744"/>
              <w:rPr>
                <w:rFonts w:ascii="宋体" w:hAnsi="宋体" w:eastAsia="宋体" w:cs="宋体"/>
                <w:sz w:val="23"/>
                <w:szCs w:val="23"/>
              </w:rPr>
            </w:pPr>
            <w:r>
              <w:rPr>
                <w:rFonts w:ascii="宋体" w:hAnsi="宋体" w:eastAsia="宋体" w:cs="宋体"/>
                <w:spacing w:val="6"/>
                <w:sz w:val="23"/>
                <w:szCs w:val="23"/>
              </w:rPr>
              <w:t>企业类型</w:t>
            </w:r>
          </w:p>
        </w:tc>
        <w:tc>
          <w:tcPr>
            <w:tcW w:w="6005" w:type="dxa"/>
            <w:gridSpan w:val="3"/>
            <w:noWrap w:val="0"/>
            <w:vAlign w:val="top"/>
          </w:tcPr>
          <w:p w14:paraId="5D89BBB1">
            <w:pPr>
              <w:pStyle w:val="6"/>
            </w:pPr>
          </w:p>
        </w:tc>
      </w:tr>
      <w:tr w14:paraId="6B4A4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425" w:type="dxa"/>
            <w:noWrap w:val="0"/>
            <w:vAlign w:val="top"/>
          </w:tcPr>
          <w:p w14:paraId="2968D8B7">
            <w:pPr>
              <w:spacing w:before="192" w:line="228" w:lineRule="auto"/>
              <w:ind w:left="743"/>
              <w:rPr>
                <w:rFonts w:ascii="宋体" w:hAnsi="宋体" w:eastAsia="宋体" w:cs="宋体"/>
                <w:sz w:val="23"/>
                <w:szCs w:val="23"/>
              </w:rPr>
            </w:pPr>
            <w:r>
              <w:rPr>
                <w:rFonts w:ascii="宋体" w:hAnsi="宋体" w:eastAsia="宋体" w:cs="宋体"/>
                <w:spacing w:val="7"/>
                <w:sz w:val="23"/>
                <w:szCs w:val="23"/>
              </w:rPr>
              <w:t>经营地址</w:t>
            </w:r>
          </w:p>
        </w:tc>
        <w:tc>
          <w:tcPr>
            <w:tcW w:w="6005" w:type="dxa"/>
            <w:gridSpan w:val="3"/>
            <w:noWrap w:val="0"/>
            <w:vAlign w:val="top"/>
          </w:tcPr>
          <w:p w14:paraId="028779B3">
            <w:pPr>
              <w:pStyle w:val="6"/>
            </w:pPr>
          </w:p>
        </w:tc>
      </w:tr>
      <w:tr w14:paraId="32A162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2425" w:type="dxa"/>
            <w:noWrap w:val="0"/>
            <w:vAlign w:val="top"/>
          </w:tcPr>
          <w:p w14:paraId="0A4F3935">
            <w:pPr>
              <w:spacing w:before="128" w:line="227" w:lineRule="auto"/>
              <w:ind w:left="270"/>
              <w:rPr>
                <w:rFonts w:ascii="宋体" w:hAnsi="宋体" w:eastAsia="宋体" w:cs="宋体"/>
                <w:sz w:val="23"/>
                <w:szCs w:val="23"/>
              </w:rPr>
            </w:pPr>
            <w:r>
              <w:rPr>
                <w:rFonts w:ascii="宋体" w:hAnsi="宋体" w:eastAsia="宋体" w:cs="宋体"/>
                <w:spacing w:val="7"/>
                <w:sz w:val="23"/>
                <w:szCs w:val="23"/>
              </w:rPr>
              <w:t>归属最小单元网格</w:t>
            </w:r>
          </w:p>
        </w:tc>
        <w:tc>
          <w:tcPr>
            <w:tcW w:w="6005" w:type="dxa"/>
            <w:gridSpan w:val="3"/>
            <w:noWrap w:val="0"/>
            <w:vAlign w:val="top"/>
          </w:tcPr>
          <w:p w14:paraId="3FD84812">
            <w:pPr>
              <w:pStyle w:val="6"/>
            </w:pPr>
          </w:p>
        </w:tc>
      </w:tr>
      <w:tr w14:paraId="2B0A3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4" w:hRule="atLeast"/>
        </w:trPr>
        <w:tc>
          <w:tcPr>
            <w:tcW w:w="8430" w:type="dxa"/>
            <w:gridSpan w:val="4"/>
            <w:noWrap w:val="0"/>
            <w:vAlign w:val="top"/>
          </w:tcPr>
          <w:p w14:paraId="4C90C32A">
            <w:pPr>
              <w:pStyle w:val="6"/>
              <w:spacing w:line="332" w:lineRule="auto"/>
            </w:pPr>
          </w:p>
          <w:p w14:paraId="74DA7F45">
            <w:pPr>
              <w:pStyle w:val="6"/>
              <w:spacing w:line="333" w:lineRule="auto"/>
            </w:pPr>
          </w:p>
          <w:p w14:paraId="57B0C7A7">
            <w:pPr>
              <w:spacing w:before="75" w:line="227" w:lineRule="auto"/>
              <w:ind w:left="148"/>
              <w:rPr>
                <w:rFonts w:ascii="宋体" w:hAnsi="宋体" w:eastAsia="宋体" w:cs="宋体"/>
                <w:sz w:val="23"/>
                <w:szCs w:val="23"/>
              </w:rPr>
            </w:pPr>
            <w:r>
              <w:rPr>
                <w:rFonts w:ascii="宋体" w:hAnsi="宋体" w:eastAsia="宋体" w:cs="宋体"/>
                <w:b/>
                <w:bCs/>
                <w:spacing w:val="-6"/>
                <w:sz w:val="23"/>
                <w:szCs w:val="23"/>
              </w:rPr>
              <w:t>申请人承诺：</w:t>
            </w:r>
          </w:p>
          <w:p w14:paraId="2274FB42">
            <w:pPr>
              <w:spacing w:before="30" w:line="250" w:lineRule="auto"/>
              <w:ind w:left="116" w:right="157" w:firstLine="498"/>
              <w:rPr>
                <w:rFonts w:ascii="宋体" w:hAnsi="宋体" w:eastAsia="宋体" w:cs="宋体"/>
                <w:sz w:val="23"/>
                <w:szCs w:val="23"/>
              </w:rPr>
            </w:pPr>
            <w:r>
              <w:rPr>
                <w:rFonts w:ascii="宋体" w:hAnsi="宋体" w:eastAsia="宋体" w:cs="宋体"/>
                <w:spacing w:val="9"/>
                <w:sz w:val="23"/>
                <w:szCs w:val="23"/>
              </w:rPr>
              <w:t>1.以上信息经申请人核对，确认无误。申请人所提交的信息</w:t>
            </w:r>
            <w:r>
              <w:rPr>
                <w:rFonts w:ascii="宋体" w:hAnsi="宋体" w:eastAsia="宋体" w:cs="宋体"/>
                <w:spacing w:val="8"/>
                <w:sz w:val="23"/>
                <w:szCs w:val="23"/>
              </w:rPr>
              <w:t>以及文件、证</w:t>
            </w:r>
            <w:r>
              <w:rPr>
                <w:rFonts w:ascii="宋体" w:hAnsi="宋体" w:eastAsia="宋体" w:cs="宋体"/>
                <w:spacing w:val="10"/>
                <w:sz w:val="23"/>
                <w:szCs w:val="23"/>
              </w:rPr>
              <w:t>件、有关材料全部真实有效，复印件与原件一致。如申</w:t>
            </w:r>
            <w:r>
              <w:rPr>
                <w:rFonts w:ascii="宋体" w:hAnsi="宋体" w:eastAsia="宋体" w:cs="宋体"/>
                <w:spacing w:val="9"/>
                <w:sz w:val="23"/>
                <w:szCs w:val="23"/>
              </w:rPr>
              <w:t>请人在申请过程中存在</w:t>
            </w:r>
            <w:r>
              <w:rPr>
                <w:rFonts w:ascii="宋体" w:hAnsi="宋体" w:eastAsia="宋体" w:cs="宋体"/>
                <w:spacing w:val="8"/>
                <w:sz w:val="23"/>
                <w:szCs w:val="23"/>
              </w:rPr>
              <w:t>弄虚作假、欺骗等行为的，申请人愿意承担由此引</w:t>
            </w:r>
            <w:r>
              <w:rPr>
                <w:rFonts w:ascii="宋体" w:hAnsi="宋体" w:eastAsia="宋体" w:cs="宋体"/>
                <w:spacing w:val="7"/>
                <w:sz w:val="23"/>
                <w:szCs w:val="23"/>
              </w:rPr>
              <w:t>起的一切法律责任；</w:t>
            </w:r>
          </w:p>
          <w:p w14:paraId="21120D0D">
            <w:pPr>
              <w:spacing w:before="1" w:line="250" w:lineRule="auto"/>
              <w:ind w:left="136" w:right="157" w:firstLine="463"/>
              <w:rPr>
                <w:rFonts w:ascii="宋体" w:hAnsi="宋体" w:eastAsia="宋体" w:cs="宋体"/>
                <w:sz w:val="23"/>
                <w:szCs w:val="23"/>
              </w:rPr>
            </w:pPr>
            <w:r>
              <w:rPr>
                <w:rFonts w:ascii="宋体" w:hAnsi="宋体" w:eastAsia="宋体" w:cs="宋体"/>
                <w:spacing w:val="9"/>
                <w:sz w:val="23"/>
                <w:szCs w:val="23"/>
              </w:rPr>
              <w:t>2.申请人所提交的信息确保与到号办理时提交的办证信息一致，若不一致</w:t>
            </w:r>
            <w:r>
              <w:rPr>
                <w:rFonts w:ascii="宋体" w:hAnsi="宋体" w:eastAsia="宋体" w:cs="宋体"/>
                <w:spacing w:val="1"/>
                <w:sz w:val="23"/>
                <w:szCs w:val="23"/>
              </w:rPr>
              <w:t>的，取消集中摇号结果；</w:t>
            </w:r>
          </w:p>
          <w:p w14:paraId="5E30A88F">
            <w:pPr>
              <w:spacing w:before="4" w:line="250" w:lineRule="auto"/>
              <w:ind w:left="115" w:right="157" w:firstLine="486"/>
              <w:rPr>
                <w:rFonts w:ascii="宋体" w:hAnsi="宋体" w:eastAsia="宋体" w:cs="宋体"/>
                <w:sz w:val="23"/>
                <w:szCs w:val="23"/>
              </w:rPr>
            </w:pPr>
            <w:r>
              <w:rPr>
                <w:rFonts w:ascii="宋体" w:hAnsi="宋体" w:eastAsia="宋体" w:cs="宋体"/>
                <w:spacing w:val="9"/>
                <w:sz w:val="23"/>
                <w:szCs w:val="23"/>
              </w:rPr>
              <w:t>3.申请人应当在接到预审核通过通知之日起三日内提交办证申请材料，逾</w:t>
            </w:r>
            <w:r>
              <w:rPr>
                <w:rFonts w:ascii="宋体" w:hAnsi="宋体" w:eastAsia="宋体" w:cs="宋体"/>
                <w:spacing w:val="10"/>
                <w:sz w:val="23"/>
                <w:szCs w:val="23"/>
              </w:rPr>
              <w:t>期未提交的，视同申请人自愿放弃本次集中摇号；因申请</w:t>
            </w:r>
            <w:r>
              <w:rPr>
                <w:rFonts w:ascii="宋体" w:hAnsi="宋体" w:eastAsia="宋体" w:cs="宋体"/>
                <w:spacing w:val="9"/>
                <w:sz w:val="23"/>
                <w:szCs w:val="23"/>
              </w:rPr>
              <w:t>人填报地址、联系方</w:t>
            </w:r>
            <w:r>
              <w:rPr>
                <w:rFonts w:ascii="宋体" w:hAnsi="宋体" w:eastAsia="宋体" w:cs="宋体"/>
                <w:spacing w:val="10"/>
                <w:sz w:val="23"/>
                <w:szCs w:val="23"/>
              </w:rPr>
              <w:t>式等不正确，导致发证机关在三个工作日内无法与申请人</w:t>
            </w:r>
            <w:r>
              <w:rPr>
                <w:rFonts w:ascii="宋体" w:hAnsi="宋体" w:eastAsia="宋体" w:cs="宋体"/>
                <w:spacing w:val="9"/>
                <w:sz w:val="23"/>
                <w:szCs w:val="23"/>
              </w:rPr>
              <w:t>取得联系的，视同申</w:t>
            </w:r>
            <w:r>
              <w:rPr>
                <w:rFonts w:ascii="宋体" w:hAnsi="宋体" w:eastAsia="宋体" w:cs="宋体"/>
                <w:spacing w:val="6"/>
                <w:sz w:val="23"/>
                <w:szCs w:val="23"/>
              </w:rPr>
              <w:t>请人自愿放弃本次集中摇号。</w:t>
            </w:r>
          </w:p>
          <w:p w14:paraId="293D365E">
            <w:pPr>
              <w:spacing w:before="308" w:line="227" w:lineRule="auto"/>
              <w:ind w:firstLine="3132" w:firstLineChars="1300"/>
              <w:rPr>
                <w:rFonts w:ascii="宋体" w:hAnsi="宋体" w:eastAsia="宋体" w:cs="宋体"/>
                <w:sz w:val="23"/>
                <w:szCs w:val="23"/>
              </w:rPr>
            </w:pPr>
            <w:r>
              <w:rPr>
                <w:rFonts w:ascii="宋体" w:hAnsi="宋体" w:eastAsia="宋体" w:cs="宋体"/>
                <w:b/>
                <w:bCs/>
                <w:spacing w:val="5"/>
                <w:sz w:val="23"/>
                <w:szCs w:val="23"/>
              </w:rPr>
              <w:t>申请人或代理人（签名或印章</w:t>
            </w:r>
            <w:r>
              <w:rPr>
                <w:rFonts w:ascii="宋体" w:hAnsi="宋体" w:eastAsia="宋体" w:cs="宋体"/>
                <w:b/>
                <w:bCs/>
                <w:spacing w:val="-64"/>
                <w:sz w:val="23"/>
                <w:szCs w:val="23"/>
              </w:rPr>
              <w:t>）</w:t>
            </w:r>
            <w:r>
              <w:rPr>
                <w:rFonts w:hint="eastAsia" w:ascii="宋体" w:hAnsi="宋体" w:cs="宋体"/>
                <w:b/>
                <w:bCs/>
                <w:spacing w:val="-64"/>
                <w:sz w:val="23"/>
                <w:szCs w:val="23"/>
                <w:lang w:val="en-US" w:eastAsia="zh-CN"/>
              </w:rPr>
              <w:t xml:space="preserve"> </w:t>
            </w:r>
            <w:r>
              <w:rPr>
                <w:rFonts w:ascii="宋体" w:hAnsi="宋体" w:eastAsia="宋体" w:cs="宋体"/>
                <w:b/>
                <w:bCs/>
                <w:spacing w:val="-64"/>
                <w:sz w:val="23"/>
                <w:szCs w:val="23"/>
              </w:rPr>
              <w:t>：</w:t>
            </w:r>
            <w:r>
              <w:rPr>
                <w:rFonts w:ascii="宋体" w:hAnsi="宋体" w:eastAsia="宋体" w:cs="宋体"/>
                <w:spacing w:val="-88"/>
                <w:sz w:val="23"/>
                <w:szCs w:val="23"/>
              </w:rPr>
              <w:t xml:space="preserve"> </w:t>
            </w:r>
            <w:r>
              <w:rPr>
                <w:rFonts w:ascii="宋体" w:hAnsi="宋体" w:eastAsia="宋体" w:cs="宋体"/>
                <w:sz w:val="23"/>
                <w:szCs w:val="23"/>
                <w:u w:val="single" w:color="auto"/>
              </w:rPr>
              <w:t xml:space="preserve">     </w:t>
            </w:r>
            <w:r>
              <w:rPr>
                <w:rFonts w:hint="eastAsia" w:ascii="宋体" w:hAnsi="宋体" w:cs="宋体"/>
                <w:sz w:val="23"/>
                <w:szCs w:val="23"/>
                <w:u w:val="single" w:color="auto"/>
                <w:lang w:val="en-US" w:eastAsia="zh-CN"/>
              </w:rPr>
              <w:t xml:space="preserve">    </w:t>
            </w:r>
            <w:r>
              <w:rPr>
                <w:rFonts w:ascii="宋体" w:hAnsi="宋体" w:eastAsia="宋体" w:cs="宋体"/>
                <w:sz w:val="23"/>
                <w:szCs w:val="23"/>
                <w:u w:val="single" w:color="auto"/>
              </w:rPr>
              <w:t xml:space="preserve">    </w:t>
            </w:r>
          </w:p>
        </w:tc>
      </w:tr>
    </w:tbl>
    <w:p w14:paraId="55C28917"/>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9E9B3"/>
    <w:multiLevelType w:val="multilevel"/>
    <w:tmpl w:val="8BB9E9B3"/>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FB9AA22"/>
    <w:rsid w:val="045F2411"/>
    <w:rsid w:val="113E55BE"/>
    <w:rsid w:val="3C2446CA"/>
    <w:rsid w:val="3FB9AA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 w:type="table" w:customStyle="1" w:styleId="5">
    <w:name w:val="Table Normal"/>
    <w:unhideWhenUsed/>
    <w:qFormat/>
    <w:uiPriority w:val="0"/>
    <w:rPr>
      <w:lang w:val="en-US" w:eastAsia="zh-CN" w:bidi="ar-SA"/>
    </w:rPr>
    <w:tblPr>
      <w:tblCellMar>
        <w:top w:w="0" w:type="dxa"/>
        <w:left w:w="0" w:type="dxa"/>
        <w:bottom w:w="0" w:type="dxa"/>
        <w:right w:w="0" w:type="dxa"/>
      </w:tblCellMar>
    </w:tblPr>
  </w:style>
  <w:style w:type="paragraph" w:customStyle="1" w:styleId="6">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3130</Words>
  <Characters>3147</Characters>
  <Lines>0</Lines>
  <Paragraphs>0</Paragraphs>
  <TotalTime>0</TotalTime>
  <ScaleCrop>false</ScaleCrop>
  <LinksUpToDate>false</LinksUpToDate>
  <CharactersWithSpaces>3263</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2026-09-16T14:40:00Z</dcterms:created>
  <dc:creator>猫小冉</dc:creator>
  <cp:lastModifiedBy>高鸿堃</cp:lastModifiedBy>
  <dcterms:modified xsi:type="dcterms:W3CDTF">2026-09-20T05:18:31Z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35A543572B9841F7B8333A2A166A3FAA_13</vt:lpwstr>
  </property>
  <property fmtid="{D5CDD505-2E9C-101B-9397-08002B2CF9AE}" pid="4" name="KSOTemplateDocerSaveRecord">
    <vt:lpwstr>eyJoZGlkIjoiYjUxMTA2MzY3MTdiNDU1Mjg5YWJhOTA3ZjVkNDVmNzMiLCJ1c2VySWQiOiIxNjYwMjM1NTA5In0=</vt:lpwstr>
  </property>
</Properties>
</file>