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7E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52"/>
        </w:rPr>
      </w:pPr>
      <w:r>
        <w:rPr>
          <w:rFonts w:hint="default" w:ascii="Times New Roman" w:hAnsi="Times New Roman" w:eastAsia="方正小标宋简体" w:cs="Times New Roman"/>
          <w:sz w:val="44"/>
          <w:szCs w:val="52"/>
        </w:rPr>
        <w:t>抢抓AI发展机遇 培育产业新动能</w:t>
      </w:r>
    </w:p>
    <w:p w14:paraId="64BBB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方正小标宋简体" w:cs="Times New Roman"/>
          <w:sz w:val="44"/>
          <w:szCs w:val="52"/>
        </w:rPr>
        <w:t>《官渡区关于支持人工智能创新发展的若干政策》政策解读</w:t>
      </w:r>
    </w:p>
    <w:p w14:paraId="31C9D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1E14C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为深入贯彻落实《国务院关于深入实施 “人工智能 +” 行动的意见》以及省、市关于人工智能产业发展工作部署，推动人工智能技术创新与产业场景落地，官渡区出台《关于支持人工智能创新发展的若干政策》（以下简称《政策》），围绕产业生态、人才引育、创业扶持、场景开放等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8个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方面推出系列支持举措，助力全区人工智能产业高质量发展。</w:t>
      </w:r>
    </w:p>
    <w:p w14:paraId="57F8D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</w:rPr>
        <w:t>一、政策出台背景</w:t>
      </w:r>
    </w:p>
    <w:p w14:paraId="01961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当前人工智能作为新质生产力重要组成部分，正在加速赋能千行百业。为充分发挥官渡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产业基础、政策叠加、区位交通等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优势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补齐产业发展短板，吸引人工智能企业、项目、人才集聚，构建区域人工智能产业生态，结合官渡区产业实际，制定本专项支持政策。</w:t>
      </w:r>
    </w:p>
    <w:p w14:paraId="1C8CD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黑体" w:cs="Times New Roman"/>
          <w:sz w:val="32"/>
          <w:szCs w:val="40"/>
        </w:rPr>
        <w:t>二、政策内容解读</w:t>
      </w:r>
    </w:p>
    <w:p w14:paraId="2FD99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楷体_GB2312" w:cs="Times New Roman"/>
          <w:sz w:val="32"/>
          <w:szCs w:val="40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整合科研院校、算力服务商、数据服务商、AI应用企业等多方力量，组建官渡AIGD产业联盟，构建产业生态。</w:t>
      </w:r>
    </w:p>
    <w:p w14:paraId="2774B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1.算力与模型资源共享：依托联盟提供大模型折扣、免费测试额度、词元调用优惠；对大规模采购算力的企业，提供优先接入、定制化需求、专属技术支撑等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保障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2.开展AI能力培训：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面向区内企业定期开展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技能实践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培训，推动人工智能技术在各行业普及落地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3.创新金融融资模式：搭建银企对接平台，创新“算力贷”“Token贷”，将算力消耗、模型调用等新型经营数据纳入授信评价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4.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联盟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长效运行机制</w:t>
      </w:r>
      <w:r>
        <w:rPr>
          <w:rFonts w:hint="default" w:ascii="Times New Roman" w:hAnsi="Times New Roman" w:eastAsia="仿宋_GB2312" w:cs="Times New Roman"/>
          <w:sz w:val="32"/>
          <w:szCs w:val="40"/>
        </w:rPr>
        <w:t>：常态化招募产业链上下游企业，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持续扩大人才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资金等要素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资源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池</w:t>
      </w:r>
      <w:r>
        <w:rPr>
          <w:rFonts w:hint="default" w:ascii="Times New Roman" w:hAnsi="Times New Roman" w:eastAsia="仿宋_GB2312" w:cs="Times New Roman"/>
          <w:sz w:val="32"/>
          <w:szCs w:val="40"/>
        </w:rPr>
        <w:t>，形成良性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发展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循环。</w:t>
      </w:r>
    </w:p>
    <w:p w14:paraId="7238F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高端人才与技能人才</w:t>
      </w:r>
      <w:r>
        <w:rPr>
          <w:rFonts w:hint="eastAsia" w:ascii="Times New Roman" w:hAnsi="Times New Roman" w:eastAsia="仿宋_GB2312" w:cs="Times New Roman"/>
          <w:sz w:val="32"/>
          <w:szCs w:val="40"/>
        </w:rPr>
        <w:t>引育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并举</w:t>
      </w:r>
      <w:r>
        <w:rPr>
          <w:rFonts w:hint="eastAsia" w:ascii="Times New Roman" w:hAnsi="Times New Roman" w:eastAsia="仿宋_GB2312" w:cs="Times New Roman"/>
          <w:sz w:val="32"/>
          <w:szCs w:val="40"/>
        </w:rPr>
        <w:t>，夯实产业人才底座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67B35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1.创新人才评价机制：推行企业人才自主评价，打破唯学历、唯年龄、唯资历限制，支持从业人员参与职称评审，择优推荐申报 “兴滇英才支持计划” 等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2.培育技能实用人才：鼓励企业联合高校、职业院校共建人才培养基地，开展订单式人才培养；落实培训补贴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政策</w:t>
      </w:r>
      <w:r>
        <w:rPr>
          <w:rFonts w:hint="default" w:ascii="Times New Roman" w:hAnsi="Times New Roman" w:eastAsia="仿宋_GB2312" w:cs="Times New Roman"/>
          <w:sz w:val="32"/>
          <w:szCs w:val="40"/>
        </w:rPr>
        <w:t>，最高可享1700元创业培训补贴、3380元技能培训补贴。</w:t>
      </w:r>
    </w:p>
    <w:p w14:paraId="270E0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楷体_GB2312" w:cs="Times New Roman"/>
          <w:sz w:val="32"/>
          <w:szCs w:val="40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从载体、奖励、投融资多维度给予扶持，培育“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AI-</w:t>
      </w:r>
      <w:r>
        <w:rPr>
          <w:rFonts w:hint="default" w:ascii="Times New Roman" w:hAnsi="Times New Roman" w:eastAsia="仿宋_GB2312" w:cs="Times New Roman"/>
          <w:sz w:val="32"/>
          <w:szCs w:val="40"/>
        </w:rPr>
        <w:t>OPC”在内的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行业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主体。</w:t>
      </w:r>
    </w:p>
    <w:p w14:paraId="2FF82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1.建设创业生态社区：依托螺蛳湾数据产业园、AM青年社区打造人工智能创业生态社区，提供办公场地、技术指导、市场推广、合规支持一站式服务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2.以赛代评奖励优质项目：借助区级创新创业大赛，遴选人工智能优质创业项目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并给予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奖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补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3.搭建投融资对接渠道：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定期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举办AI创业项目专场路演，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引导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区级产业基金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与社会资本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优先投向优质AI项目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拓宽融资渠道。</w:t>
      </w:r>
    </w:p>
    <w:p w14:paraId="2ED81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（四）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建立区级场景机会清单、场景能力清单发布制度，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定期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征集发布场景需求与解决方案供给清单，组织供需对接，推动项目落地，择优向上推荐申报示范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试点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。</w:t>
      </w:r>
    </w:p>
    <w:p w14:paraId="59DF2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楷体_GB2312" w:hAnsi="楷体_GB2312" w:eastAsia="楷体_GB2312" w:cs="楷体_GB2312"/>
          <w:sz w:val="32"/>
          <w:szCs w:val="40"/>
        </w:rPr>
        <w:t>（五）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立足官渡区商贸资源优势，推动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40"/>
        </w:rPr>
        <w:t>AI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+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消费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场景深度融合。</w:t>
      </w:r>
    </w:p>
    <w:p w14:paraId="4906D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1.打造AI消费体验空间：依托螺蛳湾国际商贸城、京东MALL等商业载体，支持企业设立AI体验中心、快闪店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2.创新智慧消费模式：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支持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智能导购、虚拟试衣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消费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场景落地</w:t>
      </w:r>
      <w:r>
        <w:rPr>
          <w:rFonts w:hint="default" w:ascii="Times New Roman" w:hAnsi="Times New Roman" w:eastAsia="仿宋_GB2312" w:cs="Times New Roman"/>
          <w:sz w:val="32"/>
          <w:szCs w:val="40"/>
        </w:rPr>
        <w:t>，推广智能终端、AI机器人等智能产品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3.争取上级资金支持：择优推荐申报国家、省、市级“人工智能+消费”标杆场景。</w:t>
      </w:r>
    </w:p>
    <w:p w14:paraId="0E59A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</w:rPr>
        <w:t>（六）</w:t>
      </w:r>
      <w:r>
        <w:rPr>
          <w:rFonts w:hint="eastAsia" w:ascii="Times New Roman" w:hAnsi="Times New Roman" w:eastAsia="仿宋_GB2312" w:cs="Times New Roman"/>
          <w:sz w:val="32"/>
          <w:szCs w:val="40"/>
        </w:rPr>
        <w:t>发挥区位优势，深化南亚东南亚跨境合作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。</w:t>
      </w:r>
    </w:p>
    <w:p w14:paraId="7BF7B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定期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组织面向南亚东南亚的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AI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技术推广、交流活动，促进技术、市场、项目跨境对接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40"/>
        </w:rPr>
        <w:t>2.依托自贸试验区制度优势，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积极争取省级支持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，加快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数据跨境在官渡先行先试。</w:t>
      </w:r>
    </w:p>
    <w:p w14:paraId="1533A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楷体_GB2312" w:hAnsi="楷体_GB2312" w:eastAsia="楷体_GB2312" w:cs="楷体_GB2312"/>
          <w:sz w:val="32"/>
          <w:szCs w:val="40"/>
        </w:rPr>
        <w:t>（七）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鼓励技术创新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模型研发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支持企业开展行业垂直大模型、轻量化小模型研发；对完成国家算法备案、大模型备案的项目，优先推荐申报省级科技计划；鼓励企业科研机构依托云南人工智能科研平台（YUNNAN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40"/>
        </w:rPr>
        <w:t xml:space="preserve"> AI4S）共建数据集和行业模型。</w:t>
      </w:r>
    </w:p>
    <w:p w14:paraId="00A53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楷体_GB2312" w:hAnsi="楷体_GB2312" w:eastAsia="楷体_GB2312" w:cs="楷体_GB2312"/>
          <w:sz w:val="32"/>
          <w:szCs w:val="40"/>
        </w:rPr>
        <w:t>（八）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加强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政府采购引导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支持符合条件的人工智能产品、服务参与政府采购，落实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采购创新政策</w:t>
      </w:r>
      <w:r>
        <w:rPr>
          <w:rFonts w:hint="default" w:ascii="Times New Roman" w:hAnsi="Times New Roman" w:eastAsia="仿宋_GB2312" w:cs="Times New Roman"/>
          <w:sz w:val="32"/>
          <w:szCs w:val="40"/>
        </w:rPr>
        <w:t>，引导人工智能产品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、服务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40"/>
        </w:rPr>
        <w:t>推广应用。</w:t>
      </w:r>
    </w:p>
    <w:p w14:paraId="1ADC6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eastAsia" w:ascii="Times New Roman" w:hAnsi="Times New Roman" w:eastAsia="仿宋_GB2312" w:cs="Times New Roman"/>
          <w:sz w:val="32"/>
          <w:szCs w:val="40"/>
        </w:rPr>
        <w:t>下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sz w:val="32"/>
          <w:szCs w:val="40"/>
        </w:rPr>
        <w:t>步</w:t>
      </w:r>
      <w:r>
        <w:rPr>
          <w:rFonts w:hint="eastAsia" w:ascii="Times New Roman" w:hAnsi="Times New Roman" w:eastAsia="仿宋_GB2312" w:cs="Times New Roman"/>
          <w:sz w:val="32"/>
          <w:szCs w:val="40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官渡区将做好政策宣传落地，发挥政策引导撬动作用，集聚算力、人才、资本、场景各类要素，加快人工智能产业培育，赋能区域经济高质量发展。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47AE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5991AA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5991AA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01946"/>
    <w:rsid w:val="05803176"/>
    <w:rsid w:val="06A01946"/>
    <w:rsid w:val="0CAB591D"/>
    <w:rsid w:val="12220ACC"/>
    <w:rsid w:val="21E83AE3"/>
    <w:rsid w:val="7D9F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1525</Words>
  <Characters>1585</Characters>
  <Lines>0</Lines>
  <Paragraphs>0</Paragraphs>
  <TotalTime>0</TotalTime>
  <ScaleCrop>false</ScaleCrop>
  <LinksUpToDate>false</LinksUpToDate>
  <CharactersWithSpaces>1593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2026-09-03T02:03:00Z</dcterms:created>
  <dc:creator>endless</dc:creator>
  <cp:lastModifiedBy>kmxxg</cp:lastModifiedBy>
  <dcterms:modified xsi:type="dcterms:W3CDTF">2026-10-20T09:03:53Z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F191597FFF2741278F3A181472B91F68_11</vt:lpwstr>
  </property>
  <property fmtid="{D5CDD505-2E9C-101B-9397-08002B2CF9AE}" pid="4" name="KSOTemplateDocerSaveRecord">
    <vt:lpwstr>eyJoZGlkIjoiZmJlMTc1MTY2YjExMjY3NThkOTBjNjE4MjMxMjcxNmQifQ==</vt:lpwstr>
  </property>
</Properties>
</file>