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BB27BA">
      <w:pPr>
        <w:keepNext w:val="0"/>
        <w:keepLines w:val="0"/>
        <w:pageBreakBefore w:val="0"/>
        <w:widowControl w:val="0"/>
        <w:wordWrap/>
        <w:topLinePunct w:val="0"/>
        <w:bidi w:val="0"/>
        <w:spacing w:line="480" w:lineRule="exact"/>
        <w:rPr>
          <w:rFonts w:hint="default" w:ascii="Times New Roman" w:hAnsi="Times New Roman" w:cs="Times New Roman"/>
          <w:sz w:val="44"/>
          <w:szCs w:val="44"/>
        </w:rPr>
      </w:pPr>
      <w:r>
        <w:rPr>
          <w:rFonts w:hint="default" w:ascii="Times New Roman" w:hAnsi="Times New Roman" w:cs="Times New Roman"/>
          <w:sz w:val="44"/>
          <w:szCs w:val="44"/>
        </w:rPr>
        <mc:AlternateContent>
          <mc:Choice Requires="wps">
            <w:drawing>
              <wp:anchor distT="0" distB="0" distL="114300" distR="114300" simplePos="0" relativeHeight="251660288" behindDoc="0" locked="0" layoutInCell="1" allowOverlap="1">
                <wp:simplePos x="0" y="0"/>
                <wp:positionH relativeFrom="column">
                  <wp:posOffset>3657600</wp:posOffset>
                </wp:positionH>
                <wp:positionV relativeFrom="paragraph">
                  <wp:posOffset>320040</wp:posOffset>
                </wp:positionV>
                <wp:extent cx="2120265" cy="717550"/>
                <wp:effectExtent l="0" t="0" r="13335" b="6350"/>
                <wp:wrapNone/>
                <wp:docPr id="2" name="文本框 3"/>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5D757586">
                            <w:pPr>
                              <w:rPr>
                                <w:rFonts w:hint="eastAsia"/>
                                <w:spacing w:val="-7"/>
                                <w:sz w:val="36"/>
                                <w:szCs w:val="36"/>
                              </w:rPr>
                            </w:pPr>
                            <w:r>
                              <w:rPr>
                                <w:spacing w:val="-7"/>
                                <w:sz w:val="36"/>
                                <w:szCs w:val="36"/>
                              </w:rPr>
                              <w:t>BSZN-</w:t>
                            </w:r>
                            <w:r>
                              <w:t xml:space="preserve"> </w:t>
                            </w:r>
                            <w:r>
                              <w:rPr>
                                <w:spacing w:val="-7"/>
                                <w:sz w:val="36"/>
                                <w:szCs w:val="36"/>
                              </w:rPr>
                              <w:t>1100</w:t>
                            </w:r>
                            <w:r>
                              <w:rPr>
                                <w:rFonts w:hint="eastAsia"/>
                                <w:spacing w:val="-7"/>
                                <w:sz w:val="36"/>
                                <w:szCs w:val="36"/>
                              </w:rPr>
                              <w:t>3980</w:t>
                            </w:r>
                            <w:r>
                              <w:rPr>
                                <w:spacing w:val="-7"/>
                                <w:sz w:val="36"/>
                                <w:szCs w:val="36"/>
                              </w:rPr>
                              <w:t>00</w:t>
                            </w:r>
                          </w:p>
                          <w:p w14:paraId="6B3536B1">
                            <w:pPr>
                              <w:rPr>
                                <w:rFonts w:hint="eastAsia" w:ascii="黑体" w:eastAsia="黑体"/>
                                <w:color w:val="FF0000"/>
                                <w:spacing w:val="-6"/>
                                <w:szCs w:val="21"/>
                              </w:rPr>
                            </w:pPr>
                          </w:p>
                        </w:txbxContent>
                      </wps:txbx>
                      <wps:bodyPr wrap="square" upright="1"/>
                    </wps:wsp>
                  </a:graphicData>
                </a:graphic>
              </wp:anchor>
            </w:drawing>
          </mc:Choice>
          <mc:Fallback>
            <w:pict>
              <v:shape id="文本框 3" o:spid="_x0000_s1026" o:spt="202" type="#_x0000_t202" style="position:absolute;left:0pt;margin-left:288pt;margin-top:25.2pt;height:56.5pt;width:166.95pt;z-index:251660288;mso-width-relative:page;mso-height-relative:page;" fillcolor="#FFFFFF" filled="t" stroked="f" coordsize="21600,21600" o:gfxdata="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dqQza2AAAAAoBAAAPAAAAAAAAAAEAIAAAACIAAABk&#10;cnMvZG93bnJldi54bWxQSwECFAAUAAAACACHTuJAvmSZls0BAACFAwAADgAAAAAAAAABACAAAAAn&#10;AQAAZHJzL2Uyb0RvYy54bWxQSwUGAAAAAAYABgBZAQAAZgUAAAAA&#10;">
                <v:fill on="t" focussize="0,0"/>
                <v:stroke on="f"/>
                <v:imagedata o:title=""/>
                <o:lock v:ext="edit" aspectratio="f"/>
                <v:textbox>
                  <w:txbxContent>
                    <w:p w14:paraId="5D757586">
                      <w:pPr>
                        <w:rPr>
                          <w:rFonts w:hint="eastAsia"/>
                          <w:spacing w:val="-7"/>
                          <w:sz w:val="36"/>
                          <w:szCs w:val="36"/>
                        </w:rPr>
                      </w:pPr>
                      <w:r>
                        <w:rPr>
                          <w:spacing w:val="-7"/>
                          <w:sz w:val="36"/>
                          <w:szCs w:val="36"/>
                        </w:rPr>
                        <w:t>BSZN-</w:t>
                      </w:r>
                      <w:r>
                        <w:t xml:space="preserve"> </w:t>
                      </w:r>
                      <w:r>
                        <w:rPr>
                          <w:spacing w:val="-7"/>
                          <w:sz w:val="36"/>
                          <w:szCs w:val="36"/>
                        </w:rPr>
                        <w:t>1100</w:t>
                      </w:r>
                      <w:r>
                        <w:rPr>
                          <w:rFonts w:hint="eastAsia"/>
                          <w:spacing w:val="-7"/>
                          <w:sz w:val="36"/>
                          <w:szCs w:val="36"/>
                        </w:rPr>
                        <w:t>3980</w:t>
                      </w:r>
                      <w:r>
                        <w:rPr>
                          <w:spacing w:val="-7"/>
                          <w:sz w:val="36"/>
                          <w:szCs w:val="36"/>
                        </w:rPr>
                        <w:t>00</w:t>
                      </w:r>
                    </w:p>
                    <w:p w14:paraId="6B3536B1">
                      <w:pPr>
                        <w:rPr>
                          <w:rFonts w:hint="eastAsia" w:ascii="黑体" w:eastAsia="黑体"/>
                          <w:color w:val="FF0000"/>
                          <w:spacing w:val="-6"/>
                          <w:szCs w:val="21"/>
                        </w:rPr>
                      </w:pPr>
                    </w:p>
                  </w:txbxContent>
                </v:textbox>
              </v:shape>
            </w:pict>
          </mc:Fallback>
        </mc:AlternateContent>
      </w:r>
      <w:r>
        <w:rPr>
          <w:rFonts w:hint="default" w:ascii="Times New Roman" w:hAnsi="Times New Roman" w:cs="Times New Roman"/>
          <w:sz w:val="44"/>
          <w:szCs w:val="44"/>
        </w:rPr>
        <w:pict>
          <v:shape id="艺术字 558" o:spid="_x0000_s1027" o:spt="136" type="#_x0000_t136" style="position:absolute;left:0pt;margin-left:-0.65pt;margin-top:0.7pt;height:42.5pt;width:127.55pt;z-index:251661312;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14:paraId="24071143">
      <w:pPr>
        <w:keepNext w:val="0"/>
        <w:keepLines w:val="0"/>
        <w:pageBreakBefore w:val="0"/>
        <w:widowControl w:val="0"/>
        <w:wordWrap/>
        <w:topLinePunct w:val="0"/>
        <w:bidi w:val="0"/>
        <w:spacing w:line="480" w:lineRule="exact"/>
        <w:rPr>
          <w:rFonts w:hint="default" w:ascii="Times New Roman" w:hAnsi="Times New Roman" w:cs="Times New Roman"/>
          <w:sz w:val="44"/>
          <w:szCs w:val="44"/>
        </w:rPr>
      </w:pPr>
    </w:p>
    <w:p w14:paraId="76F1AB2A">
      <w:pPr>
        <w:keepNext w:val="0"/>
        <w:keepLines w:val="0"/>
        <w:pageBreakBefore w:val="0"/>
        <w:widowControl w:val="0"/>
        <w:wordWrap/>
        <w:topLinePunct w:val="0"/>
        <w:bidi w:val="0"/>
        <w:spacing w:line="480" w:lineRule="exact"/>
        <w:rPr>
          <w:rFonts w:hint="default" w:ascii="Times New Roman" w:hAnsi="Times New Roman" w:cs="Times New Roman"/>
          <w:sz w:val="44"/>
          <w:szCs w:val="44"/>
        </w:rPr>
      </w:pPr>
    </w:p>
    <w:p w14:paraId="738326FC">
      <w:pPr>
        <w:keepNext w:val="0"/>
        <w:keepLines w:val="0"/>
        <w:pageBreakBefore w:val="0"/>
        <w:widowControl w:val="0"/>
        <w:wordWrap/>
        <w:topLinePunct w:val="0"/>
        <w:bidi w:val="0"/>
        <w:spacing w:line="480" w:lineRule="exact"/>
        <w:rPr>
          <w:rFonts w:hint="default" w:ascii="Times New Roman" w:hAnsi="Times New Roman" w:cs="Times New Roman"/>
          <w:sz w:val="44"/>
          <w:szCs w:val="44"/>
        </w:rPr>
      </w:pPr>
    </w:p>
    <w:p w14:paraId="47EE16C1">
      <w:pPr>
        <w:keepNext w:val="0"/>
        <w:keepLines w:val="0"/>
        <w:pageBreakBefore w:val="0"/>
        <w:widowControl w:val="0"/>
        <w:wordWrap/>
        <w:topLinePunct w:val="0"/>
        <w:bidi w:val="0"/>
        <w:spacing w:line="480" w:lineRule="exact"/>
        <w:rPr>
          <w:rFonts w:hint="default" w:ascii="Times New Roman" w:hAnsi="Times New Roman" w:cs="Times New Roman"/>
          <w:sz w:val="44"/>
          <w:szCs w:val="44"/>
        </w:rPr>
      </w:pPr>
    </w:p>
    <w:p w14:paraId="17F3D728">
      <w:pPr>
        <w:keepNext w:val="0"/>
        <w:keepLines w:val="0"/>
        <w:pageBreakBefore w:val="0"/>
        <w:widowControl w:val="0"/>
        <w:wordWrap/>
        <w:topLinePunct w:val="0"/>
        <w:bidi w:val="0"/>
        <w:spacing w:line="480" w:lineRule="exact"/>
        <w:rPr>
          <w:rFonts w:hint="default" w:ascii="Times New Roman" w:hAnsi="Times New Roman" w:cs="Times New Roman"/>
          <w:sz w:val="44"/>
          <w:szCs w:val="44"/>
        </w:rPr>
      </w:pPr>
    </w:p>
    <w:p w14:paraId="0769FBE1">
      <w:pPr>
        <w:keepNext w:val="0"/>
        <w:keepLines w:val="0"/>
        <w:pageBreakBefore w:val="0"/>
        <w:widowControl w:val="0"/>
        <w:wordWrap/>
        <w:topLinePunct w:val="0"/>
        <w:bidi w:val="0"/>
        <w:spacing w:line="480" w:lineRule="exact"/>
        <w:rPr>
          <w:rFonts w:hint="default" w:ascii="Times New Roman" w:hAnsi="Times New Roman" w:cs="Times New Roman"/>
          <w:sz w:val="44"/>
          <w:szCs w:val="44"/>
        </w:rPr>
      </w:pPr>
    </w:p>
    <w:p w14:paraId="5E29C571">
      <w:pPr>
        <w:keepNext w:val="0"/>
        <w:keepLines w:val="0"/>
        <w:pageBreakBefore w:val="0"/>
        <w:widowControl w:val="0"/>
        <w:wordWrap/>
        <w:topLinePunct w:val="0"/>
        <w:bidi w:val="0"/>
        <w:spacing w:line="480" w:lineRule="exact"/>
        <w:rPr>
          <w:rFonts w:hint="default" w:ascii="Times New Roman" w:hAnsi="Times New Roman" w:eastAsia="黑体" w:cs="Times New Roman"/>
          <w:sz w:val="32"/>
          <w:szCs w:val="32"/>
        </w:rPr>
      </w:pPr>
    </w:p>
    <w:p w14:paraId="1E7E194A">
      <w:pPr>
        <w:keepNext w:val="0"/>
        <w:keepLines w:val="0"/>
        <w:pageBreakBefore w:val="0"/>
        <w:widowControl w:val="0"/>
        <w:tabs>
          <w:tab w:val="left" w:pos="6210"/>
        </w:tabs>
        <w:wordWrap/>
        <w:topLinePunct w:val="0"/>
        <w:bidi w:val="0"/>
        <w:spacing w:line="480" w:lineRule="exact"/>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ab/>
      </w:r>
    </w:p>
    <w:p w14:paraId="5D553AAE">
      <w:pPr>
        <w:keepNext w:val="0"/>
        <w:keepLines w:val="0"/>
        <w:pageBreakBefore w:val="0"/>
        <w:widowControl w:val="0"/>
        <w:wordWrap/>
        <w:topLinePunct w:val="0"/>
        <w:bidi w:val="0"/>
        <w:spacing w:line="480" w:lineRule="exact"/>
        <w:jc w:val="center"/>
        <w:rPr>
          <w:rFonts w:hint="default" w:ascii="Times New Roman" w:hAnsi="Times New Roman" w:eastAsia="黑体" w:cs="Times New Roman"/>
          <w:sz w:val="32"/>
          <w:szCs w:val="32"/>
        </w:rPr>
      </w:pPr>
    </w:p>
    <w:p w14:paraId="435E3DF9">
      <w:pPr>
        <w:keepNext w:val="0"/>
        <w:keepLines w:val="0"/>
        <w:pageBreakBefore w:val="0"/>
        <w:widowControl w:val="0"/>
        <w:wordWrap/>
        <w:topLinePunct w:val="0"/>
        <w:bidi w:val="0"/>
        <w:spacing w:line="480" w:lineRule="exact"/>
        <w:jc w:val="center"/>
        <w:rPr>
          <w:rFonts w:hint="default" w:ascii="Times New Roman" w:hAnsi="Times New Roman" w:eastAsia="黑体" w:cs="Times New Roman"/>
          <w:sz w:val="32"/>
          <w:szCs w:val="32"/>
        </w:rPr>
      </w:pPr>
    </w:p>
    <w:p w14:paraId="11DB332C">
      <w:pPr>
        <w:keepNext w:val="0"/>
        <w:keepLines w:val="0"/>
        <w:pageBreakBefore w:val="0"/>
        <w:widowControl w:val="0"/>
        <w:wordWrap/>
        <w:topLinePunct w:val="0"/>
        <w:bidi w:val="0"/>
        <w:spacing w:line="480" w:lineRule="exact"/>
        <w:jc w:val="center"/>
        <w:rPr>
          <w:rFonts w:hint="default" w:ascii="Times New Roman" w:hAnsi="Times New Roman" w:eastAsia="黑体" w:cs="Times New Roman"/>
          <w:sz w:val="32"/>
          <w:szCs w:val="32"/>
        </w:rPr>
      </w:pPr>
    </w:p>
    <w:p w14:paraId="2ECB7B99">
      <w:pPr>
        <w:keepNext w:val="0"/>
        <w:keepLines w:val="0"/>
        <w:pageBreakBefore w:val="0"/>
        <w:widowControl w:val="0"/>
        <w:wordWrap/>
        <w:topLinePunct w:val="0"/>
        <w:bidi w:val="0"/>
        <w:spacing w:line="480" w:lineRule="exact"/>
        <w:jc w:val="center"/>
        <w:rPr>
          <w:rFonts w:hint="default" w:ascii="Times New Roman" w:hAnsi="Times New Roman" w:eastAsia="黑体" w:cs="Times New Roman"/>
          <w:sz w:val="32"/>
          <w:szCs w:val="32"/>
        </w:rPr>
      </w:pPr>
      <w:r>
        <w:rPr>
          <w:rFonts w:hint="default" w:ascii="Times New Roman" w:hAnsi="Times New Roman" w:cs="Times New Roman"/>
          <w:sz w:val="44"/>
          <w:szCs w:val="44"/>
        </w:rPr>
        <mc:AlternateContent>
          <mc:Choice Requires="wps">
            <w:drawing>
              <wp:anchor distT="0" distB="0" distL="114300" distR="114300" simplePos="0" relativeHeight="251659264" behindDoc="1" locked="0" layoutInCell="1" allowOverlap="1">
                <wp:simplePos x="0" y="0"/>
                <wp:positionH relativeFrom="margin">
                  <wp:posOffset>10160</wp:posOffset>
                </wp:positionH>
                <wp:positionV relativeFrom="margin">
                  <wp:posOffset>3892550</wp:posOffset>
                </wp:positionV>
                <wp:extent cx="5236210" cy="1169670"/>
                <wp:effectExtent l="4445" t="4445" r="17145" b="6985"/>
                <wp:wrapNone/>
                <wp:docPr id="1" name="文本框 560"/>
                <wp:cNvGraphicFramePr/>
                <a:graphic xmlns:a="http://schemas.openxmlformats.org/drawingml/2006/main">
                  <a:graphicData uri="http://schemas.microsoft.com/office/word/2010/wordprocessingShape">
                    <wps:wsp>
                      <wps:cNvSpPr txBox="1"/>
                      <wps:spPr>
                        <a:xfrm>
                          <a:off x="0" y="0"/>
                          <a:ext cx="5236210" cy="116967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47234725">
                            <w:pPr>
                              <w:jc w:val="center"/>
                              <w:rPr>
                                <w:rFonts w:hint="eastAsia" w:eastAsia="方正小标宋简体"/>
                                <w:lang w:eastAsia="zh-CN"/>
                              </w:rPr>
                            </w:pPr>
                            <w:r>
                              <w:rPr>
                                <w:rFonts w:hint="eastAsia" w:ascii="方正小标宋简体" w:hAnsi="宋体" w:eastAsia="方正小标宋简体"/>
                                <w:sz w:val="52"/>
                                <w:szCs w:val="52"/>
                              </w:rPr>
                              <w:t>占用农业灌溉水源、灌排工程实施审批办事指南</w:t>
                            </w:r>
                          </w:p>
                        </w:txbxContent>
                      </wps:txbx>
                      <wps:bodyPr wrap="square" upright="1"/>
                    </wps:wsp>
                  </a:graphicData>
                </a:graphic>
              </wp:anchor>
            </w:drawing>
          </mc:Choice>
          <mc:Fallback>
            <w:pict>
              <v:shape id="文本框 560" o:spid="_x0000_s1026" o:spt="202" type="#_x0000_t202" style="position:absolute;left:0pt;margin-left:0.8pt;margin-top:306.5pt;height:92.1pt;width:412.3pt;mso-position-horizontal-relative:margin;mso-position-vertical-relative:margin;z-index:-251657216;mso-width-relative:page;mso-height-relative:page;" fillcolor="#FFFFFF" filled="t" stroked="t" coordsize="21600,21600" o:gfxdata="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bwQB71gAAAAkBAAAPAAAAAAAAAAEA&#10;IAAAACIAAABkcnMvZG93bnJldi54bWxQSwECFAAUAAAACACHTuJALRLCLhECAABHBAAADgAAAAAA&#10;AAABACAAAAAlAQAAZHJzL2Uyb0RvYy54bWxQSwUGAAAAAAYABgBZAQAAqAUAAAAA&#10;">
                <v:fill on="t" focussize="0,0"/>
                <v:stroke color="#FFFFFF" joinstyle="miter"/>
                <v:imagedata o:title=""/>
                <o:lock v:ext="edit" aspectratio="f"/>
                <v:textbox>
                  <w:txbxContent>
                    <w:p w14:paraId="47234725">
                      <w:pPr>
                        <w:jc w:val="center"/>
                        <w:rPr>
                          <w:rFonts w:hint="eastAsia" w:eastAsia="方正小标宋简体"/>
                          <w:lang w:eastAsia="zh-CN"/>
                        </w:rPr>
                      </w:pPr>
                      <w:r>
                        <w:rPr>
                          <w:rFonts w:hint="eastAsia" w:ascii="方正小标宋简体" w:hAnsi="宋体" w:eastAsia="方正小标宋简体"/>
                          <w:sz w:val="52"/>
                          <w:szCs w:val="52"/>
                        </w:rPr>
                        <w:t>占用农业灌溉水源、灌排工程实施审批办事指南</w:t>
                      </w:r>
                    </w:p>
                  </w:txbxContent>
                </v:textbox>
              </v:shape>
            </w:pict>
          </mc:Fallback>
        </mc:AlternateContent>
      </w:r>
    </w:p>
    <w:p w14:paraId="51226A48">
      <w:pPr>
        <w:keepNext w:val="0"/>
        <w:keepLines w:val="0"/>
        <w:pageBreakBefore w:val="0"/>
        <w:widowControl w:val="0"/>
        <w:wordWrap/>
        <w:topLinePunct w:val="0"/>
        <w:bidi w:val="0"/>
        <w:spacing w:line="480" w:lineRule="exact"/>
        <w:jc w:val="center"/>
        <w:rPr>
          <w:rFonts w:hint="default" w:ascii="Times New Roman" w:hAnsi="Times New Roman" w:eastAsia="黑体" w:cs="Times New Roman"/>
          <w:sz w:val="32"/>
          <w:szCs w:val="32"/>
        </w:rPr>
      </w:pPr>
    </w:p>
    <w:p w14:paraId="470CDEB7">
      <w:pPr>
        <w:keepNext w:val="0"/>
        <w:keepLines w:val="0"/>
        <w:pageBreakBefore w:val="0"/>
        <w:widowControl w:val="0"/>
        <w:wordWrap/>
        <w:topLinePunct w:val="0"/>
        <w:bidi w:val="0"/>
        <w:spacing w:line="480" w:lineRule="exact"/>
        <w:jc w:val="center"/>
        <w:rPr>
          <w:rFonts w:hint="default" w:ascii="Times New Roman" w:hAnsi="Times New Roman" w:eastAsia="黑体" w:cs="Times New Roman"/>
          <w:sz w:val="32"/>
          <w:szCs w:val="32"/>
        </w:rPr>
      </w:pPr>
    </w:p>
    <w:p w14:paraId="2A953446">
      <w:pPr>
        <w:keepNext w:val="0"/>
        <w:keepLines w:val="0"/>
        <w:pageBreakBefore w:val="0"/>
        <w:widowControl w:val="0"/>
        <w:wordWrap/>
        <w:topLinePunct w:val="0"/>
        <w:bidi w:val="0"/>
        <w:spacing w:line="480" w:lineRule="exact"/>
        <w:jc w:val="center"/>
        <w:rPr>
          <w:rFonts w:hint="default" w:ascii="Times New Roman" w:hAnsi="Times New Roman" w:eastAsia="黑体" w:cs="Times New Roman"/>
          <w:sz w:val="32"/>
          <w:szCs w:val="32"/>
        </w:rPr>
      </w:pPr>
    </w:p>
    <w:p w14:paraId="5E71FA28">
      <w:pPr>
        <w:keepNext w:val="0"/>
        <w:keepLines w:val="0"/>
        <w:pageBreakBefore w:val="0"/>
        <w:widowControl w:val="0"/>
        <w:wordWrap/>
        <w:topLinePunct w:val="0"/>
        <w:bidi w:val="0"/>
        <w:spacing w:line="480" w:lineRule="exact"/>
        <w:jc w:val="center"/>
        <w:rPr>
          <w:rFonts w:hint="default" w:ascii="Times New Roman" w:hAnsi="Times New Roman" w:eastAsia="黑体" w:cs="Times New Roman"/>
          <w:szCs w:val="21"/>
        </w:rPr>
      </w:pPr>
    </w:p>
    <w:p w14:paraId="72FD8038">
      <w:pPr>
        <w:pStyle w:val="2"/>
        <w:rPr>
          <w:rFonts w:hint="default" w:ascii="Times New Roman" w:hAnsi="Times New Roman" w:eastAsia="黑体" w:cs="Times New Roman"/>
          <w:szCs w:val="21"/>
        </w:rPr>
      </w:pPr>
    </w:p>
    <w:p w14:paraId="7FCFF960">
      <w:pPr>
        <w:pStyle w:val="2"/>
        <w:rPr>
          <w:rFonts w:hint="default" w:ascii="Times New Roman" w:hAnsi="Times New Roman" w:eastAsia="黑体" w:cs="Times New Roman"/>
          <w:szCs w:val="21"/>
        </w:rPr>
      </w:pPr>
    </w:p>
    <w:p w14:paraId="3A70C82C">
      <w:pPr>
        <w:pStyle w:val="2"/>
        <w:rPr>
          <w:rFonts w:hint="default" w:ascii="Times New Roman" w:hAnsi="Times New Roman" w:eastAsia="黑体" w:cs="Times New Roman"/>
          <w:szCs w:val="21"/>
        </w:rPr>
      </w:pPr>
    </w:p>
    <w:p w14:paraId="339E7249">
      <w:pPr>
        <w:keepNext w:val="0"/>
        <w:keepLines w:val="0"/>
        <w:pageBreakBefore w:val="0"/>
        <w:widowControl w:val="0"/>
        <w:wordWrap/>
        <w:topLinePunct w:val="0"/>
        <w:bidi w:val="0"/>
        <w:spacing w:line="480" w:lineRule="exact"/>
        <w:jc w:val="center"/>
        <w:rPr>
          <w:rFonts w:hint="default" w:ascii="Times New Roman" w:hAnsi="Times New Roman" w:eastAsia="黑体" w:cs="Times New Roman"/>
          <w:szCs w:val="21"/>
        </w:rPr>
      </w:pPr>
    </w:p>
    <w:p w14:paraId="56DC4E30">
      <w:pPr>
        <w:keepNext w:val="0"/>
        <w:keepLines w:val="0"/>
        <w:pageBreakBefore w:val="0"/>
        <w:widowControl w:val="0"/>
        <w:wordWrap/>
        <w:topLinePunct w:val="0"/>
        <w:bidi w:val="0"/>
        <w:spacing w:line="480" w:lineRule="exact"/>
        <w:jc w:val="center"/>
        <w:rPr>
          <w:rFonts w:hint="default" w:ascii="Times New Roman" w:hAnsi="Times New Roman" w:eastAsia="黑体" w:cs="Times New Roman"/>
          <w:szCs w:val="21"/>
        </w:rPr>
      </w:pPr>
    </w:p>
    <w:p w14:paraId="7E3EAE98">
      <w:pPr>
        <w:keepNext w:val="0"/>
        <w:keepLines w:val="0"/>
        <w:pageBreakBefore w:val="0"/>
        <w:widowControl w:val="0"/>
        <w:wordWrap/>
        <w:topLinePunct w:val="0"/>
        <w:bidi w:val="0"/>
        <w:adjustRightInd w:val="0"/>
        <w:snapToGrid w:val="0"/>
        <w:spacing w:before="100" w:beforeAutospacing="1" w:after="100" w:afterAutospacing="1" w:line="480" w:lineRule="exact"/>
        <w:jc w:val="cente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昆明市官渡区</w:t>
      </w:r>
      <w:r>
        <w:rPr>
          <w:rFonts w:hint="default" w:ascii="Times New Roman" w:hAnsi="Times New Roman" w:eastAsia="黑体" w:cs="Times New Roman"/>
          <w:sz w:val="32"/>
          <w:szCs w:val="32"/>
          <w:lang w:val="en-US" w:eastAsia="zh-CN"/>
        </w:rPr>
        <w:t>政务服务管理局</w:t>
      </w:r>
    </w:p>
    <w:p w14:paraId="16E61146">
      <w:pPr>
        <w:keepNext w:val="0"/>
        <w:keepLines w:val="0"/>
        <w:pageBreakBefore w:val="0"/>
        <w:widowControl w:val="0"/>
        <w:wordWrap/>
        <w:topLinePunct w:val="0"/>
        <w:bidi w:val="0"/>
        <w:spacing w:line="480" w:lineRule="exact"/>
        <w:jc w:val="center"/>
        <w:rPr>
          <w:rFonts w:hint="default" w:ascii="Times New Roman" w:hAnsi="Times New Roman" w:cs="Times New Roman"/>
          <w:sz w:val="44"/>
          <w:szCs w:val="44"/>
        </w:rPr>
      </w:pP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20</w:t>
      </w:r>
      <w:r>
        <w:rPr>
          <w:rFonts w:hint="default" w:ascii="Times New Roman" w:hAnsi="Times New Roman" w:eastAsia="黑体" w:cs="Times New Roman"/>
          <w:sz w:val="32"/>
          <w:szCs w:val="32"/>
          <w:lang w:val="en-US" w:eastAsia="zh-CN"/>
        </w:rPr>
        <w:t>26</w:t>
      </w:r>
      <w:r>
        <w:rPr>
          <w:rFonts w:hint="default" w:ascii="Times New Roman" w:hAnsi="Times New Roman" w:eastAsia="黑体" w:cs="Times New Roman"/>
          <w:sz w:val="32"/>
          <w:szCs w:val="32"/>
        </w:rPr>
        <w:t>年</w:t>
      </w:r>
      <w:r>
        <w:rPr>
          <w:rFonts w:hint="eastAsia" w:eastAsia="黑体" w:cs="Times New Roman"/>
          <w:sz w:val="32"/>
          <w:szCs w:val="32"/>
          <w:lang w:val="en-US" w:eastAsia="zh-CN"/>
        </w:rPr>
        <w:t>10</w:t>
      </w:r>
      <w:r>
        <w:rPr>
          <w:rFonts w:hint="default" w:ascii="Times New Roman" w:hAnsi="Times New Roman" w:eastAsia="黑体" w:cs="Times New Roman"/>
          <w:sz w:val="32"/>
          <w:szCs w:val="32"/>
        </w:rPr>
        <w:t>月</w:t>
      </w:r>
      <w:r>
        <w:rPr>
          <w:rFonts w:hint="eastAsia" w:eastAsia="黑体" w:cs="Times New Roman"/>
          <w:sz w:val="32"/>
          <w:szCs w:val="32"/>
          <w:lang w:val="en-US" w:eastAsia="zh-CN"/>
        </w:rPr>
        <w:t>22</w:t>
      </w:r>
      <w:r>
        <w:rPr>
          <w:rFonts w:hint="default" w:ascii="Times New Roman" w:hAnsi="Times New Roman" w:eastAsia="黑体" w:cs="Times New Roman"/>
          <w:sz w:val="32"/>
          <w:szCs w:val="32"/>
        </w:rPr>
        <w:t>日发布</w:t>
      </w:r>
      <w:r>
        <w:rPr>
          <w:rFonts w:hint="default" w:ascii="Times New Roman" w:hAnsi="Times New Roman" w:cs="Times New Roman"/>
          <w:sz w:val="44"/>
          <w:szCs w:val="44"/>
        </w:rPr>
        <w:tab/>
      </w:r>
    </w:p>
    <w:p w14:paraId="6FDD4004">
      <w:pPr>
        <w:keepNext w:val="0"/>
        <w:keepLines w:val="0"/>
        <w:pageBreakBefore w:val="0"/>
        <w:widowControl w:val="0"/>
        <w:wordWrap/>
        <w:topLinePunct w:val="0"/>
        <w:bidi w:val="0"/>
        <w:spacing w:line="480" w:lineRule="exact"/>
        <w:rPr>
          <w:rFonts w:hint="default" w:ascii="Times New Roman" w:hAnsi="Times New Roman" w:cs="Times New Roman"/>
          <w:sz w:val="44"/>
          <w:szCs w:val="44"/>
        </w:rPr>
        <w:sectPr>
          <w:footerReference r:id="rId4" w:type="default"/>
          <w:headerReference r:id="rId3" w:type="even"/>
          <w:footerReference r:id="rId5" w:type="even"/>
          <w:pgSz w:w="11906" w:h="16838"/>
          <w:pgMar w:top="2098" w:right="1502" w:bottom="2098" w:left="1502" w:header="851" w:footer="992" w:gutter="0"/>
          <w:pgNumType w:fmt="numberInDash" w:start="1"/>
          <w:cols w:space="720" w:num="1"/>
          <w:titlePg/>
          <w:docGrid w:type="lines" w:linePitch="312" w:charSpace="0"/>
        </w:sectPr>
      </w:pPr>
    </w:p>
    <w:p w14:paraId="7E2BE7B9">
      <w:pPr>
        <w:keepNext w:val="0"/>
        <w:keepLines w:val="0"/>
        <w:pageBreakBefore w:val="0"/>
        <w:widowControl w:val="0"/>
        <w:wordWrap/>
        <w:topLinePunct w:val="0"/>
        <w:bidi w:val="0"/>
        <w:adjustRightInd w:val="0"/>
        <w:snapToGrid w:val="0"/>
        <w:spacing w:line="480" w:lineRule="exact"/>
        <w:ind w:firstLine="720" w:firstLineChars="200"/>
        <w:outlineLvl w:val="0"/>
        <w:rPr>
          <w:rFonts w:hint="default" w:ascii="Times New Roman" w:hAnsi="Times New Roman" w:eastAsia="黑体" w:cs="Times New Roman"/>
          <w:kern w:val="0"/>
          <w:sz w:val="36"/>
          <w:szCs w:val="36"/>
        </w:rPr>
      </w:pPr>
      <w:r>
        <w:rPr>
          <w:rFonts w:hint="default" w:ascii="Times New Roman" w:hAnsi="Times New Roman" w:eastAsia="黑体" w:cs="Times New Roman"/>
          <w:kern w:val="0"/>
          <w:sz w:val="36"/>
          <w:szCs w:val="36"/>
        </w:rPr>
        <w:t>占用农业灌溉水源、灌排工程实施审批办事指南</w:t>
      </w:r>
    </w:p>
    <w:p w14:paraId="6F18A4E4">
      <w:pPr>
        <w:keepNext w:val="0"/>
        <w:keepLines w:val="0"/>
        <w:pageBreakBefore w:val="0"/>
        <w:widowControl w:val="0"/>
        <w:wordWrap/>
        <w:topLinePunct w:val="0"/>
        <w:bidi w:val="0"/>
        <w:adjustRightInd w:val="0"/>
        <w:snapToGrid w:val="0"/>
        <w:spacing w:line="480" w:lineRule="exact"/>
        <w:ind w:firstLine="720" w:firstLineChars="200"/>
        <w:outlineLvl w:val="0"/>
        <w:rPr>
          <w:rFonts w:hint="default" w:ascii="Times New Roman" w:hAnsi="Times New Roman" w:eastAsia="黑体" w:cs="Times New Roman"/>
          <w:kern w:val="0"/>
          <w:sz w:val="36"/>
          <w:szCs w:val="36"/>
        </w:rPr>
      </w:pPr>
    </w:p>
    <w:p w14:paraId="4342B57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outlineLvl w:val="0"/>
        <w:rPr>
          <w:rFonts w:hint="default" w:ascii="Times New Roman" w:hAnsi="Times New Roman" w:eastAsia="黑体" w:cs="Times New Roman"/>
          <w:color w:val="auto"/>
          <w:sz w:val="24"/>
        </w:rPr>
      </w:pPr>
      <w:r>
        <w:rPr>
          <w:rFonts w:hint="default" w:ascii="Times New Roman" w:hAnsi="Times New Roman" w:eastAsia="黑体" w:cs="Times New Roman"/>
          <w:color w:val="auto"/>
          <w:sz w:val="32"/>
          <w:szCs w:val="32"/>
        </w:rPr>
        <w:t>一、受理范围</w:t>
      </w:r>
    </w:p>
    <w:p w14:paraId="24CAF6DF">
      <w:pPr>
        <w:keepNext w:val="0"/>
        <w:keepLines w:val="0"/>
        <w:pageBreakBefore w:val="0"/>
        <w:widowControl w:val="0"/>
        <w:kinsoku/>
        <w:wordWrap/>
        <w:overflowPunct/>
        <w:topLinePunct w:val="0"/>
        <w:autoSpaceDE/>
        <w:autoSpaceDN/>
        <w:bidi w:val="0"/>
        <w:spacing w:line="560" w:lineRule="exact"/>
        <w:ind w:firstLine="640" w:firstLineChars="200"/>
        <w:jc w:val="both"/>
        <w:textAlignment w:val="top"/>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申请内容：在官渡区行政区域内建设项目占用农业灌溉水源、灌排工程设施的审批。</w:t>
      </w:r>
    </w:p>
    <w:p w14:paraId="5694B732">
      <w:pPr>
        <w:keepNext w:val="0"/>
        <w:keepLines w:val="0"/>
        <w:pageBreakBefore w:val="0"/>
        <w:widowControl w:val="0"/>
        <w:kinsoku/>
        <w:wordWrap/>
        <w:overflowPunct/>
        <w:topLinePunct w:val="0"/>
        <w:autoSpaceDE/>
        <w:autoSpaceDN/>
        <w:bidi w:val="0"/>
        <w:spacing w:line="560" w:lineRule="exact"/>
        <w:ind w:firstLine="640" w:firstLineChars="200"/>
        <w:jc w:val="both"/>
        <w:textAlignment w:val="top"/>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申请条件：在水利工程管理范围内建设项目需要占用农业灌溉水源、灌排工程设施的应当向主管部门申请领取占用水工程许可批复文件。</w:t>
      </w:r>
    </w:p>
    <w:p w14:paraId="1A01BB7B">
      <w:pPr>
        <w:keepNext w:val="0"/>
        <w:keepLines w:val="0"/>
        <w:pageBreakBefore w:val="0"/>
        <w:widowControl w:val="0"/>
        <w:kinsoku/>
        <w:wordWrap/>
        <w:overflowPunct/>
        <w:topLinePunct w:val="0"/>
        <w:autoSpaceDE/>
        <w:autoSpaceDN/>
        <w:bidi w:val="0"/>
        <w:spacing w:line="560" w:lineRule="exact"/>
        <w:ind w:firstLine="640" w:firstLineChars="200"/>
        <w:jc w:val="both"/>
        <w:textAlignment w:val="top"/>
        <w:rPr>
          <w:rFonts w:hint="default" w:ascii="Times New Roman" w:hAnsi="Times New Roman" w:cs="Times New Roman"/>
          <w:color w:val="auto"/>
          <w:sz w:val="24"/>
        </w:rPr>
      </w:pPr>
      <w:r>
        <w:rPr>
          <w:rFonts w:hint="default" w:ascii="Times New Roman" w:hAnsi="Times New Roman" w:eastAsia="仿宋_GB2312" w:cs="Times New Roman"/>
          <w:color w:val="auto"/>
          <w:sz w:val="32"/>
          <w:szCs w:val="32"/>
        </w:rPr>
        <w:t>申请人范围:国家机关、国有企事业单位、社会团体、外企、民营私营合资企业。</w:t>
      </w:r>
    </w:p>
    <w:p w14:paraId="3982531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w:t>
      </w:r>
      <w:r>
        <w:rPr>
          <w:rFonts w:hint="default" w:ascii="Times New Roman" w:hAnsi="Times New Roman" w:eastAsia="黑体" w:cs="Times New Roman"/>
          <w:color w:val="auto"/>
          <w:sz w:val="32"/>
          <w:szCs w:val="32"/>
          <w:lang w:val="en-US" w:eastAsia="zh-CN"/>
        </w:rPr>
        <w:t>设定</w:t>
      </w:r>
      <w:r>
        <w:rPr>
          <w:rFonts w:hint="default" w:ascii="Times New Roman" w:hAnsi="Times New Roman" w:eastAsia="黑体" w:cs="Times New Roman"/>
          <w:color w:val="auto"/>
          <w:sz w:val="32"/>
          <w:szCs w:val="32"/>
        </w:rPr>
        <w:t>依据</w:t>
      </w:r>
    </w:p>
    <w:p w14:paraId="495F91A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shd w:val="clear" w:color="auto" w:fill="FFFFFF"/>
        </w:rPr>
        <w:t>《农田水利条例》第二十四条 新建、改建、扩建建设工程确需占用农业灌溉水源、农田水利工程设施的，应当与取用水的单位、个人或者农田水利工程所有权人协商，并经有管辖权的县级以上地方人民政府水行政主管部门同意。</w:t>
      </w:r>
    </w:p>
    <w:p w14:paraId="0B166D0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shd w:val="clear" w:color="auto" w:fill="FFFFFF"/>
        </w:rPr>
        <w:t>《国务院对确需保留的行政审批项目设定行政许可的决定》附件第170项 占用农业灌溉水源、灌排工程设施审批，实施机关：各级人民政府水行政主管部门、流域管理机构。</w:t>
      </w:r>
    </w:p>
    <w:p w14:paraId="5D2E24A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shd w:val="clear" w:color="auto" w:fill="FFFFFF"/>
        </w:rPr>
        <w:t>《国务院关于取消和下放一批行政审批项目的决定》（国发〔2014〕5号）附件第28项 占用农业灌溉水源、灌排工程设施审批，备注：仅取消水利部审批权，地方各级人民政府水行政主管部门审批权仍然保留。</w:t>
      </w:r>
    </w:p>
    <w:p w14:paraId="523B7C0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shd w:val="clear" w:color="auto" w:fill="FFFFFF"/>
        </w:rPr>
        <w:t>《云南省人民政府关于调整482项涉及省级行政权力事项的决定》（云政发〔2020〕16号）附件3第46项 占用农业灌溉水源、灌排工程设施审批，省水利部门不再实施，保留州、县级水利部门审批权限。</w:t>
      </w:r>
    </w:p>
    <w:p w14:paraId="559B882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rPr>
          <w:rFonts w:hint="default" w:ascii="Times New Roman" w:hAnsi="Times New Roman" w:cs="Times New Roman"/>
          <w:color w:val="auto"/>
          <w:sz w:val="32"/>
          <w:szCs w:val="32"/>
        </w:rPr>
      </w:pPr>
      <w:r>
        <w:rPr>
          <w:rFonts w:hint="default" w:ascii="Times New Roman" w:hAnsi="Times New Roman" w:eastAsia="黑体" w:cs="Times New Roman"/>
          <w:color w:val="auto"/>
          <w:sz w:val="32"/>
          <w:szCs w:val="32"/>
        </w:rPr>
        <w:t>三、实施机关</w:t>
      </w:r>
    </w:p>
    <w:p w14:paraId="7F3F366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昆明市官渡区行政审批局，是办理该行政许可事项的法定机构</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负责该行政许可事项的审查并作出行政许可决定。</w:t>
      </w:r>
    </w:p>
    <w:p w14:paraId="3FAA3A1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rPr>
          <w:rFonts w:hint="default" w:ascii="Times New Roman" w:hAnsi="Times New Roman" w:cs="Times New Roman"/>
          <w:color w:val="auto"/>
          <w:sz w:val="24"/>
        </w:rPr>
      </w:pPr>
      <w:r>
        <w:rPr>
          <w:rFonts w:hint="default" w:ascii="Times New Roman" w:hAnsi="Times New Roman" w:eastAsia="黑体" w:cs="Times New Roman"/>
          <w:color w:val="auto"/>
          <w:sz w:val="32"/>
          <w:szCs w:val="32"/>
        </w:rPr>
        <w:t>四、许可条件</w:t>
      </w:r>
    </w:p>
    <w:p w14:paraId="3156182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（一）予以批准的条件：</w:t>
      </w:r>
    </w:p>
    <w:p w14:paraId="62E50ABC">
      <w:pPr>
        <w:keepNext w:val="0"/>
        <w:keepLines w:val="0"/>
        <w:pageBreakBefore w:val="0"/>
        <w:widowControl w:val="0"/>
        <w:kinsoku/>
        <w:wordWrap/>
        <w:overflowPunct/>
        <w:topLinePunct w:val="0"/>
        <w:autoSpaceDE/>
        <w:autoSpaceDN/>
        <w:bidi w:val="0"/>
        <w:spacing w:line="560" w:lineRule="exact"/>
        <w:ind w:firstLine="640" w:firstLineChars="200"/>
        <w:jc w:val="both"/>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1.符合有关法律、法规、规章和规范性文件规定；</w:t>
      </w:r>
    </w:p>
    <w:p w14:paraId="132AB56A">
      <w:pPr>
        <w:keepNext w:val="0"/>
        <w:keepLines w:val="0"/>
        <w:pageBreakBefore w:val="0"/>
        <w:widowControl w:val="0"/>
        <w:kinsoku/>
        <w:wordWrap/>
        <w:overflowPunct/>
        <w:topLinePunct w:val="0"/>
        <w:autoSpaceDE/>
        <w:autoSpaceDN/>
        <w:bidi w:val="0"/>
        <w:spacing w:line="560" w:lineRule="exact"/>
        <w:ind w:firstLine="640" w:firstLineChars="200"/>
        <w:jc w:val="both"/>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2.兴建的替代工程项目符合当地农田水利建设规划、环境保护规划和其他技术要求，与被占用农业灌溉水源工程、灌排工程设施效益相当，替代工程初步设计和农业灌溉影响评价报告经技术审查同意；</w:t>
      </w:r>
    </w:p>
    <w:p w14:paraId="15A4781E">
      <w:pPr>
        <w:keepNext w:val="0"/>
        <w:keepLines w:val="0"/>
        <w:pageBreakBefore w:val="0"/>
        <w:widowControl w:val="0"/>
        <w:kinsoku/>
        <w:wordWrap/>
        <w:overflowPunct/>
        <w:topLinePunct w:val="0"/>
        <w:autoSpaceDE/>
        <w:autoSpaceDN/>
        <w:bidi w:val="0"/>
        <w:spacing w:line="560" w:lineRule="exact"/>
        <w:ind w:firstLine="640" w:firstLineChars="200"/>
        <w:jc w:val="both"/>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3.经实地勘察确无条件兴建替代工程的，补偿方案经县（市、区）水务、财政、物价部门审定；</w:t>
      </w:r>
    </w:p>
    <w:p w14:paraId="65FB1201">
      <w:pPr>
        <w:keepNext w:val="0"/>
        <w:keepLines w:val="0"/>
        <w:pageBreakBefore w:val="0"/>
        <w:widowControl w:val="0"/>
        <w:kinsoku/>
        <w:wordWrap/>
        <w:overflowPunct/>
        <w:topLinePunct w:val="0"/>
        <w:autoSpaceDE/>
        <w:autoSpaceDN/>
        <w:bidi w:val="0"/>
        <w:spacing w:line="560" w:lineRule="exact"/>
        <w:ind w:firstLine="640" w:firstLineChars="200"/>
        <w:jc w:val="both"/>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4.被占用农业灌溉水源工程、灌排工程涉及利害关系各方的协议（承诺）书无矛盾、无争议，不影响第三人合法的水事权益。</w:t>
      </w:r>
    </w:p>
    <w:p w14:paraId="57619516">
      <w:pPr>
        <w:keepNext w:val="0"/>
        <w:keepLines w:val="0"/>
        <w:pageBreakBefore w:val="0"/>
        <w:widowControl w:val="0"/>
        <w:kinsoku/>
        <w:wordWrap/>
        <w:overflowPunct/>
        <w:topLinePunct w:val="0"/>
        <w:autoSpaceDE/>
        <w:autoSpaceDN/>
        <w:bidi w:val="0"/>
        <w:spacing w:line="560" w:lineRule="exact"/>
        <w:ind w:firstLine="640" w:firstLineChars="200"/>
        <w:jc w:val="both"/>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 xml:space="preserve">   （二）不予批准的条件：</w:t>
      </w:r>
    </w:p>
    <w:p w14:paraId="74589618">
      <w:pPr>
        <w:keepNext w:val="0"/>
        <w:keepLines w:val="0"/>
        <w:pageBreakBefore w:val="0"/>
        <w:widowControl w:val="0"/>
        <w:kinsoku/>
        <w:wordWrap/>
        <w:overflowPunct/>
        <w:topLinePunct w:val="0"/>
        <w:autoSpaceDE/>
        <w:autoSpaceDN/>
        <w:bidi w:val="0"/>
        <w:spacing w:line="560" w:lineRule="exact"/>
        <w:ind w:firstLine="640" w:firstLineChars="200"/>
        <w:jc w:val="both"/>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经审查不符合上述审批条件的，作出不予审批的书面决定或整改通知。</w:t>
      </w:r>
    </w:p>
    <w:p w14:paraId="0901BB6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lang w:val="en-US" w:eastAsia="zh-CN"/>
        </w:rPr>
        <w:t>五、</w:t>
      </w:r>
      <w:r>
        <w:rPr>
          <w:rFonts w:hint="default" w:ascii="Times New Roman" w:hAnsi="Times New Roman" w:eastAsia="黑体" w:cs="Times New Roman"/>
          <w:color w:val="auto"/>
          <w:sz w:val="32"/>
          <w:szCs w:val="32"/>
        </w:rPr>
        <w:t>许可数量</w:t>
      </w:r>
    </w:p>
    <w:p w14:paraId="038890C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rPr>
          <w:rFonts w:hint="default" w:ascii="Times New Roman" w:hAnsi="Times New Roman" w:eastAsia="黑体" w:cs="Times New Roman"/>
          <w:color w:val="auto"/>
          <w:sz w:val="24"/>
        </w:rPr>
      </w:pPr>
      <w:r>
        <w:rPr>
          <w:rFonts w:hint="default" w:ascii="Times New Roman" w:hAnsi="Times New Roman" w:eastAsia="仿宋_GB2312" w:cs="Times New Roman"/>
          <w:color w:val="auto"/>
          <w:sz w:val="32"/>
          <w:szCs w:val="32"/>
        </w:rPr>
        <w:t>无数量限制，符合条件即予许可。</w:t>
      </w:r>
    </w:p>
    <w:p w14:paraId="74C445F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default" w:ascii="Times New Roman" w:hAnsi="Times New Roman" w:cs="Times New Roman"/>
          <w:color w:val="auto"/>
          <w:sz w:val="32"/>
          <w:szCs w:val="32"/>
        </w:rPr>
      </w:pPr>
      <w:r>
        <w:rPr>
          <w:rFonts w:hint="default" w:ascii="Times New Roman" w:hAnsi="Times New Roman" w:eastAsia="黑体" w:cs="Times New Roman"/>
          <w:color w:val="auto"/>
          <w:sz w:val="32"/>
          <w:szCs w:val="32"/>
        </w:rPr>
        <w:t>六、受理形式和地点</w:t>
      </w:r>
    </w:p>
    <w:p w14:paraId="72116B4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受理形式：窗口和网上均可受理。</w:t>
      </w:r>
    </w:p>
    <w:p w14:paraId="726FD2F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受理地点：官渡区</w:t>
      </w:r>
      <w:r>
        <w:rPr>
          <w:rFonts w:hint="default" w:ascii="Times New Roman" w:hAnsi="Times New Roman" w:eastAsia="仿宋_GB2312" w:cs="Times New Roman"/>
          <w:color w:val="auto"/>
          <w:sz w:val="32"/>
          <w:szCs w:val="32"/>
          <w:lang w:val="en-US" w:eastAsia="zh-CN"/>
        </w:rPr>
        <w:t>政务</w:t>
      </w:r>
      <w:r>
        <w:rPr>
          <w:rFonts w:hint="default" w:ascii="Times New Roman" w:hAnsi="Times New Roman" w:eastAsia="仿宋_GB2312" w:cs="Times New Roman"/>
          <w:color w:val="auto"/>
          <w:sz w:val="32"/>
          <w:szCs w:val="32"/>
        </w:rPr>
        <w:t>服务中心窗口。</w:t>
      </w:r>
    </w:p>
    <w:p w14:paraId="2BE22B3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color w:val="auto"/>
          <w:sz w:val="32"/>
          <w:szCs w:val="32"/>
        </w:rPr>
        <w:t>地址：</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eastAsia="zh-CN"/>
        </w:rPr>
        <w:t>。</w:t>
      </w:r>
    </w:p>
    <w:p w14:paraId="6F8D103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交通方式：可乘坐第169、174、A12、232、252、253路公交车到达。</w:t>
      </w:r>
    </w:p>
    <w:p w14:paraId="6471B99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rPr>
          <w:rFonts w:hint="default" w:ascii="Times New Roman" w:hAnsi="Times New Roman" w:cs="Times New Roman"/>
          <w:color w:val="auto"/>
          <w:sz w:val="24"/>
        </w:rPr>
      </w:pPr>
      <w:r>
        <w:rPr>
          <w:rFonts w:hint="default" w:ascii="Times New Roman" w:hAnsi="Times New Roman" w:eastAsia="仿宋_GB2312" w:cs="Times New Roman"/>
          <w:color w:val="auto"/>
          <w:sz w:val="32"/>
          <w:szCs w:val="32"/>
        </w:rPr>
        <w:t>办理网址：http://zwfw.yn.gov.cn/portal/#/home “云南省政务服务网”</w:t>
      </w:r>
    </w:p>
    <w:p w14:paraId="70AD6A2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黑体" w:cs="Times New Roman"/>
          <w:color w:val="auto"/>
          <w:sz w:val="32"/>
          <w:szCs w:val="32"/>
          <w:lang w:val="en-US" w:eastAsia="zh-CN"/>
        </w:rPr>
        <w:t>七</w:t>
      </w:r>
      <w:r>
        <w:rPr>
          <w:rFonts w:hint="default" w:ascii="Times New Roman" w:hAnsi="Times New Roman" w:eastAsia="黑体" w:cs="Times New Roman"/>
          <w:color w:val="auto"/>
          <w:sz w:val="32"/>
          <w:szCs w:val="32"/>
        </w:rPr>
        <w:t>、申请材料</w:t>
      </w:r>
    </w:p>
    <w:p w14:paraId="73766F1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占用农业灌溉水源、灌排工程设施审批事项申请材料目录</w:t>
      </w:r>
    </w:p>
    <w:tbl>
      <w:tblPr>
        <w:tblStyle w:val="7"/>
        <w:tblW w:w="0" w:type="auto"/>
        <w:tblInd w:w="-189" w:type="dxa"/>
        <w:tblLayout w:type="fixed"/>
        <w:tblCellMar>
          <w:top w:w="0" w:type="dxa"/>
          <w:left w:w="0" w:type="dxa"/>
          <w:bottom w:w="0" w:type="dxa"/>
          <w:right w:w="0" w:type="dxa"/>
        </w:tblCellMar>
      </w:tblPr>
      <w:tblGrid>
        <w:gridCol w:w="729"/>
        <w:gridCol w:w="4301"/>
        <w:gridCol w:w="1470"/>
        <w:gridCol w:w="1335"/>
        <w:gridCol w:w="1354"/>
      </w:tblGrid>
      <w:tr w14:paraId="4401C155">
        <w:tblPrEx>
          <w:tblCellMar>
            <w:top w:w="0" w:type="dxa"/>
            <w:left w:w="0" w:type="dxa"/>
            <w:bottom w:w="0" w:type="dxa"/>
            <w:right w:w="0" w:type="dxa"/>
          </w:tblCellMar>
        </w:tblPrEx>
        <w:trPr>
          <w:trHeight w:val="667" w:hRule="exact"/>
        </w:trPr>
        <w:tc>
          <w:tcPr>
            <w:tcW w:w="729" w:type="dxa"/>
            <w:tcBorders>
              <w:top w:val="single" w:color="auto" w:sz="4" w:space="0"/>
              <w:left w:val="single" w:color="auto" w:sz="4" w:space="0"/>
              <w:bottom w:val="single" w:color="auto" w:sz="4" w:space="0"/>
              <w:right w:val="single" w:color="auto" w:sz="4" w:space="0"/>
            </w:tcBorders>
            <w:noWrap w:val="0"/>
            <w:vAlign w:val="center"/>
          </w:tcPr>
          <w:p w14:paraId="125C0A12">
            <w:pPr>
              <w:pStyle w:val="12"/>
              <w:keepNext w:val="0"/>
              <w:keepLines w:val="0"/>
              <w:pageBreakBefore w:val="0"/>
              <w:widowControl w:val="0"/>
              <w:kinsoku w:val="0"/>
              <w:wordWrap/>
              <w:overflowPunct w:val="0"/>
              <w:topLinePunct w:val="0"/>
              <w:bidi w:val="0"/>
              <w:spacing w:before="0" w:after="0" w:line="480" w:lineRule="exact"/>
              <w:ind w:left="0" w:firstLine="0"/>
              <w:jc w:val="center"/>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序</w:t>
            </w:r>
            <w:r>
              <w:rPr>
                <w:rFonts w:hint="default" w:ascii="Times New Roman" w:hAnsi="Times New Roman" w:eastAsia="仿宋_GB2312" w:cs="Times New Roman"/>
                <w:color w:val="auto"/>
                <w:spacing w:val="-16"/>
                <w:sz w:val="24"/>
                <w:szCs w:val="24"/>
                <w:lang w:val="en-US" w:eastAsia="zh-CN"/>
              </w:rPr>
              <w:t xml:space="preserve"> </w:t>
            </w:r>
            <w:r>
              <w:rPr>
                <w:rFonts w:hint="default" w:ascii="Times New Roman" w:hAnsi="Times New Roman" w:eastAsia="仿宋_GB2312" w:cs="Times New Roman"/>
                <w:color w:val="auto"/>
                <w:spacing w:val="-16"/>
                <w:sz w:val="24"/>
                <w:szCs w:val="24"/>
              </w:rPr>
              <w:t>号</w:t>
            </w:r>
          </w:p>
        </w:tc>
        <w:tc>
          <w:tcPr>
            <w:tcW w:w="4301" w:type="dxa"/>
            <w:tcBorders>
              <w:top w:val="single" w:color="auto" w:sz="4" w:space="0"/>
              <w:left w:val="single" w:color="auto" w:sz="4" w:space="0"/>
              <w:bottom w:val="single" w:color="auto" w:sz="4" w:space="0"/>
              <w:right w:val="single" w:color="auto" w:sz="4" w:space="0"/>
            </w:tcBorders>
            <w:noWrap w:val="0"/>
            <w:vAlign w:val="center"/>
          </w:tcPr>
          <w:p w14:paraId="7C6DF17A">
            <w:pPr>
              <w:pStyle w:val="12"/>
              <w:keepNext w:val="0"/>
              <w:keepLines w:val="0"/>
              <w:pageBreakBefore w:val="0"/>
              <w:widowControl w:val="0"/>
              <w:kinsoku w:val="0"/>
              <w:wordWrap/>
              <w:overflowPunct w:val="0"/>
              <w:topLinePunct w:val="0"/>
              <w:bidi w:val="0"/>
              <w:spacing w:before="0" w:after="0" w:line="480" w:lineRule="exact"/>
              <w:ind w:left="0" w:firstLine="0"/>
              <w:jc w:val="center"/>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材料名称</w:t>
            </w:r>
          </w:p>
        </w:tc>
        <w:tc>
          <w:tcPr>
            <w:tcW w:w="1470" w:type="dxa"/>
            <w:tcBorders>
              <w:top w:val="single" w:color="auto" w:sz="4" w:space="0"/>
              <w:left w:val="single" w:color="auto" w:sz="4" w:space="0"/>
              <w:bottom w:val="single" w:color="auto" w:sz="4" w:space="0"/>
              <w:right w:val="single" w:color="auto" w:sz="4" w:space="0"/>
            </w:tcBorders>
            <w:noWrap w:val="0"/>
            <w:vAlign w:val="center"/>
          </w:tcPr>
          <w:p w14:paraId="50F3F6DD">
            <w:pPr>
              <w:pStyle w:val="12"/>
              <w:keepNext w:val="0"/>
              <w:keepLines w:val="0"/>
              <w:pageBreakBefore w:val="0"/>
              <w:widowControl w:val="0"/>
              <w:kinsoku w:val="0"/>
              <w:wordWrap/>
              <w:overflowPunct w:val="0"/>
              <w:topLinePunct w:val="0"/>
              <w:bidi w:val="0"/>
              <w:spacing w:before="0" w:after="0" w:line="480" w:lineRule="exact"/>
              <w:ind w:left="0" w:firstLine="0"/>
              <w:jc w:val="center"/>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材料形式</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01A6A17">
            <w:pPr>
              <w:pStyle w:val="12"/>
              <w:keepNext w:val="0"/>
              <w:keepLines w:val="0"/>
              <w:pageBreakBefore w:val="0"/>
              <w:widowControl w:val="0"/>
              <w:kinsoku w:val="0"/>
              <w:wordWrap/>
              <w:overflowPunct w:val="0"/>
              <w:topLinePunct w:val="0"/>
              <w:bidi w:val="0"/>
              <w:spacing w:before="0" w:after="0" w:line="480" w:lineRule="exact"/>
              <w:ind w:left="0" w:firstLine="0"/>
              <w:jc w:val="center"/>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份数</w:t>
            </w:r>
          </w:p>
        </w:tc>
        <w:tc>
          <w:tcPr>
            <w:tcW w:w="1354" w:type="dxa"/>
            <w:tcBorders>
              <w:top w:val="single" w:color="000000" w:sz="8" w:space="0"/>
              <w:left w:val="single" w:color="auto" w:sz="4" w:space="0"/>
              <w:bottom w:val="single" w:color="000000" w:sz="8" w:space="0"/>
              <w:right w:val="single" w:color="000000" w:sz="8" w:space="0"/>
            </w:tcBorders>
            <w:noWrap w:val="0"/>
            <w:vAlign w:val="center"/>
          </w:tcPr>
          <w:p w14:paraId="2A433DC8">
            <w:pPr>
              <w:pStyle w:val="12"/>
              <w:keepNext w:val="0"/>
              <w:keepLines w:val="0"/>
              <w:pageBreakBefore w:val="0"/>
              <w:widowControl w:val="0"/>
              <w:kinsoku w:val="0"/>
              <w:wordWrap/>
              <w:overflowPunct w:val="0"/>
              <w:topLinePunct w:val="0"/>
              <w:bidi w:val="0"/>
              <w:spacing w:before="0" w:after="0" w:line="480" w:lineRule="exact"/>
              <w:ind w:left="0" w:firstLine="0"/>
              <w:jc w:val="center"/>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其他要求</w:t>
            </w:r>
          </w:p>
        </w:tc>
      </w:tr>
      <w:tr w14:paraId="51EE901E">
        <w:tblPrEx>
          <w:tblCellMar>
            <w:top w:w="0" w:type="dxa"/>
            <w:left w:w="0" w:type="dxa"/>
            <w:bottom w:w="0" w:type="dxa"/>
            <w:right w:w="0" w:type="dxa"/>
          </w:tblCellMar>
        </w:tblPrEx>
        <w:trPr>
          <w:trHeight w:val="635" w:hRule="exact"/>
        </w:trPr>
        <w:tc>
          <w:tcPr>
            <w:tcW w:w="729" w:type="dxa"/>
            <w:tcBorders>
              <w:top w:val="single" w:color="auto" w:sz="4" w:space="0"/>
              <w:left w:val="single" w:color="auto" w:sz="4" w:space="0"/>
              <w:bottom w:val="single" w:color="auto" w:sz="4" w:space="0"/>
              <w:right w:val="single" w:color="auto" w:sz="4" w:space="0"/>
            </w:tcBorders>
            <w:noWrap w:val="0"/>
            <w:vAlign w:val="center"/>
          </w:tcPr>
          <w:p w14:paraId="57DD70CC">
            <w:pPr>
              <w:pStyle w:val="12"/>
              <w:keepNext w:val="0"/>
              <w:keepLines w:val="0"/>
              <w:pageBreakBefore w:val="0"/>
              <w:widowControl w:val="0"/>
              <w:kinsoku w:val="0"/>
              <w:wordWrap/>
              <w:overflowPunct w:val="0"/>
              <w:topLinePunct w:val="0"/>
              <w:bidi w:val="0"/>
              <w:spacing w:before="0" w:after="0" w:line="480" w:lineRule="exact"/>
              <w:ind w:left="0" w:firstLine="0"/>
              <w:jc w:val="center"/>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1</w:t>
            </w:r>
          </w:p>
        </w:tc>
        <w:tc>
          <w:tcPr>
            <w:tcW w:w="4301" w:type="dxa"/>
            <w:tcBorders>
              <w:top w:val="single" w:color="auto" w:sz="4" w:space="0"/>
              <w:left w:val="single" w:color="auto" w:sz="4" w:space="0"/>
              <w:bottom w:val="single" w:color="auto" w:sz="4" w:space="0"/>
              <w:right w:val="single" w:color="auto" w:sz="4" w:space="0"/>
            </w:tcBorders>
            <w:noWrap w:val="0"/>
            <w:vAlign w:val="center"/>
          </w:tcPr>
          <w:p w14:paraId="30CD1849">
            <w:pPr>
              <w:pStyle w:val="12"/>
              <w:keepNext w:val="0"/>
              <w:keepLines w:val="0"/>
              <w:pageBreakBefore w:val="0"/>
              <w:widowControl w:val="0"/>
              <w:kinsoku w:val="0"/>
              <w:wordWrap/>
              <w:overflowPunct w:val="0"/>
              <w:topLinePunct w:val="0"/>
              <w:bidi w:val="0"/>
              <w:spacing w:before="0" w:after="0" w:line="480" w:lineRule="exact"/>
              <w:ind w:left="0" w:firstLine="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kern w:val="0"/>
                <w:sz w:val="24"/>
                <w:szCs w:val="24"/>
                <w:lang w:val="en-US" w:eastAsia="zh-CN" w:bidi="ar-SA"/>
              </w:rPr>
              <w:t>行政许可申请书</w:t>
            </w:r>
          </w:p>
        </w:tc>
        <w:tc>
          <w:tcPr>
            <w:tcW w:w="1470" w:type="dxa"/>
            <w:tcBorders>
              <w:top w:val="single" w:color="auto" w:sz="4" w:space="0"/>
              <w:left w:val="single" w:color="auto" w:sz="4" w:space="0"/>
              <w:bottom w:val="single" w:color="auto" w:sz="4" w:space="0"/>
              <w:right w:val="single" w:color="auto" w:sz="4" w:space="0"/>
            </w:tcBorders>
            <w:noWrap w:val="0"/>
            <w:vAlign w:val="center"/>
          </w:tcPr>
          <w:p w14:paraId="7F662A97">
            <w:pPr>
              <w:pStyle w:val="12"/>
              <w:keepNext w:val="0"/>
              <w:keepLines w:val="0"/>
              <w:pageBreakBefore w:val="0"/>
              <w:widowControl w:val="0"/>
              <w:kinsoku w:val="0"/>
              <w:wordWrap/>
              <w:overflowPunct w:val="0"/>
              <w:topLinePunct w:val="0"/>
              <w:bidi w:val="0"/>
              <w:spacing w:before="0" w:after="0" w:line="480" w:lineRule="exact"/>
              <w:ind w:left="0" w:firstLine="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kern w:val="0"/>
                <w:sz w:val="24"/>
                <w:szCs w:val="24"/>
                <w:lang w:val="en-US" w:eastAsia="zh-CN" w:bidi="ar-SA"/>
              </w:rPr>
              <w:t>原件</w:t>
            </w:r>
          </w:p>
          <w:p w14:paraId="0BE1752A">
            <w:pPr>
              <w:pStyle w:val="12"/>
              <w:keepNext w:val="0"/>
              <w:keepLines w:val="0"/>
              <w:pageBreakBefore w:val="0"/>
              <w:widowControl w:val="0"/>
              <w:kinsoku w:val="0"/>
              <w:wordWrap/>
              <w:overflowPunct w:val="0"/>
              <w:topLinePunct w:val="0"/>
              <w:bidi w:val="0"/>
              <w:spacing w:before="0" w:after="0" w:line="480" w:lineRule="exact"/>
              <w:ind w:left="0" w:firstLine="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kern w:val="0"/>
                <w:sz w:val="24"/>
                <w:szCs w:val="24"/>
                <w:lang w:val="en-US" w:eastAsia="zh-CN" w:bidi="ar-SA"/>
              </w:rPr>
              <w:t>原件</w:t>
            </w:r>
          </w:p>
          <w:p w14:paraId="47004BC9">
            <w:pPr>
              <w:pStyle w:val="12"/>
              <w:keepNext w:val="0"/>
              <w:keepLines w:val="0"/>
              <w:pageBreakBefore w:val="0"/>
              <w:widowControl w:val="0"/>
              <w:kinsoku w:val="0"/>
              <w:wordWrap/>
              <w:overflowPunct w:val="0"/>
              <w:topLinePunct w:val="0"/>
              <w:bidi w:val="0"/>
              <w:spacing w:before="0" w:after="0" w:line="480" w:lineRule="exact"/>
              <w:ind w:left="0" w:firstLine="0"/>
              <w:jc w:val="center"/>
              <w:textAlignment w:val="auto"/>
              <w:rPr>
                <w:rFonts w:hint="default" w:ascii="Times New Roman" w:hAnsi="Times New Roman" w:eastAsia="仿宋_GB2312" w:cs="Times New Roman"/>
                <w:color w:val="auto"/>
                <w:spacing w:val="-16"/>
                <w:kern w:val="0"/>
                <w:sz w:val="24"/>
                <w:szCs w:val="24"/>
                <w:lang w:val="en-US" w:eastAsia="zh-CN" w:bidi="ar-SA"/>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C3FE06C">
            <w:pPr>
              <w:pStyle w:val="12"/>
              <w:keepNext w:val="0"/>
              <w:keepLines w:val="0"/>
              <w:pageBreakBefore w:val="0"/>
              <w:widowControl w:val="0"/>
              <w:kinsoku w:val="0"/>
              <w:wordWrap/>
              <w:overflowPunct w:val="0"/>
              <w:topLinePunct w:val="0"/>
              <w:bidi w:val="0"/>
              <w:spacing w:before="0" w:after="0" w:line="480" w:lineRule="exact"/>
              <w:ind w:left="0" w:firstLine="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sz w:val="24"/>
                <w:szCs w:val="24"/>
                <w:lang w:val="en-US" w:eastAsia="zh-CN"/>
              </w:rPr>
              <w:t>2份</w:t>
            </w:r>
          </w:p>
        </w:tc>
        <w:tc>
          <w:tcPr>
            <w:tcW w:w="1354" w:type="dxa"/>
            <w:vMerge w:val="restart"/>
            <w:tcBorders>
              <w:top w:val="single" w:color="000000" w:sz="8" w:space="0"/>
              <w:left w:val="single" w:color="auto" w:sz="4" w:space="0"/>
              <w:right w:val="single" w:color="000000" w:sz="8" w:space="0"/>
            </w:tcBorders>
            <w:noWrap w:val="0"/>
            <w:vAlign w:val="center"/>
          </w:tcPr>
          <w:p w14:paraId="1C60A66D">
            <w:pPr>
              <w:pStyle w:val="12"/>
              <w:keepNext w:val="0"/>
              <w:keepLines w:val="0"/>
              <w:pageBreakBefore w:val="0"/>
              <w:widowControl w:val="0"/>
              <w:kinsoku w:val="0"/>
              <w:wordWrap/>
              <w:overflowPunct w:val="0"/>
              <w:topLinePunct w:val="0"/>
              <w:bidi w:val="0"/>
              <w:spacing w:before="0" w:after="0" w:line="480" w:lineRule="exact"/>
              <w:ind w:left="0" w:firstLine="0"/>
              <w:jc w:val="center"/>
              <w:rPr>
                <w:rFonts w:hint="default" w:ascii="Times New Roman" w:hAnsi="Times New Roman" w:eastAsia="仿宋_GB2312" w:cs="Times New Roman"/>
                <w:color w:val="auto"/>
                <w:spacing w:val="-16"/>
                <w:sz w:val="24"/>
                <w:szCs w:val="24"/>
              </w:rPr>
            </w:pPr>
          </w:p>
        </w:tc>
      </w:tr>
      <w:tr w14:paraId="5CA4CF98">
        <w:tblPrEx>
          <w:tblCellMar>
            <w:top w:w="0" w:type="dxa"/>
            <w:left w:w="0" w:type="dxa"/>
            <w:bottom w:w="0" w:type="dxa"/>
            <w:right w:w="0" w:type="dxa"/>
          </w:tblCellMar>
        </w:tblPrEx>
        <w:trPr>
          <w:trHeight w:val="662" w:hRule="exact"/>
        </w:trPr>
        <w:tc>
          <w:tcPr>
            <w:tcW w:w="729" w:type="dxa"/>
            <w:tcBorders>
              <w:top w:val="single" w:color="auto" w:sz="4" w:space="0"/>
              <w:left w:val="single" w:color="auto" w:sz="4" w:space="0"/>
              <w:bottom w:val="single" w:color="auto" w:sz="4" w:space="0"/>
              <w:right w:val="single" w:color="auto" w:sz="4" w:space="0"/>
            </w:tcBorders>
            <w:noWrap w:val="0"/>
            <w:vAlign w:val="center"/>
          </w:tcPr>
          <w:p w14:paraId="717DDA00">
            <w:pPr>
              <w:pStyle w:val="12"/>
              <w:keepNext w:val="0"/>
              <w:keepLines w:val="0"/>
              <w:pageBreakBefore w:val="0"/>
              <w:widowControl w:val="0"/>
              <w:kinsoku w:val="0"/>
              <w:wordWrap/>
              <w:overflowPunct w:val="0"/>
              <w:topLinePunct w:val="0"/>
              <w:bidi w:val="0"/>
              <w:spacing w:before="0" w:after="0" w:line="480" w:lineRule="exact"/>
              <w:ind w:left="0" w:firstLine="0"/>
              <w:jc w:val="center"/>
              <w:rPr>
                <w:rFonts w:hint="eastAsia" w:ascii="Times New Roman" w:hAnsi="Times New Roman" w:eastAsia="仿宋_GB2312" w:cs="Times New Roman"/>
                <w:color w:val="auto"/>
                <w:spacing w:val="-16"/>
                <w:sz w:val="24"/>
                <w:szCs w:val="24"/>
                <w:lang w:val="en-US" w:eastAsia="zh-CN"/>
              </w:rPr>
            </w:pPr>
            <w:r>
              <w:rPr>
                <w:rFonts w:hint="eastAsia" w:ascii="Times New Roman" w:hAnsi="Times New Roman" w:eastAsia="仿宋_GB2312" w:cs="Times New Roman"/>
                <w:color w:val="auto"/>
                <w:spacing w:val="-16"/>
                <w:sz w:val="24"/>
                <w:szCs w:val="24"/>
                <w:lang w:val="en-US" w:eastAsia="zh-CN"/>
              </w:rPr>
              <w:t>2</w:t>
            </w:r>
          </w:p>
          <w:p w14:paraId="6970096B">
            <w:pPr>
              <w:pStyle w:val="12"/>
              <w:keepNext w:val="0"/>
              <w:keepLines w:val="0"/>
              <w:pageBreakBefore w:val="0"/>
              <w:widowControl w:val="0"/>
              <w:kinsoku w:val="0"/>
              <w:wordWrap/>
              <w:overflowPunct w:val="0"/>
              <w:topLinePunct w:val="0"/>
              <w:bidi w:val="0"/>
              <w:spacing w:before="0" w:after="0" w:line="480" w:lineRule="exact"/>
              <w:ind w:left="0" w:firstLine="0"/>
              <w:jc w:val="center"/>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2</w:t>
            </w:r>
          </w:p>
        </w:tc>
        <w:tc>
          <w:tcPr>
            <w:tcW w:w="4301" w:type="dxa"/>
            <w:tcBorders>
              <w:top w:val="single" w:color="auto" w:sz="4" w:space="0"/>
              <w:left w:val="single" w:color="auto" w:sz="4" w:space="0"/>
              <w:bottom w:val="single" w:color="auto" w:sz="4" w:space="0"/>
              <w:right w:val="single" w:color="auto" w:sz="4" w:space="0"/>
            </w:tcBorders>
            <w:noWrap w:val="0"/>
            <w:vAlign w:val="center"/>
          </w:tcPr>
          <w:p w14:paraId="4D85A8DF">
            <w:pPr>
              <w:pStyle w:val="12"/>
              <w:keepNext w:val="0"/>
              <w:keepLines w:val="0"/>
              <w:pageBreakBefore w:val="0"/>
              <w:widowControl w:val="0"/>
              <w:kinsoku w:val="0"/>
              <w:wordWrap/>
              <w:overflowPunct w:val="0"/>
              <w:topLinePunct w:val="0"/>
              <w:bidi w:val="0"/>
              <w:spacing w:before="0" w:after="0" w:line="480" w:lineRule="exact"/>
              <w:ind w:left="0" w:firstLine="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kern w:val="0"/>
                <w:sz w:val="24"/>
                <w:szCs w:val="24"/>
                <w:lang w:val="en-US" w:eastAsia="zh-CN" w:bidi="ar-SA"/>
              </w:rPr>
              <w:t>占用灌排设施补偿项目申报文件</w:t>
            </w:r>
          </w:p>
        </w:tc>
        <w:tc>
          <w:tcPr>
            <w:tcW w:w="1470" w:type="dxa"/>
            <w:tcBorders>
              <w:top w:val="single" w:color="auto" w:sz="4" w:space="0"/>
              <w:left w:val="single" w:color="auto" w:sz="4" w:space="0"/>
              <w:bottom w:val="single" w:color="auto" w:sz="4" w:space="0"/>
              <w:right w:val="single" w:color="auto" w:sz="4" w:space="0"/>
            </w:tcBorders>
            <w:noWrap w:val="0"/>
            <w:vAlign w:val="center"/>
          </w:tcPr>
          <w:p w14:paraId="63DE6607">
            <w:pPr>
              <w:pStyle w:val="12"/>
              <w:keepNext w:val="0"/>
              <w:keepLines w:val="0"/>
              <w:pageBreakBefore w:val="0"/>
              <w:widowControl w:val="0"/>
              <w:kinsoku w:val="0"/>
              <w:wordWrap/>
              <w:overflowPunct w:val="0"/>
              <w:topLinePunct w:val="0"/>
              <w:bidi w:val="0"/>
              <w:spacing w:before="0" w:after="0" w:line="480" w:lineRule="exact"/>
              <w:ind w:left="0" w:firstLine="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kern w:val="0"/>
                <w:sz w:val="24"/>
                <w:szCs w:val="24"/>
                <w:lang w:val="en-US" w:eastAsia="zh-CN" w:bidi="ar-SA"/>
              </w:rPr>
              <w:t>原件</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D2B17DB">
            <w:pPr>
              <w:pStyle w:val="12"/>
              <w:keepNext w:val="0"/>
              <w:keepLines w:val="0"/>
              <w:pageBreakBefore w:val="0"/>
              <w:widowControl w:val="0"/>
              <w:kinsoku w:val="0"/>
              <w:wordWrap/>
              <w:overflowPunct w:val="0"/>
              <w:topLinePunct w:val="0"/>
              <w:bidi w:val="0"/>
              <w:spacing w:before="0" w:after="0" w:line="480" w:lineRule="exact"/>
              <w:ind w:left="0" w:firstLine="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sz w:val="24"/>
                <w:szCs w:val="24"/>
                <w:lang w:val="en-US" w:eastAsia="zh-CN"/>
              </w:rPr>
              <w:t>2份</w:t>
            </w:r>
          </w:p>
        </w:tc>
        <w:tc>
          <w:tcPr>
            <w:tcW w:w="1354" w:type="dxa"/>
            <w:vMerge w:val="continue"/>
            <w:tcBorders>
              <w:left w:val="single" w:color="auto" w:sz="4" w:space="0"/>
              <w:right w:val="single" w:color="000000" w:sz="8" w:space="0"/>
            </w:tcBorders>
            <w:noWrap w:val="0"/>
            <w:vAlign w:val="top"/>
          </w:tcPr>
          <w:p w14:paraId="3453A5FE">
            <w:pPr>
              <w:pStyle w:val="12"/>
              <w:keepNext w:val="0"/>
              <w:keepLines w:val="0"/>
              <w:pageBreakBefore w:val="0"/>
              <w:widowControl w:val="0"/>
              <w:kinsoku w:val="0"/>
              <w:wordWrap/>
              <w:overflowPunct w:val="0"/>
              <w:topLinePunct w:val="0"/>
              <w:bidi w:val="0"/>
              <w:spacing w:before="0" w:after="0" w:line="480" w:lineRule="exact"/>
              <w:ind w:left="0" w:firstLine="0"/>
              <w:jc w:val="center"/>
              <w:rPr>
                <w:rFonts w:hint="default" w:ascii="Times New Roman" w:hAnsi="Times New Roman" w:eastAsia="仿宋_GB2312" w:cs="Times New Roman"/>
                <w:color w:val="auto"/>
                <w:spacing w:val="-16"/>
                <w:sz w:val="24"/>
                <w:szCs w:val="24"/>
              </w:rPr>
            </w:pPr>
          </w:p>
        </w:tc>
      </w:tr>
      <w:tr w14:paraId="2DB7517B">
        <w:tblPrEx>
          <w:tblCellMar>
            <w:top w:w="0" w:type="dxa"/>
            <w:left w:w="0" w:type="dxa"/>
            <w:bottom w:w="0" w:type="dxa"/>
            <w:right w:w="0" w:type="dxa"/>
          </w:tblCellMar>
        </w:tblPrEx>
        <w:trPr>
          <w:trHeight w:val="681" w:hRule="exact"/>
        </w:trPr>
        <w:tc>
          <w:tcPr>
            <w:tcW w:w="729" w:type="dxa"/>
            <w:tcBorders>
              <w:top w:val="single" w:color="auto" w:sz="4" w:space="0"/>
              <w:left w:val="single" w:color="auto" w:sz="4" w:space="0"/>
              <w:bottom w:val="single" w:color="auto" w:sz="4" w:space="0"/>
              <w:right w:val="single" w:color="auto" w:sz="4" w:space="0"/>
            </w:tcBorders>
            <w:noWrap w:val="0"/>
            <w:vAlign w:val="center"/>
          </w:tcPr>
          <w:p w14:paraId="76AA5781">
            <w:pPr>
              <w:pStyle w:val="12"/>
              <w:keepNext w:val="0"/>
              <w:keepLines w:val="0"/>
              <w:pageBreakBefore w:val="0"/>
              <w:widowControl w:val="0"/>
              <w:kinsoku w:val="0"/>
              <w:wordWrap/>
              <w:overflowPunct w:val="0"/>
              <w:topLinePunct w:val="0"/>
              <w:bidi w:val="0"/>
              <w:spacing w:before="0" w:after="0" w:line="480" w:lineRule="exact"/>
              <w:ind w:left="0" w:firstLine="0"/>
              <w:jc w:val="center"/>
              <w:rPr>
                <w:rFonts w:hint="default" w:ascii="Times New Roman" w:hAnsi="Times New Roman" w:eastAsia="仿宋_GB2312" w:cs="Times New Roman"/>
                <w:color w:val="auto"/>
                <w:spacing w:val="-16"/>
                <w:sz w:val="24"/>
                <w:szCs w:val="24"/>
              </w:rPr>
            </w:pPr>
            <w:r>
              <w:rPr>
                <w:rFonts w:hint="default" w:ascii="Times New Roman" w:hAnsi="Times New Roman" w:eastAsia="仿宋_GB2312" w:cs="Times New Roman"/>
                <w:color w:val="auto"/>
                <w:spacing w:val="-16"/>
                <w:sz w:val="24"/>
                <w:szCs w:val="24"/>
              </w:rPr>
              <w:t>3</w:t>
            </w:r>
          </w:p>
        </w:tc>
        <w:tc>
          <w:tcPr>
            <w:tcW w:w="4301" w:type="dxa"/>
            <w:tcBorders>
              <w:top w:val="single" w:color="auto" w:sz="4" w:space="0"/>
              <w:left w:val="single" w:color="auto" w:sz="4" w:space="0"/>
              <w:bottom w:val="single" w:color="auto" w:sz="4" w:space="0"/>
              <w:right w:val="single" w:color="auto" w:sz="4" w:space="0"/>
            </w:tcBorders>
            <w:noWrap w:val="0"/>
            <w:vAlign w:val="center"/>
          </w:tcPr>
          <w:p w14:paraId="669F6EEA">
            <w:pPr>
              <w:pStyle w:val="12"/>
              <w:keepNext w:val="0"/>
              <w:keepLines w:val="0"/>
              <w:pageBreakBefore w:val="0"/>
              <w:widowControl w:val="0"/>
              <w:kinsoku w:val="0"/>
              <w:wordWrap/>
              <w:overflowPunct w:val="0"/>
              <w:topLinePunct w:val="0"/>
              <w:bidi w:val="0"/>
              <w:spacing w:before="0" w:after="0" w:line="480" w:lineRule="exact"/>
              <w:ind w:left="0" w:firstLine="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kern w:val="0"/>
                <w:sz w:val="24"/>
                <w:szCs w:val="24"/>
                <w:lang w:val="en-US" w:eastAsia="zh-CN" w:bidi="ar-SA"/>
              </w:rPr>
              <w:t>项目可研审批、核准或备案文件</w:t>
            </w:r>
          </w:p>
        </w:tc>
        <w:tc>
          <w:tcPr>
            <w:tcW w:w="1470" w:type="dxa"/>
            <w:tcBorders>
              <w:top w:val="single" w:color="auto" w:sz="4" w:space="0"/>
              <w:left w:val="single" w:color="auto" w:sz="4" w:space="0"/>
              <w:bottom w:val="single" w:color="auto" w:sz="4" w:space="0"/>
              <w:right w:val="single" w:color="auto" w:sz="4" w:space="0"/>
            </w:tcBorders>
            <w:noWrap w:val="0"/>
            <w:vAlign w:val="center"/>
          </w:tcPr>
          <w:p w14:paraId="1E58BA48">
            <w:pPr>
              <w:pStyle w:val="12"/>
              <w:keepNext w:val="0"/>
              <w:keepLines w:val="0"/>
              <w:pageBreakBefore w:val="0"/>
              <w:widowControl w:val="0"/>
              <w:kinsoku w:val="0"/>
              <w:wordWrap/>
              <w:overflowPunct w:val="0"/>
              <w:topLinePunct w:val="0"/>
              <w:bidi w:val="0"/>
              <w:spacing w:before="0" w:after="0" w:line="480" w:lineRule="exact"/>
              <w:ind w:left="0" w:firstLine="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kern w:val="0"/>
                <w:sz w:val="24"/>
                <w:szCs w:val="24"/>
                <w:lang w:val="en-US" w:eastAsia="zh-CN" w:bidi="ar-SA"/>
              </w:rPr>
              <w:t>复印件</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4A2F488">
            <w:pPr>
              <w:pStyle w:val="12"/>
              <w:keepNext w:val="0"/>
              <w:keepLines w:val="0"/>
              <w:pageBreakBefore w:val="0"/>
              <w:widowControl w:val="0"/>
              <w:kinsoku w:val="0"/>
              <w:wordWrap/>
              <w:overflowPunct w:val="0"/>
              <w:topLinePunct w:val="0"/>
              <w:bidi w:val="0"/>
              <w:spacing w:before="0" w:after="0" w:line="480" w:lineRule="exact"/>
              <w:ind w:left="0" w:firstLine="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sz w:val="24"/>
                <w:szCs w:val="24"/>
                <w:lang w:val="en-US" w:eastAsia="zh-CN"/>
              </w:rPr>
              <w:t>2份</w:t>
            </w:r>
          </w:p>
        </w:tc>
        <w:tc>
          <w:tcPr>
            <w:tcW w:w="1354" w:type="dxa"/>
            <w:vMerge w:val="continue"/>
            <w:tcBorders>
              <w:left w:val="single" w:color="auto" w:sz="4" w:space="0"/>
              <w:right w:val="single" w:color="000000" w:sz="8" w:space="0"/>
            </w:tcBorders>
            <w:noWrap w:val="0"/>
            <w:vAlign w:val="top"/>
          </w:tcPr>
          <w:p w14:paraId="67C6EE53">
            <w:pPr>
              <w:pStyle w:val="12"/>
              <w:keepNext w:val="0"/>
              <w:keepLines w:val="0"/>
              <w:pageBreakBefore w:val="0"/>
              <w:widowControl w:val="0"/>
              <w:kinsoku w:val="0"/>
              <w:wordWrap/>
              <w:overflowPunct w:val="0"/>
              <w:topLinePunct w:val="0"/>
              <w:bidi w:val="0"/>
              <w:spacing w:before="0" w:after="0" w:line="480" w:lineRule="exact"/>
              <w:ind w:left="0" w:firstLine="0"/>
              <w:jc w:val="center"/>
              <w:rPr>
                <w:rFonts w:hint="default" w:ascii="Times New Roman" w:hAnsi="Times New Roman" w:eastAsia="仿宋_GB2312" w:cs="Times New Roman"/>
                <w:color w:val="auto"/>
                <w:spacing w:val="-16"/>
                <w:sz w:val="24"/>
                <w:szCs w:val="24"/>
              </w:rPr>
            </w:pPr>
          </w:p>
        </w:tc>
      </w:tr>
      <w:tr w14:paraId="5E7EF4B6">
        <w:tblPrEx>
          <w:tblCellMar>
            <w:top w:w="0" w:type="dxa"/>
            <w:left w:w="0" w:type="dxa"/>
            <w:bottom w:w="0" w:type="dxa"/>
            <w:right w:w="0" w:type="dxa"/>
          </w:tblCellMar>
        </w:tblPrEx>
        <w:trPr>
          <w:trHeight w:val="653" w:hRule="exact"/>
        </w:trPr>
        <w:tc>
          <w:tcPr>
            <w:tcW w:w="729" w:type="dxa"/>
            <w:tcBorders>
              <w:top w:val="single" w:color="auto" w:sz="4" w:space="0"/>
              <w:left w:val="single" w:color="auto" w:sz="4" w:space="0"/>
              <w:bottom w:val="single" w:color="auto" w:sz="4" w:space="0"/>
              <w:right w:val="single" w:color="auto" w:sz="4" w:space="0"/>
            </w:tcBorders>
            <w:noWrap w:val="0"/>
            <w:vAlign w:val="center"/>
          </w:tcPr>
          <w:p w14:paraId="4E1BA896">
            <w:pPr>
              <w:pStyle w:val="12"/>
              <w:keepNext w:val="0"/>
              <w:keepLines w:val="0"/>
              <w:pageBreakBefore w:val="0"/>
              <w:widowControl w:val="0"/>
              <w:kinsoku w:val="0"/>
              <w:wordWrap/>
              <w:overflowPunct w:val="0"/>
              <w:topLinePunct w:val="0"/>
              <w:bidi w:val="0"/>
              <w:spacing w:before="0" w:after="0" w:line="480" w:lineRule="exact"/>
              <w:ind w:left="0" w:firstLine="0"/>
              <w:jc w:val="center"/>
              <w:rPr>
                <w:rFonts w:hint="default" w:ascii="Times New Roman" w:hAnsi="Times New Roman" w:eastAsia="仿宋_GB2312" w:cs="Times New Roman"/>
                <w:color w:val="auto"/>
                <w:spacing w:val="-16"/>
                <w:sz w:val="24"/>
                <w:szCs w:val="24"/>
                <w:lang w:val="en-US" w:eastAsia="zh-CN"/>
              </w:rPr>
            </w:pPr>
            <w:r>
              <w:rPr>
                <w:rFonts w:hint="default" w:ascii="Times New Roman" w:hAnsi="Times New Roman" w:eastAsia="仿宋_GB2312" w:cs="Times New Roman"/>
                <w:color w:val="auto"/>
                <w:spacing w:val="-16"/>
                <w:sz w:val="24"/>
                <w:szCs w:val="24"/>
                <w:lang w:val="en-US" w:eastAsia="zh-CN"/>
              </w:rPr>
              <w:t>4</w:t>
            </w:r>
          </w:p>
        </w:tc>
        <w:tc>
          <w:tcPr>
            <w:tcW w:w="4301" w:type="dxa"/>
            <w:tcBorders>
              <w:top w:val="single" w:color="auto" w:sz="4" w:space="0"/>
              <w:left w:val="single" w:color="auto" w:sz="4" w:space="0"/>
              <w:bottom w:val="single" w:color="auto" w:sz="4" w:space="0"/>
              <w:right w:val="single" w:color="auto" w:sz="4" w:space="0"/>
            </w:tcBorders>
            <w:noWrap w:val="0"/>
            <w:vAlign w:val="center"/>
          </w:tcPr>
          <w:p w14:paraId="0F2CF949">
            <w:pPr>
              <w:pStyle w:val="12"/>
              <w:keepNext w:val="0"/>
              <w:keepLines w:val="0"/>
              <w:pageBreakBefore w:val="0"/>
              <w:widowControl w:val="0"/>
              <w:kinsoku w:val="0"/>
              <w:wordWrap/>
              <w:overflowPunct w:val="0"/>
              <w:topLinePunct w:val="0"/>
              <w:bidi w:val="0"/>
              <w:spacing w:before="0" w:after="0" w:line="480" w:lineRule="exact"/>
              <w:ind w:left="0" w:firstLine="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kern w:val="0"/>
                <w:sz w:val="24"/>
                <w:szCs w:val="24"/>
                <w:lang w:val="en-US" w:eastAsia="zh-CN" w:bidi="ar-SA"/>
              </w:rPr>
              <w:t>与有利害关系的第三方达成的协议或承诺函</w:t>
            </w:r>
          </w:p>
        </w:tc>
        <w:tc>
          <w:tcPr>
            <w:tcW w:w="1470" w:type="dxa"/>
            <w:tcBorders>
              <w:top w:val="single" w:color="auto" w:sz="4" w:space="0"/>
              <w:left w:val="single" w:color="auto" w:sz="4" w:space="0"/>
              <w:bottom w:val="single" w:color="auto" w:sz="4" w:space="0"/>
              <w:right w:val="single" w:color="auto" w:sz="4" w:space="0"/>
            </w:tcBorders>
            <w:noWrap w:val="0"/>
            <w:vAlign w:val="center"/>
          </w:tcPr>
          <w:p w14:paraId="2622EE03">
            <w:pPr>
              <w:pStyle w:val="12"/>
              <w:keepNext w:val="0"/>
              <w:keepLines w:val="0"/>
              <w:pageBreakBefore w:val="0"/>
              <w:widowControl w:val="0"/>
              <w:kinsoku w:val="0"/>
              <w:wordWrap/>
              <w:overflowPunct w:val="0"/>
              <w:topLinePunct w:val="0"/>
              <w:bidi w:val="0"/>
              <w:spacing w:before="0" w:after="0" w:line="480" w:lineRule="exact"/>
              <w:ind w:left="0" w:firstLine="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kern w:val="0"/>
                <w:sz w:val="24"/>
                <w:szCs w:val="24"/>
                <w:lang w:val="en-US" w:eastAsia="zh-CN" w:bidi="ar-SA"/>
              </w:rPr>
              <w:t>原件</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691C31B">
            <w:pPr>
              <w:pStyle w:val="12"/>
              <w:keepNext w:val="0"/>
              <w:keepLines w:val="0"/>
              <w:pageBreakBefore w:val="0"/>
              <w:widowControl w:val="0"/>
              <w:kinsoku w:val="0"/>
              <w:wordWrap/>
              <w:overflowPunct w:val="0"/>
              <w:topLinePunct w:val="0"/>
              <w:bidi w:val="0"/>
              <w:spacing w:before="0" w:after="0" w:line="480" w:lineRule="exact"/>
              <w:ind w:left="0" w:firstLine="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sz w:val="24"/>
                <w:szCs w:val="24"/>
                <w:lang w:val="en-US" w:eastAsia="zh-CN"/>
              </w:rPr>
              <w:t>2份</w:t>
            </w:r>
          </w:p>
        </w:tc>
        <w:tc>
          <w:tcPr>
            <w:tcW w:w="1354" w:type="dxa"/>
            <w:vMerge w:val="continue"/>
            <w:tcBorders>
              <w:left w:val="single" w:color="auto" w:sz="4" w:space="0"/>
              <w:right w:val="single" w:color="000000" w:sz="8" w:space="0"/>
            </w:tcBorders>
            <w:noWrap w:val="0"/>
            <w:vAlign w:val="top"/>
          </w:tcPr>
          <w:p w14:paraId="550BE960">
            <w:pPr>
              <w:pStyle w:val="12"/>
              <w:keepNext w:val="0"/>
              <w:keepLines w:val="0"/>
              <w:pageBreakBefore w:val="0"/>
              <w:widowControl w:val="0"/>
              <w:kinsoku w:val="0"/>
              <w:wordWrap/>
              <w:overflowPunct w:val="0"/>
              <w:topLinePunct w:val="0"/>
              <w:bidi w:val="0"/>
              <w:spacing w:before="0" w:after="0" w:line="480" w:lineRule="exact"/>
              <w:ind w:left="0" w:firstLine="0"/>
              <w:jc w:val="center"/>
              <w:rPr>
                <w:rFonts w:hint="default" w:ascii="Times New Roman" w:hAnsi="Times New Roman" w:eastAsia="仿宋_GB2312" w:cs="Times New Roman"/>
                <w:color w:val="auto"/>
                <w:spacing w:val="-16"/>
                <w:sz w:val="24"/>
                <w:szCs w:val="24"/>
              </w:rPr>
            </w:pPr>
          </w:p>
        </w:tc>
      </w:tr>
      <w:tr w14:paraId="1FB4285A">
        <w:tblPrEx>
          <w:tblCellMar>
            <w:top w:w="0" w:type="dxa"/>
            <w:left w:w="0" w:type="dxa"/>
            <w:bottom w:w="0" w:type="dxa"/>
            <w:right w:w="0" w:type="dxa"/>
          </w:tblCellMar>
        </w:tblPrEx>
        <w:trPr>
          <w:trHeight w:val="643" w:hRule="exact"/>
        </w:trPr>
        <w:tc>
          <w:tcPr>
            <w:tcW w:w="729" w:type="dxa"/>
            <w:tcBorders>
              <w:top w:val="single" w:color="auto" w:sz="4" w:space="0"/>
              <w:left w:val="single" w:color="auto" w:sz="4" w:space="0"/>
              <w:bottom w:val="single" w:color="auto" w:sz="4" w:space="0"/>
              <w:right w:val="single" w:color="auto" w:sz="4" w:space="0"/>
            </w:tcBorders>
            <w:noWrap w:val="0"/>
            <w:vAlign w:val="center"/>
          </w:tcPr>
          <w:p w14:paraId="7DD3D011">
            <w:pPr>
              <w:pStyle w:val="12"/>
              <w:keepNext w:val="0"/>
              <w:keepLines w:val="0"/>
              <w:pageBreakBefore w:val="0"/>
              <w:widowControl w:val="0"/>
              <w:kinsoku w:val="0"/>
              <w:wordWrap/>
              <w:overflowPunct w:val="0"/>
              <w:topLinePunct w:val="0"/>
              <w:bidi w:val="0"/>
              <w:spacing w:before="0" w:after="0" w:line="480" w:lineRule="exact"/>
              <w:ind w:left="0" w:firstLine="0"/>
              <w:jc w:val="center"/>
              <w:rPr>
                <w:rFonts w:hint="default" w:ascii="Times New Roman" w:hAnsi="Times New Roman" w:eastAsia="仿宋_GB2312" w:cs="Times New Roman"/>
                <w:color w:val="auto"/>
                <w:spacing w:val="-16"/>
                <w:sz w:val="24"/>
                <w:szCs w:val="24"/>
                <w:lang w:val="en-US" w:eastAsia="zh-CN"/>
              </w:rPr>
            </w:pPr>
            <w:r>
              <w:rPr>
                <w:rFonts w:hint="default" w:ascii="Times New Roman" w:hAnsi="Times New Roman" w:eastAsia="仿宋_GB2312" w:cs="Times New Roman"/>
                <w:color w:val="auto"/>
                <w:spacing w:val="-16"/>
                <w:sz w:val="24"/>
                <w:szCs w:val="24"/>
                <w:lang w:val="en-US" w:eastAsia="zh-CN"/>
              </w:rPr>
              <w:t>5</w:t>
            </w:r>
          </w:p>
        </w:tc>
        <w:tc>
          <w:tcPr>
            <w:tcW w:w="4301" w:type="dxa"/>
            <w:tcBorders>
              <w:top w:val="single" w:color="auto" w:sz="4" w:space="0"/>
              <w:left w:val="single" w:color="auto" w:sz="4" w:space="0"/>
              <w:bottom w:val="single" w:color="auto" w:sz="4" w:space="0"/>
              <w:right w:val="single" w:color="auto" w:sz="4" w:space="0"/>
            </w:tcBorders>
            <w:noWrap w:val="0"/>
            <w:vAlign w:val="center"/>
          </w:tcPr>
          <w:p w14:paraId="578736F5">
            <w:pPr>
              <w:pStyle w:val="12"/>
              <w:keepNext w:val="0"/>
              <w:keepLines w:val="0"/>
              <w:pageBreakBefore w:val="0"/>
              <w:widowControl w:val="0"/>
              <w:kinsoku w:val="0"/>
              <w:wordWrap/>
              <w:overflowPunct w:val="0"/>
              <w:topLinePunct w:val="0"/>
              <w:bidi w:val="0"/>
              <w:spacing w:before="0" w:after="0" w:line="480" w:lineRule="exact"/>
              <w:ind w:left="0" w:firstLine="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kern w:val="0"/>
                <w:sz w:val="24"/>
                <w:szCs w:val="24"/>
                <w:lang w:val="en-US" w:eastAsia="zh-CN" w:bidi="ar-SA"/>
              </w:rPr>
              <w:t>占用灌排设施补偿项目设计文件</w:t>
            </w:r>
          </w:p>
        </w:tc>
        <w:tc>
          <w:tcPr>
            <w:tcW w:w="1470" w:type="dxa"/>
            <w:tcBorders>
              <w:top w:val="single" w:color="auto" w:sz="4" w:space="0"/>
              <w:left w:val="single" w:color="auto" w:sz="4" w:space="0"/>
              <w:bottom w:val="single" w:color="auto" w:sz="4" w:space="0"/>
              <w:right w:val="single" w:color="auto" w:sz="4" w:space="0"/>
            </w:tcBorders>
            <w:noWrap w:val="0"/>
            <w:vAlign w:val="center"/>
          </w:tcPr>
          <w:p w14:paraId="359744E9">
            <w:pPr>
              <w:pStyle w:val="12"/>
              <w:keepNext w:val="0"/>
              <w:keepLines w:val="0"/>
              <w:pageBreakBefore w:val="0"/>
              <w:widowControl w:val="0"/>
              <w:kinsoku w:val="0"/>
              <w:wordWrap/>
              <w:overflowPunct w:val="0"/>
              <w:topLinePunct w:val="0"/>
              <w:bidi w:val="0"/>
              <w:spacing w:before="0" w:after="0" w:line="480" w:lineRule="exact"/>
              <w:ind w:left="0" w:firstLine="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kern w:val="0"/>
                <w:sz w:val="24"/>
                <w:szCs w:val="24"/>
                <w:lang w:val="en-US" w:eastAsia="zh-CN" w:bidi="ar-SA"/>
              </w:rPr>
              <w:t>原件</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E812F44">
            <w:pPr>
              <w:pStyle w:val="12"/>
              <w:keepNext w:val="0"/>
              <w:keepLines w:val="0"/>
              <w:pageBreakBefore w:val="0"/>
              <w:widowControl w:val="0"/>
              <w:kinsoku w:val="0"/>
              <w:wordWrap/>
              <w:overflowPunct w:val="0"/>
              <w:topLinePunct w:val="0"/>
              <w:bidi w:val="0"/>
              <w:spacing w:before="0" w:after="0" w:line="480" w:lineRule="exact"/>
              <w:ind w:left="0" w:firstLine="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sz w:val="24"/>
                <w:szCs w:val="24"/>
                <w:lang w:val="en-US" w:eastAsia="zh-CN"/>
              </w:rPr>
              <w:t>2份</w:t>
            </w:r>
          </w:p>
        </w:tc>
        <w:tc>
          <w:tcPr>
            <w:tcW w:w="1354" w:type="dxa"/>
            <w:vMerge w:val="continue"/>
            <w:tcBorders>
              <w:left w:val="single" w:color="auto" w:sz="4" w:space="0"/>
              <w:bottom w:val="single" w:color="000000" w:sz="8" w:space="0"/>
              <w:right w:val="single" w:color="000000" w:sz="8" w:space="0"/>
            </w:tcBorders>
            <w:noWrap w:val="0"/>
            <w:vAlign w:val="top"/>
          </w:tcPr>
          <w:p w14:paraId="43976A18">
            <w:pPr>
              <w:pStyle w:val="12"/>
              <w:keepNext w:val="0"/>
              <w:keepLines w:val="0"/>
              <w:pageBreakBefore w:val="0"/>
              <w:widowControl w:val="0"/>
              <w:kinsoku w:val="0"/>
              <w:wordWrap/>
              <w:overflowPunct w:val="0"/>
              <w:topLinePunct w:val="0"/>
              <w:bidi w:val="0"/>
              <w:spacing w:before="0" w:after="0" w:line="480" w:lineRule="exact"/>
              <w:ind w:left="0" w:firstLine="0"/>
              <w:jc w:val="center"/>
              <w:rPr>
                <w:rFonts w:hint="default" w:ascii="Times New Roman" w:hAnsi="Times New Roman" w:eastAsia="仿宋_GB2312" w:cs="Times New Roman"/>
                <w:color w:val="auto"/>
                <w:spacing w:val="-16"/>
                <w:sz w:val="24"/>
                <w:szCs w:val="24"/>
              </w:rPr>
            </w:pPr>
          </w:p>
        </w:tc>
      </w:tr>
    </w:tbl>
    <w:p w14:paraId="55D72D7E">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default" w:ascii="Times New Roman" w:hAnsi="Times New Roman" w:cs="Times New Roman"/>
          <w:color w:val="auto"/>
          <w:sz w:val="32"/>
          <w:szCs w:val="32"/>
        </w:rPr>
      </w:pPr>
      <w:r>
        <w:rPr>
          <w:rFonts w:hint="default" w:ascii="Times New Roman" w:hAnsi="Times New Roman" w:eastAsia="黑体" w:cs="Times New Roman"/>
          <w:color w:val="auto"/>
          <w:sz w:val="32"/>
          <w:szCs w:val="32"/>
          <w:lang w:val="en-US" w:eastAsia="zh-CN"/>
        </w:rPr>
        <w:t>八</w:t>
      </w:r>
      <w:r>
        <w:rPr>
          <w:rFonts w:hint="default" w:ascii="Times New Roman" w:hAnsi="Times New Roman" w:eastAsia="黑体" w:cs="Times New Roman"/>
          <w:color w:val="auto"/>
          <w:sz w:val="32"/>
          <w:szCs w:val="32"/>
        </w:rPr>
        <w:t xml:space="preserve">、办结时限 </w:t>
      </w:r>
    </w:p>
    <w:p w14:paraId="5CA388D0">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2B9F3C04">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法定办理时限:20个工作日。</w:t>
      </w:r>
    </w:p>
    <w:p w14:paraId="5CF2CA36">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承诺办理时限：</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个工作日</w:t>
      </w:r>
      <w:r>
        <w:rPr>
          <w:rFonts w:hint="eastAsia" w:ascii="仿宋_GB2312" w:hAnsi="仿宋_GB2312" w:eastAsia="仿宋_GB2312" w:cs="仿宋_GB2312"/>
          <w:color w:val="auto"/>
          <w:sz w:val="32"/>
          <w:szCs w:val="32"/>
        </w:rPr>
        <w:t>（不含实地勘查、意见征询、论证评审、组织听证时间</w:t>
      </w:r>
      <w:r>
        <w:rPr>
          <w:rFonts w:hint="default" w:ascii="Times New Roman" w:hAnsi="Times New Roman" w:eastAsia="仿宋_GB2312" w:cs="Times New Roman"/>
          <w:color w:val="auto"/>
          <w:sz w:val="32"/>
          <w:szCs w:val="32"/>
        </w:rPr>
        <w:t>）。</w:t>
      </w:r>
    </w:p>
    <w:p w14:paraId="6A0197C2">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default" w:ascii="Times New Roman" w:hAnsi="Times New Roman" w:cs="Times New Roman"/>
          <w:color w:val="auto"/>
          <w:sz w:val="32"/>
          <w:szCs w:val="32"/>
        </w:rPr>
      </w:pPr>
      <w:r>
        <w:rPr>
          <w:rFonts w:hint="default" w:ascii="Times New Roman" w:hAnsi="Times New Roman" w:eastAsia="黑体" w:cs="Times New Roman"/>
          <w:color w:val="auto"/>
          <w:sz w:val="32"/>
          <w:szCs w:val="32"/>
          <w:lang w:val="en-US" w:eastAsia="zh-CN"/>
        </w:rPr>
        <w:t>九</w:t>
      </w:r>
      <w:r>
        <w:rPr>
          <w:rFonts w:hint="default" w:ascii="Times New Roman" w:hAnsi="Times New Roman" w:eastAsia="黑体" w:cs="Times New Roman"/>
          <w:color w:val="auto"/>
          <w:sz w:val="32"/>
          <w:szCs w:val="32"/>
        </w:rPr>
        <w:t>、许可收费及依据</w:t>
      </w:r>
    </w:p>
    <w:p w14:paraId="35B6CE03">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本许可事项不收费。</w:t>
      </w:r>
    </w:p>
    <w:p w14:paraId="3C01F79F">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十、办理流程</w:t>
      </w:r>
    </w:p>
    <w:p w14:paraId="7C8FC327">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outlineLvl w:val="0"/>
        <w:rPr>
          <w:rFonts w:hint="default" w:ascii="Times New Roman" w:hAnsi="Times New Roman" w:cs="Times New Roman"/>
          <w:b/>
          <w:color w:val="auto"/>
          <w:sz w:val="24"/>
        </w:rPr>
      </w:pPr>
      <w:r>
        <w:rPr>
          <w:rFonts w:hint="default" w:ascii="Times New Roman" w:hAnsi="Times New Roman" w:eastAsia="仿宋_GB2312" w:cs="Times New Roman"/>
          <w:b w:val="0"/>
          <w:bCs/>
          <w:color w:val="auto"/>
          <w:sz w:val="32"/>
          <w:szCs w:val="32"/>
        </w:rPr>
        <w:t>（一）申请</w:t>
      </w:r>
      <w:r>
        <w:rPr>
          <w:rFonts w:hint="default" w:ascii="Times New Roman" w:hAnsi="Times New Roman" w:cs="Times New Roman"/>
          <w:b/>
          <w:color w:val="auto"/>
          <w:sz w:val="24"/>
        </w:rPr>
        <w:t xml:space="preserve"> </w:t>
      </w:r>
    </w:p>
    <w:p w14:paraId="0FCF18D7">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1.提交方式</w:t>
      </w:r>
    </w:p>
    <w:p w14:paraId="1AC11A96">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（1）窗口提交</w:t>
      </w:r>
    </w:p>
    <w:p w14:paraId="40F8EE00">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接收申请的实施机关：昆明市官渡区</w:t>
      </w:r>
      <w:r>
        <w:rPr>
          <w:rFonts w:hint="default" w:ascii="Times New Roman" w:hAnsi="Times New Roman" w:eastAsia="仿宋_GB2312" w:cs="Times New Roman"/>
          <w:color w:val="auto"/>
          <w:sz w:val="32"/>
          <w:szCs w:val="32"/>
          <w:lang w:val="en-US" w:eastAsia="zh-CN"/>
        </w:rPr>
        <w:t>行政审批局</w:t>
      </w:r>
      <w:r>
        <w:rPr>
          <w:rFonts w:hint="default" w:ascii="Times New Roman" w:hAnsi="Times New Roman" w:eastAsia="仿宋_GB2312" w:cs="Times New Roman"/>
          <w:color w:val="auto"/>
          <w:sz w:val="32"/>
          <w:szCs w:val="32"/>
        </w:rPr>
        <w:t>；</w:t>
      </w:r>
    </w:p>
    <w:p w14:paraId="08C32713">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接收地址：</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p>
    <w:p w14:paraId="02DA30C3">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（2）网络提交 </w:t>
      </w:r>
    </w:p>
    <w:p w14:paraId="20DE4B1D">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网址：http://zwfw.yn.gov.cn/portal/#/home “云南省政务服务网”</w:t>
      </w:r>
    </w:p>
    <w:p w14:paraId="3D6D443A">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2.提交时间：</w:t>
      </w:r>
    </w:p>
    <w:p w14:paraId="3F0DF189">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窗口提交：星期一至星期五上午9:00～12:00，下午13:00～17:00（法定节假日除外）。</w:t>
      </w:r>
    </w:p>
    <w:p w14:paraId="42F544E6">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网络提交：时间不限。</w:t>
      </w:r>
    </w:p>
    <w:p w14:paraId="4E59B458">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（二）受理</w:t>
      </w:r>
    </w:p>
    <w:p w14:paraId="6D5323FD">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3C435279">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（三）审核</w:t>
      </w:r>
    </w:p>
    <w:p w14:paraId="16D7D2D0">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官渡区行政审批局对申请材料进行形式审查，</w:t>
      </w:r>
      <w:r>
        <w:rPr>
          <w:rFonts w:hint="eastAsia" w:ascii="仿宋_GB2312" w:hAnsi="仿宋_GB2312" w:eastAsia="仿宋_GB2312" w:cs="仿宋_GB2312"/>
          <w:b w:val="0"/>
          <w:bCs/>
          <w:color w:val="auto"/>
          <w:sz w:val="32"/>
          <w:szCs w:val="32"/>
          <w:lang w:val="en-US" w:eastAsia="zh-CN"/>
        </w:rPr>
        <w:t>符合法定形式及要求，符合相应技术标准，且</w:t>
      </w:r>
      <w:r>
        <w:rPr>
          <w:rFonts w:hint="default" w:ascii="Times New Roman" w:hAnsi="Times New Roman" w:eastAsia="仿宋_GB2312" w:cs="Times New Roman"/>
          <w:b w:val="0"/>
          <w:bCs/>
          <w:color w:val="auto"/>
          <w:sz w:val="32"/>
          <w:szCs w:val="32"/>
        </w:rPr>
        <w:t>有特别程序的</w:t>
      </w:r>
      <w:r>
        <w:rPr>
          <w:rFonts w:hint="eastAsia"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向申请人下发特别程序告知书。官渡区行政审批局依据有关法律、法规和技术规范组织审查，委托机构组织专家进行技术评审，审查前向建设单位发出通知告知申请人技术评审时间、地点、参会单位，召开技术评审会，申请人按通知要求做好配合工作。编制单位在报送报批稿受理后3个工作日内完成行政审批。</w:t>
      </w:r>
    </w:p>
    <w:p w14:paraId="792E2702">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（四）许可决定及送达方式</w:t>
      </w:r>
    </w:p>
    <w:p w14:paraId="2EF5A049">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2162E61B">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default"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default" w:ascii="Times New Roman" w:hAnsi="Times New Roman" w:eastAsia="仿宋_GB2312" w:cs="Times New Roman"/>
          <w:b w:val="0"/>
          <w:bCs/>
          <w:color w:val="auto"/>
          <w:sz w:val="32"/>
          <w:szCs w:val="32"/>
          <w:lang w:val="en-US" w:eastAsia="zh-CN"/>
        </w:rPr>
        <w:t>关于XX项目占用农业灌溉水源、灌排工程</w:t>
      </w:r>
      <w:r>
        <w:rPr>
          <w:rFonts w:hint="eastAsia" w:eastAsia="仿宋_GB2312" w:cs="Times New Roman"/>
          <w:b w:val="0"/>
          <w:bCs/>
          <w:color w:val="auto"/>
          <w:sz w:val="32"/>
          <w:szCs w:val="32"/>
          <w:lang w:val="en-US" w:eastAsia="zh-CN"/>
        </w:rPr>
        <w:t>的</w:t>
      </w:r>
      <w:r>
        <w:rPr>
          <w:rFonts w:hint="default" w:ascii="Times New Roman" w:hAnsi="Times New Roman" w:eastAsia="仿宋_GB2312" w:cs="Times New Roman"/>
          <w:b w:val="0"/>
          <w:bCs/>
          <w:color w:val="auto"/>
          <w:sz w:val="32"/>
          <w:szCs w:val="32"/>
          <w:lang w:val="en-US" w:eastAsia="zh-CN"/>
        </w:rPr>
        <w:t>行政许可决定书</w:t>
      </w:r>
      <w:r>
        <w:rPr>
          <w:rFonts w:hint="eastAsia" w:eastAsia="仿宋_GB2312" w:cs="Times New Roman"/>
          <w:b w:val="0"/>
          <w:bCs/>
          <w:color w:val="auto"/>
          <w:sz w:val="32"/>
          <w:szCs w:val="32"/>
          <w:lang w:val="en-US" w:eastAsia="zh-CN"/>
        </w:rPr>
        <w:t>。</w:t>
      </w:r>
    </w:p>
    <w:p w14:paraId="4C2AEFC2">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p>
    <w:p w14:paraId="6AFB6065">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十一、许可服务</w:t>
      </w:r>
    </w:p>
    <w:p w14:paraId="60348D2D">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outlineLvl w:val="0"/>
        <w:rPr>
          <w:rFonts w:hint="default" w:ascii="Times New Roman" w:hAnsi="Times New Roman" w:eastAsia="黑体" w:cs="Times New Roman"/>
          <w:b w:val="0"/>
          <w:bCs/>
          <w:color w:val="auto"/>
          <w:sz w:val="32"/>
          <w:szCs w:val="32"/>
        </w:rPr>
      </w:pPr>
      <w:r>
        <w:rPr>
          <w:rFonts w:hint="default" w:ascii="Times New Roman" w:hAnsi="Times New Roman" w:eastAsia="仿宋_GB2312" w:cs="Times New Roman"/>
          <w:b w:val="0"/>
          <w:bCs/>
          <w:color w:val="auto"/>
          <w:sz w:val="32"/>
          <w:szCs w:val="32"/>
        </w:rPr>
        <w:t>（一）咨询</w:t>
      </w:r>
    </w:p>
    <w:p w14:paraId="348AC9DC">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1.咨询方式</w:t>
      </w:r>
    </w:p>
    <w:p w14:paraId="466B8EAE">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（1）窗口咨询。</w:t>
      </w:r>
    </w:p>
    <w:p w14:paraId="08223B2A">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地址：</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p>
    <w:p w14:paraId="41108F6F">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（2）电话咨询。电话号码：(0871) 6</w:t>
      </w:r>
      <w:r>
        <w:rPr>
          <w:rFonts w:hint="default" w:ascii="Times New Roman" w:hAnsi="Times New Roman" w:eastAsia="仿宋_GB2312" w:cs="Times New Roman"/>
          <w:color w:val="auto"/>
          <w:sz w:val="32"/>
          <w:szCs w:val="32"/>
          <w:lang w:val="en-US" w:eastAsia="zh-CN"/>
        </w:rPr>
        <w:t>6190385</w:t>
      </w:r>
    </w:p>
    <w:p w14:paraId="0134992E">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网络咨询。http://zwfw.yn.gov.cn/portal/#/home “云南省政务服务网”</w:t>
      </w:r>
    </w:p>
    <w:p w14:paraId="519369AB">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outlineLvl w:val="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2.咨询回复</w:t>
      </w:r>
    </w:p>
    <w:p w14:paraId="64756DA6">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回复方式：窗口回复、电话回复、网络回复。</w:t>
      </w:r>
    </w:p>
    <w:p w14:paraId="0F8D61A3">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回复机构：昆明市官渡区行政审批局。</w:t>
      </w:r>
    </w:p>
    <w:p w14:paraId="476170DC">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回复时限：窗口咨询和电话咨询当场回复；网络咨询自收到咨询件后3个工作日内回复。</w:t>
      </w:r>
    </w:p>
    <w:p w14:paraId="0C1B4B4C">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outlineLvl w:val="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（二）办理进程查询</w:t>
      </w:r>
    </w:p>
    <w:p w14:paraId="317C2FD5">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申请人可通过电话号码：(0871)</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6</w:t>
      </w:r>
      <w:r>
        <w:rPr>
          <w:rFonts w:hint="default" w:ascii="Times New Roman" w:hAnsi="Times New Roman" w:eastAsia="仿宋_GB2312" w:cs="Times New Roman"/>
          <w:color w:val="auto"/>
          <w:sz w:val="32"/>
          <w:szCs w:val="32"/>
          <w:lang w:val="en-US" w:eastAsia="zh-CN"/>
        </w:rPr>
        <w:t>6190385</w:t>
      </w:r>
      <w:r>
        <w:rPr>
          <w:rFonts w:hint="default" w:ascii="Times New Roman" w:hAnsi="Times New Roman" w:eastAsia="仿宋_GB2312" w:cs="Times New Roman"/>
          <w:color w:val="auto"/>
          <w:sz w:val="32"/>
          <w:szCs w:val="32"/>
        </w:rPr>
        <w:t>或“云南省政务服务网”http://zwfw.yn.gov.cn/portal/#/home 查询审批事项办理进程。</w:t>
      </w:r>
    </w:p>
    <w:p w14:paraId="11386481">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outlineLvl w:val="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（三）监督投诉</w:t>
      </w:r>
    </w:p>
    <w:p w14:paraId="13A5BE04">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color w:val="auto"/>
          <w:sz w:val="32"/>
          <w:szCs w:val="32"/>
        </w:rPr>
        <w:t>窗口投诉：</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p>
    <w:p w14:paraId="70F14DA4">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default" w:ascii="Times New Roman" w:hAnsi="Times New Roman" w:eastAsia="仿宋_GB2312" w:cs="Times New Roman"/>
          <w:color w:val="auto"/>
          <w:sz w:val="32"/>
          <w:szCs w:val="32"/>
          <w:lang w:val="en-US"/>
        </w:rPr>
      </w:pPr>
      <w:r>
        <w:rPr>
          <w:rFonts w:hint="default" w:ascii="Times New Roman" w:hAnsi="Times New Roman" w:eastAsia="仿宋_GB2312" w:cs="Times New Roman"/>
          <w:color w:val="auto"/>
          <w:sz w:val="32"/>
          <w:szCs w:val="32"/>
        </w:rPr>
        <w:t>电话投诉：(0871) 6</w:t>
      </w:r>
      <w:r>
        <w:rPr>
          <w:rFonts w:hint="default" w:ascii="Times New Roman" w:hAnsi="Times New Roman" w:eastAsia="仿宋_GB2312" w:cs="Times New Roman"/>
          <w:color w:val="auto"/>
          <w:sz w:val="32"/>
          <w:szCs w:val="32"/>
          <w:lang w:val="en-US" w:eastAsia="zh-CN"/>
        </w:rPr>
        <w:t>61903</w:t>
      </w:r>
      <w:r>
        <w:rPr>
          <w:rFonts w:hint="eastAsia" w:ascii="Times New Roman" w:hAnsi="Times New Roman" w:eastAsia="仿宋_GB2312" w:cs="Times New Roman"/>
          <w:color w:val="auto"/>
          <w:sz w:val="32"/>
          <w:szCs w:val="32"/>
          <w:lang w:val="en-US" w:eastAsia="zh-CN"/>
        </w:rPr>
        <w:t>58</w:t>
      </w:r>
    </w:p>
    <w:p w14:paraId="3566C038">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color w:val="auto"/>
          <w:sz w:val="32"/>
          <w:szCs w:val="32"/>
        </w:rPr>
        <w:t>网上投诉：http://zwfw.yn.gov.cn/</w:t>
      </w:r>
      <w:r>
        <w:rPr>
          <w:rFonts w:hint="default" w:ascii="Times New Roman" w:hAnsi="Times New Roman" w:eastAsia="仿宋_GB2312" w:cs="Times New Roman"/>
          <w:b w:val="0"/>
          <w:bCs/>
          <w:color w:val="auto"/>
          <w:sz w:val="32"/>
          <w:szCs w:val="32"/>
        </w:rPr>
        <w:t xml:space="preserve">  </w:t>
      </w:r>
    </w:p>
    <w:p w14:paraId="3B754F15">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lang w:val="en-US" w:eastAsia="zh-CN"/>
        </w:rPr>
        <w:t>四</w:t>
      </w:r>
      <w:r>
        <w:rPr>
          <w:rFonts w:hint="default"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行政复议或行政诉讼</w:t>
      </w:r>
    </w:p>
    <w:p w14:paraId="1769735C">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公民、法人或者其他组织认为具体行政行为侵犯其合法权益的，可以自知道该具体行政行为之日起六十日内向官渡区人民政府提出行政复议，或应当自知道或应当知道作出行政行为之日起六个月内依法向有管辖权的人民法院提起行政诉讼。</w:t>
      </w:r>
    </w:p>
    <w:p w14:paraId="1ABCCC8E">
      <w:pPr>
        <w:keepNext w:val="0"/>
        <w:keepLines w:val="0"/>
        <w:pageBreakBefore w:val="0"/>
        <w:widowControl w:val="0"/>
        <w:kinsoku/>
        <w:wordWrap/>
        <w:overflowPunct/>
        <w:topLinePunct w:val="0"/>
        <w:autoSpaceDE/>
        <w:autoSpaceDN/>
        <w:bidi w:val="0"/>
        <w:spacing w:line="540" w:lineRule="exact"/>
        <w:ind w:left="0" w:leftChars="0" w:firstLine="560" w:firstLineChars="200"/>
        <w:jc w:val="both"/>
        <w:textAlignment w:val="auto"/>
        <w:rPr>
          <w:rFonts w:hint="default" w:ascii="Times New Roman" w:hAnsi="Times New Roman" w:eastAsia="黑体" w:cs="Times New Roman"/>
          <w:sz w:val="28"/>
          <w:szCs w:val="28"/>
        </w:rPr>
      </w:pPr>
    </w:p>
    <w:p w14:paraId="32EC0D70">
      <w:pPr>
        <w:keepNext w:val="0"/>
        <w:keepLines w:val="0"/>
        <w:pageBreakBefore w:val="0"/>
        <w:widowControl w:val="0"/>
        <w:kinsoku/>
        <w:wordWrap/>
        <w:overflowPunct/>
        <w:topLinePunct w:val="0"/>
        <w:autoSpaceDE/>
        <w:autoSpaceDN/>
        <w:bidi w:val="0"/>
        <w:spacing w:line="540" w:lineRule="exact"/>
        <w:ind w:left="0" w:leftChars="0" w:firstLine="560" w:firstLineChars="200"/>
        <w:jc w:val="both"/>
        <w:textAlignment w:val="auto"/>
        <w:rPr>
          <w:rFonts w:hint="default" w:ascii="Times New Roman" w:hAnsi="Times New Roman" w:eastAsia="黑体" w:cs="Times New Roman"/>
          <w:sz w:val="28"/>
          <w:szCs w:val="28"/>
        </w:rPr>
      </w:pPr>
    </w:p>
    <w:p w14:paraId="6698527E">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.行政许可事项办件</w:t>
      </w:r>
      <w:r>
        <w:rPr>
          <w:rFonts w:hint="eastAsia" w:ascii="仿宋_GB2312" w:hAnsi="仿宋_GB2312" w:eastAsia="仿宋_GB2312" w:cs="仿宋_GB2312"/>
          <w:sz w:val="32"/>
          <w:szCs w:val="32"/>
        </w:rPr>
        <w:t>流程图</w:t>
      </w:r>
    </w:p>
    <w:p w14:paraId="0C45414B">
      <w:pPr>
        <w:keepNext w:val="0"/>
        <w:keepLines w:val="0"/>
        <w:pageBreakBefore w:val="0"/>
        <w:widowControl w:val="0"/>
        <w:kinsoku/>
        <w:wordWrap/>
        <w:overflowPunct/>
        <w:topLinePunct w:val="0"/>
        <w:autoSpaceDE/>
        <w:autoSpaceDN/>
        <w:bidi w:val="0"/>
        <w:spacing w:line="54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2.</w:t>
      </w:r>
      <w:bookmarkStart w:id="1" w:name="_GoBack"/>
      <w:bookmarkEnd w:id="1"/>
      <w:r>
        <w:rPr>
          <w:rFonts w:hint="eastAsia" w:ascii="仿宋_GB2312" w:hAnsi="仿宋_GB2312" w:eastAsia="仿宋_GB2312" w:cs="仿宋_GB2312"/>
          <w:sz w:val="32"/>
          <w:szCs w:val="32"/>
          <w:lang w:val="en-US" w:eastAsia="zh-CN"/>
        </w:rPr>
        <w:t>申请书</w:t>
      </w:r>
    </w:p>
    <w:p w14:paraId="616AB81D">
      <w:pPr>
        <w:pStyle w:val="2"/>
        <w:keepNext w:val="0"/>
        <w:keepLines w:val="0"/>
        <w:pageBreakBefore w:val="0"/>
        <w:widowControl w:val="0"/>
        <w:wordWrap/>
        <w:topLinePunct w:val="0"/>
        <w:bidi w:val="0"/>
        <w:spacing w:line="480" w:lineRule="exact"/>
        <w:rPr>
          <w:rFonts w:hint="default" w:ascii="Times New Roman" w:hAnsi="Times New Roman" w:eastAsia="黑体" w:cs="Times New Roman"/>
          <w:sz w:val="28"/>
          <w:szCs w:val="28"/>
        </w:rPr>
      </w:pPr>
    </w:p>
    <w:p w14:paraId="754F0BAF">
      <w:pPr>
        <w:keepNext w:val="0"/>
        <w:keepLines w:val="0"/>
        <w:pageBreakBefore w:val="0"/>
        <w:widowControl w:val="0"/>
        <w:tabs>
          <w:tab w:val="center" w:pos="4422"/>
        </w:tabs>
        <w:wordWrap/>
        <w:topLinePunct w:val="0"/>
        <w:bidi w:val="0"/>
        <w:spacing w:line="480" w:lineRule="exact"/>
        <w:jc w:val="left"/>
        <w:outlineLvl w:val="0"/>
        <w:rPr>
          <w:rFonts w:hint="default" w:ascii="Times New Roman" w:hAnsi="Times New Roman" w:eastAsia="黑体" w:cs="Times New Roman"/>
          <w:sz w:val="28"/>
          <w:szCs w:val="28"/>
        </w:rPr>
      </w:pPr>
      <w:r>
        <w:rPr>
          <w:rFonts w:hint="default" w:ascii="Times New Roman" w:hAnsi="Times New Roman" w:eastAsia="方正小标宋简体" w:cs="Times New Roman"/>
          <w:b w:val="0"/>
          <w:bCs w:val="0"/>
          <w:sz w:val="44"/>
          <w:szCs w:val="44"/>
          <w:lang w:val="en-US" w:eastAsia="zh-CN"/>
        </w:rPr>
        <w:drawing>
          <wp:anchor distT="0" distB="0" distL="114300" distR="114300" simplePos="0" relativeHeight="251662336" behindDoc="0" locked="0" layoutInCell="1" allowOverlap="1">
            <wp:simplePos x="0" y="0"/>
            <wp:positionH relativeFrom="column">
              <wp:posOffset>-384810</wp:posOffset>
            </wp:positionH>
            <wp:positionV relativeFrom="paragraph">
              <wp:posOffset>436880</wp:posOffset>
            </wp:positionV>
            <wp:extent cx="6126480" cy="7267575"/>
            <wp:effectExtent l="0" t="0" r="0" b="0"/>
            <wp:wrapSquare wrapText="bothSides"/>
            <wp:docPr id="3"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7" descr="123456"/>
                    <pic:cNvPicPr>
                      <a:picLocks noChangeAspect="1"/>
                    </pic:cNvPicPr>
                  </pic:nvPicPr>
                  <pic:blipFill>
                    <a:blip r:embed="rId8"/>
                    <a:stretch>
                      <a:fillRect/>
                    </a:stretch>
                  </pic:blipFill>
                  <pic:spPr>
                    <a:xfrm>
                      <a:off x="0" y="0"/>
                      <a:ext cx="6126480" cy="7267575"/>
                    </a:xfrm>
                    <a:prstGeom prst="rect">
                      <a:avLst/>
                    </a:prstGeom>
                    <a:noFill/>
                    <a:ln>
                      <a:noFill/>
                    </a:ln>
                  </pic:spPr>
                </pic:pic>
              </a:graphicData>
            </a:graphic>
          </wp:anchor>
        </w:drawing>
      </w:r>
      <w:r>
        <w:rPr>
          <w:rFonts w:hint="default" w:ascii="Times New Roman" w:hAnsi="Times New Roman" w:eastAsia="黑体" w:cs="Times New Roman"/>
          <w:sz w:val="24"/>
          <w:szCs w:val="24"/>
        </w:rPr>
        <w:t>附件1</w:t>
      </w:r>
      <w:r>
        <w:rPr>
          <w:rFonts w:hint="eastAsia" w:ascii="Times New Roman" w:hAnsi="Times New Roman" w:eastAsia="黑体" w:cs="Times New Roman"/>
          <w:sz w:val="28"/>
          <w:szCs w:val="28"/>
          <w:lang w:val="en-US" w:eastAsia="zh-CN"/>
        </w:rPr>
        <w:t>：</w:t>
      </w:r>
    </w:p>
    <w:p w14:paraId="7373D2FC">
      <w:pPr>
        <w:keepNext w:val="0"/>
        <w:keepLines w:val="0"/>
        <w:pageBreakBefore w:val="0"/>
        <w:widowControl w:val="0"/>
        <w:wordWrap/>
        <w:topLinePunct w:val="0"/>
        <w:bidi w:val="0"/>
        <w:spacing w:line="480" w:lineRule="exact"/>
        <w:ind w:firstLine="0" w:firstLineChars="0"/>
        <w:jc w:val="left"/>
        <w:outlineLvl w:val="2"/>
        <w:rPr>
          <w:rFonts w:hint="default" w:ascii="Times New Roman" w:hAnsi="Times New Roman" w:eastAsia="黑体" w:cs="Times New Roman"/>
          <w:sz w:val="24"/>
          <w:szCs w:val="24"/>
          <w:lang w:val="en-US" w:eastAsia="zh-CN"/>
        </w:rPr>
      </w:pPr>
      <w:bookmarkStart w:id="0" w:name="_Toc521313217"/>
    </w:p>
    <w:p w14:paraId="31D5285D">
      <w:pPr>
        <w:keepNext w:val="0"/>
        <w:keepLines w:val="0"/>
        <w:pageBreakBefore w:val="0"/>
        <w:widowControl w:val="0"/>
        <w:wordWrap/>
        <w:topLinePunct w:val="0"/>
        <w:bidi w:val="0"/>
        <w:spacing w:line="480" w:lineRule="exact"/>
        <w:ind w:firstLine="0" w:firstLineChars="0"/>
        <w:jc w:val="left"/>
        <w:outlineLvl w:val="2"/>
        <w:rPr>
          <w:rFonts w:hint="default" w:ascii="Times New Roman" w:hAnsi="Times New Roman" w:eastAsia="黑体" w:cs="Times New Roman"/>
          <w:sz w:val="24"/>
          <w:szCs w:val="24"/>
          <w:lang w:val="en-US" w:eastAsia="zh-CN"/>
        </w:rPr>
      </w:pPr>
      <w:r>
        <w:rPr>
          <w:rFonts w:hint="default" w:ascii="Times New Roman" w:hAnsi="Times New Roman" w:eastAsia="黑体" w:cs="Times New Roman"/>
          <w:sz w:val="24"/>
          <w:szCs w:val="24"/>
          <w:lang w:val="en-US" w:eastAsia="zh-CN"/>
        </w:rPr>
        <w:t>附件2</w:t>
      </w:r>
    </w:p>
    <w:p w14:paraId="6F730AE4">
      <w:pPr>
        <w:keepNext w:val="0"/>
        <w:keepLines w:val="0"/>
        <w:pageBreakBefore w:val="0"/>
        <w:widowControl w:val="0"/>
        <w:wordWrap/>
        <w:topLinePunct w:val="0"/>
        <w:bidi w:val="0"/>
        <w:spacing w:line="480" w:lineRule="exact"/>
        <w:ind w:firstLine="0" w:firstLineChars="0"/>
        <w:jc w:val="center"/>
        <w:outlineLvl w:val="2"/>
        <w:rPr>
          <w:rFonts w:hint="default" w:ascii="Times New Roman" w:hAnsi="Times New Roman" w:eastAsia="楷体_GB2312" w:cs="Times New Roman"/>
          <w:sz w:val="28"/>
          <w:szCs w:val="28"/>
        </w:rPr>
      </w:pPr>
      <w:r>
        <w:rPr>
          <w:rFonts w:hint="default" w:ascii="Times New Roman" w:hAnsi="Times New Roman" w:eastAsia="黑体" w:cs="Times New Roman"/>
          <w:sz w:val="32"/>
          <w:szCs w:val="32"/>
        </w:rPr>
        <w:t xml:space="preserve"> 行政许可申请书</w:t>
      </w:r>
      <w:bookmarkEnd w:id="0"/>
      <w:r>
        <w:rPr>
          <w:rFonts w:hint="default" w:ascii="Times New Roman" w:hAnsi="Times New Roman" w:eastAsia="楷体_GB2312" w:cs="Times New Roman"/>
          <w:sz w:val="28"/>
          <w:szCs w:val="28"/>
        </w:rPr>
        <w:t>（示范文本）</w:t>
      </w:r>
    </w:p>
    <w:p w14:paraId="41C938E0">
      <w:pPr>
        <w:keepNext w:val="0"/>
        <w:keepLines w:val="0"/>
        <w:pageBreakBefore w:val="0"/>
        <w:widowControl w:val="0"/>
        <w:wordWrap/>
        <w:topLinePunct w:val="0"/>
        <w:bidi w:val="0"/>
        <w:spacing w:line="480" w:lineRule="exact"/>
        <w:ind w:firstLine="480"/>
        <w:rPr>
          <w:rFonts w:hint="default" w:ascii="Times New Roman" w:hAnsi="Times New Roman" w:eastAsia="仿宋" w:cs="Times New Roman"/>
        </w:rPr>
      </w:pPr>
    </w:p>
    <w:p w14:paraId="5090CAF5">
      <w:pPr>
        <w:keepNext w:val="0"/>
        <w:keepLines w:val="0"/>
        <w:pageBreakBefore w:val="0"/>
        <w:widowControl w:val="0"/>
        <w:wordWrap/>
        <w:topLinePunct w:val="0"/>
        <w:bidi w:val="0"/>
        <w:spacing w:line="48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官渡区行政审批局：</w:t>
      </w:r>
    </w:p>
    <w:p w14:paraId="199E22B9">
      <w:pPr>
        <w:keepNext w:val="0"/>
        <w:keepLines w:val="0"/>
        <w:pageBreakBefore w:val="0"/>
        <w:widowControl w:val="0"/>
        <w:wordWrap/>
        <w:topLinePunct w:val="0"/>
        <w:bidi w:val="0"/>
        <w:spacing w:line="48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我（单位）现向</w:t>
      </w:r>
      <w:r>
        <w:rPr>
          <w:rFonts w:hint="default" w:ascii="Times New Roman" w:hAnsi="Times New Roman" w:eastAsia="仿宋" w:cs="Times New Roman"/>
          <w:sz w:val="32"/>
          <w:szCs w:val="32"/>
          <w:u w:val="single"/>
        </w:rPr>
        <w:t>官渡区行政审批局</w:t>
      </w:r>
      <w:r>
        <w:rPr>
          <w:rFonts w:hint="default" w:ascii="Times New Roman" w:hAnsi="Times New Roman" w:eastAsia="仿宋" w:cs="Times New Roman"/>
          <w:sz w:val="32"/>
          <w:szCs w:val="32"/>
        </w:rPr>
        <w:t>申请</w:t>
      </w:r>
      <w:r>
        <w:rPr>
          <w:rFonts w:hint="default" w:ascii="Times New Roman" w:hAnsi="Times New Roman" w:eastAsia="仿宋" w:cs="Times New Roman"/>
          <w:sz w:val="32"/>
          <w:szCs w:val="32"/>
          <w:u w:val="single"/>
        </w:rPr>
        <w:t xml:space="preserve">             （项目名称）           </w:t>
      </w:r>
      <w:r>
        <w:rPr>
          <w:rFonts w:hint="default" w:ascii="Times New Roman" w:hAnsi="Times New Roman" w:eastAsia="仿宋" w:cs="Times New Roman"/>
          <w:sz w:val="32"/>
          <w:szCs w:val="32"/>
        </w:rPr>
        <w:t>行政许可，并提交如下申请材料：</w:t>
      </w:r>
    </w:p>
    <w:p w14:paraId="369E4789">
      <w:pPr>
        <w:keepNext w:val="0"/>
        <w:keepLines w:val="0"/>
        <w:pageBreakBefore w:val="0"/>
        <w:widowControl w:val="0"/>
        <w:wordWrap/>
        <w:topLinePunct w:val="0"/>
        <w:bidi w:val="0"/>
        <w:spacing w:line="480" w:lineRule="exact"/>
        <w:ind w:firstLine="480" w:firstLineChars="150"/>
        <w:rPr>
          <w:rFonts w:hint="default" w:ascii="Times New Roman" w:hAnsi="Times New Roman" w:eastAsia="仿宋" w:cs="Times New Roman"/>
          <w:sz w:val="32"/>
          <w:szCs w:val="32"/>
          <w:u w:val="single"/>
        </w:rPr>
      </w:pPr>
      <w:r>
        <w:rPr>
          <w:rFonts w:hint="default" w:ascii="Times New Roman" w:hAnsi="Times New Roman" w:eastAsia="仿宋" w:cs="Times New Roman"/>
          <w:sz w:val="32"/>
          <w:szCs w:val="32"/>
          <w:u w:val="single"/>
        </w:rPr>
        <w:t>1、                           2份；</w:t>
      </w:r>
    </w:p>
    <w:p w14:paraId="5068B588">
      <w:pPr>
        <w:keepNext w:val="0"/>
        <w:keepLines w:val="0"/>
        <w:pageBreakBefore w:val="0"/>
        <w:widowControl w:val="0"/>
        <w:wordWrap/>
        <w:topLinePunct w:val="0"/>
        <w:bidi w:val="0"/>
        <w:spacing w:line="480" w:lineRule="exact"/>
        <w:ind w:firstLine="480" w:firstLineChars="150"/>
        <w:rPr>
          <w:rFonts w:hint="default" w:ascii="Times New Roman" w:hAnsi="Times New Roman" w:eastAsia="仿宋" w:cs="Times New Roman"/>
          <w:sz w:val="32"/>
          <w:szCs w:val="32"/>
        </w:rPr>
      </w:pPr>
      <w:r>
        <w:rPr>
          <w:rFonts w:hint="default" w:ascii="Times New Roman" w:hAnsi="Times New Roman" w:eastAsia="仿宋" w:cs="Times New Roman"/>
          <w:sz w:val="32"/>
          <w:szCs w:val="32"/>
          <w:u w:val="single"/>
        </w:rPr>
        <w:t xml:space="preserve">2、           报告书（表）5份。    </w:t>
      </w:r>
    </w:p>
    <w:p w14:paraId="6CF8BEB8">
      <w:pPr>
        <w:keepNext w:val="0"/>
        <w:keepLines w:val="0"/>
        <w:pageBreakBefore w:val="0"/>
        <w:widowControl w:val="0"/>
        <w:wordWrap/>
        <w:topLinePunct w:val="0"/>
        <w:bidi w:val="0"/>
        <w:spacing w:line="48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3、</w:t>
      </w:r>
    </w:p>
    <w:p w14:paraId="362ADEB1">
      <w:pPr>
        <w:keepNext w:val="0"/>
        <w:keepLines w:val="0"/>
        <w:pageBreakBefore w:val="0"/>
        <w:widowControl w:val="0"/>
        <w:wordWrap/>
        <w:topLinePunct w:val="0"/>
        <w:bidi w:val="0"/>
        <w:spacing w:line="48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申请人承诺：所提交申请材料真实。</w:t>
      </w:r>
    </w:p>
    <w:p w14:paraId="1EEB8C9A">
      <w:pPr>
        <w:keepNext w:val="0"/>
        <w:keepLines w:val="0"/>
        <w:pageBreakBefore w:val="0"/>
        <w:widowControl w:val="0"/>
        <w:wordWrap/>
        <w:topLinePunct w:val="0"/>
        <w:bidi w:val="0"/>
        <w:spacing w:line="48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请依法审查并予以批准。</w:t>
      </w:r>
    </w:p>
    <w:p w14:paraId="10FCB605">
      <w:pPr>
        <w:keepNext w:val="0"/>
        <w:keepLines w:val="0"/>
        <w:pageBreakBefore w:val="0"/>
        <w:widowControl w:val="0"/>
        <w:wordWrap/>
        <w:topLinePunct w:val="0"/>
        <w:bidi w:val="0"/>
        <w:spacing w:line="480" w:lineRule="exact"/>
        <w:ind w:firstLine="0" w:firstLineChars="0"/>
        <w:rPr>
          <w:rFonts w:hint="default" w:ascii="Times New Roman" w:hAnsi="Times New Roman" w:eastAsia="仿宋" w:cs="Times New Roman"/>
          <w:sz w:val="32"/>
          <w:szCs w:val="32"/>
        </w:rPr>
      </w:pPr>
    </w:p>
    <w:p w14:paraId="1C4095D4">
      <w:pPr>
        <w:keepNext w:val="0"/>
        <w:keepLines w:val="0"/>
        <w:pageBreakBefore w:val="0"/>
        <w:widowControl w:val="0"/>
        <w:wordWrap/>
        <w:topLinePunct w:val="0"/>
        <w:bidi w:val="0"/>
        <w:spacing w:line="48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申请人名称：（单位全称）           </w:t>
      </w:r>
    </w:p>
    <w:p w14:paraId="6BCB8788">
      <w:pPr>
        <w:keepNext w:val="0"/>
        <w:keepLines w:val="0"/>
        <w:pageBreakBefore w:val="0"/>
        <w:widowControl w:val="0"/>
        <w:wordWrap/>
        <w:topLinePunct w:val="0"/>
        <w:bidi w:val="0"/>
        <w:spacing w:line="48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法定代表人（或负责人）：   单位社会信用代码： </w:t>
      </w:r>
    </w:p>
    <w:p w14:paraId="1742C6E1">
      <w:pPr>
        <w:keepNext w:val="0"/>
        <w:keepLines w:val="0"/>
        <w:pageBreakBefore w:val="0"/>
        <w:widowControl w:val="0"/>
        <w:wordWrap/>
        <w:topLinePunct w:val="0"/>
        <w:bidi w:val="0"/>
        <w:spacing w:line="48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个人申请人姓名：（仅自然人申请时填写）</w:t>
      </w:r>
      <w:r>
        <w:rPr>
          <w:rFonts w:hint="default" w:ascii="Times New Roman" w:hAnsi="Times New Roman" w:cs="Times New Roman"/>
          <w:sz w:val="30"/>
          <w:szCs w:val="30"/>
        </w:rPr>
        <w:t xml:space="preserve"> </w:t>
      </w:r>
      <w:r>
        <w:rPr>
          <w:rFonts w:hint="default" w:ascii="Times New Roman" w:hAnsi="Times New Roman" w:eastAsia="仿宋" w:cs="Times New Roman"/>
          <w:sz w:val="32"/>
          <w:szCs w:val="32"/>
        </w:rPr>
        <w:t xml:space="preserve"> 身份证号码：</w:t>
      </w:r>
    </w:p>
    <w:p w14:paraId="736A2EB1">
      <w:pPr>
        <w:keepNext w:val="0"/>
        <w:keepLines w:val="0"/>
        <w:pageBreakBefore w:val="0"/>
        <w:widowControl w:val="0"/>
        <w:wordWrap/>
        <w:topLinePunct w:val="0"/>
        <w:bidi w:val="0"/>
        <w:spacing w:line="48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联系人：（申请单位）           电话：</w:t>
      </w:r>
    </w:p>
    <w:p w14:paraId="177608CD">
      <w:pPr>
        <w:keepNext w:val="0"/>
        <w:keepLines w:val="0"/>
        <w:pageBreakBefore w:val="0"/>
        <w:widowControl w:val="0"/>
        <w:wordWrap/>
        <w:topLinePunct w:val="0"/>
        <w:bidi w:val="0"/>
        <w:spacing w:line="48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委托代理人姓名：              身份证号码：</w:t>
      </w:r>
    </w:p>
    <w:p w14:paraId="2B120D12">
      <w:pPr>
        <w:keepNext w:val="0"/>
        <w:keepLines w:val="0"/>
        <w:pageBreakBefore w:val="0"/>
        <w:widowControl w:val="0"/>
        <w:wordWrap/>
        <w:topLinePunct w:val="0"/>
        <w:bidi w:val="0"/>
        <w:spacing w:line="48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委托代理人单位：</w:t>
      </w:r>
      <w:r>
        <w:rPr>
          <w:rFonts w:hint="default" w:ascii="Times New Roman" w:hAnsi="Times New Roman" w:eastAsia="仿宋" w:cs="Times New Roman"/>
          <w:sz w:val="32"/>
          <w:szCs w:val="32"/>
        </w:rPr>
        <w:tab/>
      </w:r>
      <w:r>
        <w:rPr>
          <w:rFonts w:hint="default" w:ascii="Times New Roman" w:hAnsi="Times New Roman" w:eastAsia="仿宋" w:cs="Times New Roman"/>
          <w:sz w:val="32"/>
          <w:szCs w:val="32"/>
        </w:rPr>
        <w:t xml:space="preserve">            电话：       </w:t>
      </w:r>
    </w:p>
    <w:p w14:paraId="019715D0">
      <w:pPr>
        <w:keepNext w:val="0"/>
        <w:keepLines w:val="0"/>
        <w:pageBreakBefore w:val="0"/>
        <w:widowControl w:val="0"/>
        <w:wordWrap/>
        <w:topLinePunct w:val="0"/>
        <w:bidi w:val="0"/>
        <w:spacing w:line="48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住址/地址：（可邮寄送达的地址）   邮编：       </w:t>
      </w:r>
    </w:p>
    <w:p w14:paraId="0798AA69">
      <w:pPr>
        <w:keepNext w:val="0"/>
        <w:keepLines w:val="0"/>
        <w:pageBreakBefore w:val="0"/>
        <w:widowControl w:val="0"/>
        <w:wordWrap/>
        <w:topLinePunct w:val="0"/>
        <w:bidi w:val="0"/>
        <w:spacing w:line="48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电子邮箱：（可送达电子文书的邮箱）</w:t>
      </w:r>
    </w:p>
    <w:p w14:paraId="26A09650">
      <w:pPr>
        <w:keepNext w:val="0"/>
        <w:keepLines w:val="0"/>
        <w:pageBreakBefore w:val="0"/>
        <w:widowControl w:val="0"/>
        <w:wordWrap/>
        <w:topLinePunct w:val="0"/>
        <w:bidi w:val="0"/>
        <w:spacing w:line="48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p>
    <w:p w14:paraId="78697BAD">
      <w:pPr>
        <w:keepNext w:val="0"/>
        <w:keepLines w:val="0"/>
        <w:pageBreakBefore w:val="0"/>
        <w:widowControl w:val="0"/>
        <w:wordWrap/>
        <w:topLinePunct w:val="0"/>
        <w:bidi w:val="0"/>
        <w:spacing w:line="48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p>
    <w:p w14:paraId="740FFB55">
      <w:pPr>
        <w:keepNext w:val="0"/>
        <w:keepLines w:val="0"/>
        <w:pageBreakBefore w:val="0"/>
        <w:widowControl w:val="0"/>
        <w:wordWrap/>
        <w:topLinePunct w:val="0"/>
        <w:bidi w:val="0"/>
        <w:spacing w:line="480" w:lineRule="exact"/>
        <w:ind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申请人签字（盖章）：</w:t>
      </w:r>
    </w:p>
    <w:p w14:paraId="0ADE8EBE">
      <w:pPr>
        <w:keepNext w:val="0"/>
        <w:keepLines w:val="0"/>
        <w:pageBreakBefore w:val="0"/>
        <w:widowControl w:val="0"/>
        <w:wordWrap/>
        <w:topLinePunct w:val="0"/>
        <w:bidi w:val="0"/>
        <w:spacing w:line="480" w:lineRule="exact"/>
        <w:ind w:firstLine="320" w:firstLineChars="100"/>
        <w:rPr>
          <w:rFonts w:hint="default" w:ascii="Times New Roman" w:hAnsi="Times New Roman" w:cs="Times New Roman"/>
          <w:sz w:val="24"/>
        </w:rPr>
      </w:pPr>
      <w:r>
        <w:rPr>
          <w:rFonts w:hint="default" w:ascii="Times New Roman" w:hAnsi="Times New Roman" w:eastAsia="仿宋" w:cs="Times New Roman"/>
          <w:sz w:val="32"/>
          <w:szCs w:val="32"/>
        </w:rPr>
        <w:t xml:space="preserve">                             年  月  日</w:t>
      </w:r>
    </w:p>
    <w:sectPr>
      <w:headerReference r:id="rId6" w:type="default"/>
      <w:pgSz w:w="11906" w:h="16838"/>
      <w:pgMar w:top="2098" w:right="1502" w:bottom="2098" w:left="1502" w:header="851" w:footer="851"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0C842">
    <w:pPr>
      <w:pStyle w:val="4"/>
      <w:framePr w:wrap="around" w:vAnchor="text" w:hAnchor="margin" w:xAlign="outside" w:y="1"/>
      <w:rPr>
        <w:rStyle w:val="9"/>
        <w:rFonts w:ascii="宋体" w:hAnsi="宋体"/>
      </w:rPr>
    </w:pPr>
    <w:r>
      <w:rPr>
        <w:rFonts w:ascii="宋体" w:hAnsi="宋体"/>
      </w:rPr>
      <w:fldChar w:fldCharType="begin"/>
    </w:r>
    <w:r>
      <w:rPr>
        <w:rStyle w:val="9"/>
        <w:rFonts w:ascii="宋体" w:hAnsi="宋体"/>
      </w:rPr>
      <w:instrText xml:space="preserve">PAGE  </w:instrText>
    </w:r>
    <w:r>
      <w:rPr>
        <w:rFonts w:ascii="宋体" w:hAnsi="宋体"/>
      </w:rPr>
      <w:fldChar w:fldCharType="separate"/>
    </w:r>
    <w:r>
      <w:rPr>
        <w:rStyle w:val="9"/>
        <w:rFonts w:ascii="宋体" w:hAnsi="宋体"/>
      </w:rPr>
      <w:t>- 1 -</w:t>
    </w:r>
    <w:r>
      <w:rPr>
        <w:rFonts w:ascii="宋体" w:hAnsi="宋体"/>
      </w:rPr>
      <w:fldChar w:fldCharType="end"/>
    </w:r>
  </w:p>
  <w:p w14:paraId="0F65740C">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ED046">
    <w:pPr>
      <w:pStyle w:val="4"/>
      <w:framePr w:wrap="around" w:vAnchor="text" w:hAnchor="page" w:x="1769" w:y="51"/>
      <w:jc w:val="right"/>
      <w:rPr>
        <w:rStyle w:val="9"/>
        <w:rFonts w:ascii="宋体" w:hAnsi="宋体"/>
      </w:rPr>
    </w:pPr>
    <w:r>
      <w:rPr>
        <w:rFonts w:ascii="宋体" w:hAnsi="宋体"/>
      </w:rPr>
      <w:fldChar w:fldCharType="begin"/>
    </w:r>
    <w:r>
      <w:rPr>
        <w:rStyle w:val="9"/>
        <w:rFonts w:ascii="宋体" w:hAnsi="宋体"/>
      </w:rPr>
      <w:instrText xml:space="preserve">PAGE  </w:instrText>
    </w:r>
    <w:r>
      <w:rPr>
        <w:rFonts w:ascii="宋体" w:hAnsi="宋体"/>
      </w:rPr>
      <w:fldChar w:fldCharType="separate"/>
    </w:r>
    <w:r>
      <w:rPr>
        <w:rStyle w:val="9"/>
        <w:rFonts w:ascii="宋体" w:hAnsi="宋体"/>
      </w:rPr>
      <w:t>- 10 -</w:t>
    </w:r>
    <w:r>
      <w:rPr>
        <w:rFonts w:ascii="宋体" w:hAnsi="宋体"/>
      </w:rPr>
      <w:fldChar w:fldCharType="end"/>
    </w:r>
  </w:p>
  <w:p w14:paraId="30DDAFFB">
    <w:pPr>
      <w:pStyle w:val="4"/>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D536F">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6C67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B7A8E"/>
    <w:rsid w:val="00411947"/>
    <w:rsid w:val="004B1A14"/>
    <w:rsid w:val="00706BA6"/>
    <w:rsid w:val="00731CE5"/>
    <w:rsid w:val="04776BCE"/>
    <w:rsid w:val="05123582"/>
    <w:rsid w:val="0C6E74D1"/>
    <w:rsid w:val="0CD07EF7"/>
    <w:rsid w:val="0D093602"/>
    <w:rsid w:val="0DC96AB8"/>
    <w:rsid w:val="14616C93"/>
    <w:rsid w:val="14ED623A"/>
    <w:rsid w:val="1DA95D32"/>
    <w:rsid w:val="21C629B0"/>
    <w:rsid w:val="224968BA"/>
    <w:rsid w:val="23FA276D"/>
    <w:rsid w:val="247E4748"/>
    <w:rsid w:val="262F6632"/>
    <w:rsid w:val="275F07AF"/>
    <w:rsid w:val="2CF60445"/>
    <w:rsid w:val="34B156D5"/>
    <w:rsid w:val="35110185"/>
    <w:rsid w:val="37ED0D58"/>
    <w:rsid w:val="3A293AF9"/>
    <w:rsid w:val="3A8B782E"/>
    <w:rsid w:val="3C497840"/>
    <w:rsid w:val="3E653DD5"/>
    <w:rsid w:val="3E886AB6"/>
    <w:rsid w:val="3F855B55"/>
    <w:rsid w:val="43752FC8"/>
    <w:rsid w:val="4D271269"/>
    <w:rsid w:val="502D0117"/>
    <w:rsid w:val="51BA67E0"/>
    <w:rsid w:val="52DD7B52"/>
    <w:rsid w:val="5C7B016A"/>
    <w:rsid w:val="5D5C75FA"/>
    <w:rsid w:val="5EBF432C"/>
    <w:rsid w:val="62857B15"/>
    <w:rsid w:val="66EA4D3C"/>
    <w:rsid w:val="674376AD"/>
    <w:rsid w:val="69383BFA"/>
    <w:rsid w:val="6E352315"/>
    <w:rsid w:val="6E4F21B8"/>
    <w:rsid w:val="6F10065A"/>
    <w:rsid w:val="770B25FF"/>
    <w:rsid w:val="7DA72B0D"/>
    <w:rsid w:val="7E4E12B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character" w:default="1" w:styleId="8">
    <w:name w:val="Default Paragraph Font"/>
    <w:qFormat/>
    <w:uiPriority w:val="0"/>
  </w:style>
  <w:style w:type="table" w:default="1" w:styleId="7">
    <w:name w:val="Normal Table"/>
    <w:semiHidden/>
    <w:qFormat/>
    <w:uiPriority w:val="0"/>
    <w:pPr>
      <w:widowControl/>
      <w:autoSpaceDE/>
      <w:autoSpaceDN/>
      <w:spacing w:before="0" w:after="0" w:line="240" w:lineRule="auto"/>
      <w:ind w:left="0" w:firstLine="0"/>
    </w:pPr>
    <w:rPr>
      <w:sz w:val="20"/>
    </w:rPr>
    <w:tblPr>
      <w:tblCellMar>
        <w:left w:w="108" w:type="dxa"/>
        <w:right w:w="108" w:type="dxa"/>
      </w:tblCellMar>
    </w:tblPr>
  </w:style>
  <w:style w:type="paragraph" w:styleId="2">
    <w:name w:val="Body Text"/>
    <w:basedOn w:val="1"/>
    <w:qFormat/>
    <w:uiPriority w:val="0"/>
    <w:pPr>
      <w:spacing w:after="12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character" w:styleId="9">
    <w:name w:val="page number"/>
    <w:basedOn w:val="8"/>
    <w:qFormat/>
    <w:uiPriority w:val="0"/>
  </w:style>
  <w:style w:type="character" w:styleId="10">
    <w:name w:val="Hyperlink"/>
    <w:qFormat/>
    <w:uiPriority w:val="0"/>
    <w:rPr>
      <w:color w:val="0000FF"/>
      <w:u w:val="single"/>
    </w:rPr>
  </w:style>
  <w:style w:type="character" w:customStyle="1" w:styleId="11">
    <w:name w:val="页眉 Char"/>
    <w:basedOn w:val="8"/>
    <w:link w:val="5"/>
    <w:qFormat/>
    <w:uiPriority w:val="0"/>
    <w:rPr>
      <w:kern w:val="2"/>
      <w:sz w:val="18"/>
      <w:szCs w:val="18"/>
    </w:rPr>
  </w:style>
  <w:style w:type="paragraph" w:customStyle="1" w:styleId="12">
    <w:name w:val="Table Paragraph"/>
    <w:basedOn w:val="1"/>
    <w:qFormat/>
    <w:uiPriority w:val="0"/>
    <w:pPr>
      <w:autoSpaceDE w:val="0"/>
      <w:autoSpaceDN w:val="0"/>
      <w:adjustRightInd w:val="0"/>
      <w:jc w:val="left"/>
    </w:pPr>
    <w:rPr>
      <w:kern w:val="0"/>
      <w:sz w:val="24"/>
    </w:rPr>
  </w:style>
  <w:style w:type="paragraph" w:customStyle="1" w:styleId="13">
    <w:name w:val="Char Char Char Char Char Char Char Char Char Char Char Char Char Char Char Char Char Char Char Char Char Char Char Char Char Char Char Char Char Char Char Char Char"/>
    <w:basedOn w:val="1"/>
    <w:qFormat/>
    <w:uiPriority w:val="0"/>
    <w:pPr>
      <w:widowControl/>
      <w:spacing w:after="160" w:afterLines="0" w:line="240" w:lineRule="exact"/>
      <w:jc w:val="left"/>
    </w:pPr>
  </w:style>
  <w:style w:type="paragraph" w:customStyle="1" w:styleId="14">
    <w:name w:val="默认段落字体 Para Char Char Char Char Char Char Char"/>
    <w:basedOn w:val="1"/>
    <w:qFormat/>
    <w:uiPriority w:val="0"/>
    <w:rPr>
      <w:szCs w:val="30"/>
    </w:rPr>
  </w:style>
  <w:style w:type="paragraph" w:customStyle="1" w:styleId="15">
    <w:name w:val="Char Char Char Char"/>
    <w:basedOn w:val="1"/>
    <w:qFormat/>
    <w:uiPriority w:val="0"/>
  </w:style>
  <w:style w:type="paragraph" w:customStyle="1" w:styleId="16">
    <w:name w:val="标题1"/>
    <w:basedOn w:val="3"/>
    <w:qFormat/>
    <w:uiPriority w:val="0"/>
    <w:pPr>
      <w:spacing w:before="0" w:beforeLines="0" w:after="312" w:afterLines="100" w:line="480" w:lineRule="exact"/>
      <w:jc w:val="center"/>
    </w:pPr>
    <w:rPr>
      <w:rFonts w:eastAsia="方正小标宋简体"/>
      <w:b w:val="0"/>
      <w:sz w:val="48"/>
      <w:szCs w:val="44"/>
    </w:rPr>
  </w:style>
  <w:style w:type="paragraph" w:customStyle="1" w:styleId="17">
    <w:name w:val="Heading 2"/>
    <w:basedOn w:val="1"/>
    <w:qFormat/>
    <w:uiPriority w:val="0"/>
    <w:pPr>
      <w:autoSpaceDE w:val="0"/>
      <w:autoSpaceDN w:val="0"/>
      <w:adjustRightInd w:val="0"/>
      <w:jc w:val="left"/>
      <w:outlineLvl w:val="1"/>
    </w:pPr>
    <w:rPr>
      <w:rFonts w:ascii="黑体" w:eastAsia="黑体" w:cs="黑体"/>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637</Words>
  <Characters>3635</Characters>
  <Lines>30</Lines>
  <Paragraphs>8</Paragraphs>
  <TotalTime>3</TotalTime>
  <ScaleCrop>false</ScaleCrop>
  <LinksUpToDate>false</LinksUpToDate>
  <CharactersWithSpaces>4264</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2018-08-08T02:11:00Z</dcterms:created>
  <dc:creator>2212-01</dc:creator>
  <cp:lastModifiedBy>区政务服务管理局）【收文员】（行政审批局、公共资源交易管理局）</cp:lastModifiedBy>
  <cp:lastPrinted>2019-05-15T01:11:00Z</cp:lastPrinted>
  <dcterms:modified xsi:type="dcterms:W3CDTF">2026-10-23T02:01:08Z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B9451D8318694B2192770E9BCA693CC0</vt:lpwstr>
  </property>
</Properties>
</file>