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769BA">
      <w:pPr>
        <w:keepNext w:val="0"/>
        <w:keepLines w:val="0"/>
        <w:pageBreakBefore w:val="0"/>
        <w:wordWrap/>
        <w:topLinePunct w:val="0"/>
        <w:bidi w:val="0"/>
        <w:spacing w:line="480" w:lineRule="exact"/>
        <w:rPr>
          <w:rFonts w:hint="default" w:ascii="Times New Roman" w:hAnsi="Times New Roman" w:cs="Times New Roman"/>
          <w:color w:val="auto"/>
          <w:sz w:val="44"/>
          <w:szCs w:val="44"/>
        </w:rPr>
      </w:pPr>
      <w:r>
        <w:rPr>
          <w:rFonts w:hint="default" w:ascii="Times New Roman" w:hAnsi="Times New Roman" w:cs="Times New Roman"/>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0A1BCF8B">
                            <w:pPr>
                              <w:rPr>
                                <w:rFonts w:hint="eastAsia"/>
                                <w:spacing w:val="-7"/>
                                <w:sz w:val="36"/>
                                <w:szCs w:val="36"/>
                              </w:rPr>
                            </w:pPr>
                            <w:r>
                              <w:rPr>
                                <w:spacing w:val="-7"/>
                                <w:sz w:val="36"/>
                                <w:szCs w:val="36"/>
                              </w:rPr>
                              <w:t>BSZN-</w:t>
                            </w:r>
                            <w:r>
                              <w:t xml:space="preserve"> </w:t>
                            </w:r>
                            <w:r>
                              <w:rPr>
                                <w:spacing w:val="-7"/>
                                <w:sz w:val="36"/>
                                <w:szCs w:val="36"/>
                              </w:rPr>
                              <w:t>1100400000</w:t>
                            </w:r>
                          </w:p>
                          <w:p w14:paraId="621E6FBD">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0A1BCF8B">
                      <w:pPr>
                        <w:rPr>
                          <w:rFonts w:hint="eastAsia"/>
                          <w:spacing w:val="-7"/>
                          <w:sz w:val="36"/>
                          <w:szCs w:val="36"/>
                        </w:rPr>
                      </w:pPr>
                      <w:r>
                        <w:rPr>
                          <w:spacing w:val="-7"/>
                          <w:sz w:val="36"/>
                          <w:szCs w:val="36"/>
                        </w:rPr>
                        <w:t>BSZN-</w:t>
                      </w:r>
                      <w:r>
                        <w:t xml:space="preserve"> </w:t>
                      </w:r>
                      <w:r>
                        <w:rPr>
                          <w:spacing w:val="-7"/>
                          <w:sz w:val="36"/>
                          <w:szCs w:val="36"/>
                        </w:rPr>
                        <w:t>1100400000</w:t>
                      </w:r>
                    </w:p>
                    <w:p w14:paraId="621E6FBD">
                      <w:pPr>
                        <w:rPr>
                          <w:rFonts w:hint="eastAsia" w:ascii="黑体" w:eastAsia="黑体"/>
                          <w:color w:val="FF0000"/>
                          <w:spacing w:val="-6"/>
                          <w:szCs w:val="21"/>
                        </w:rPr>
                      </w:pPr>
                    </w:p>
                  </w:txbxContent>
                </v:textbox>
              </v:shape>
            </w:pict>
          </mc:Fallback>
        </mc:AlternateContent>
      </w:r>
      <w:r>
        <w:rPr>
          <w:rFonts w:hint="default" w:ascii="Times New Roman" w:hAnsi="Times New Roman" w:cs="Times New Roman"/>
          <w:color w:val="auto"/>
          <w:sz w:val="44"/>
          <w:szCs w:val="44"/>
        </w:rPr>
        <w:pict>
          <v:shape id="艺术字 558" o:spid="_x0000_s1046"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105ED4A0">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4971E7F8">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6280D38A">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68250906">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412534A1">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463AE086">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3DF2ECC0">
      <w:pPr>
        <w:keepNext w:val="0"/>
        <w:keepLines w:val="0"/>
        <w:pageBreakBefore w:val="0"/>
        <w:wordWrap/>
        <w:topLinePunct w:val="0"/>
        <w:bidi w:val="0"/>
        <w:spacing w:line="480" w:lineRule="exact"/>
        <w:rPr>
          <w:rFonts w:hint="default" w:ascii="Times New Roman" w:hAnsi="Times New Roman" w:cs="Times New Roman"/>
          <w:color w:val="auto"/>
          <w:sz w:val="44"/>
          <w:szCs w:val="44"/>
        </w:rPr>
      </w:pPr>
      <w:r>
        <w:rPr>
          <w:rFonts w:hint="default" w:ascii="Times New Roman" w:hAnsi="Times New Roman" w:cs="Times New Roman"/>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342900</wp:posOffset>
                </wp:positionH>
                <wp:positionV relativeFrom="margin">
                  <wp:posOffset>2245995</wp:posOffset>
                </wp:positionV>
                <wp:extent cx="5143500" cy="2013585"/>
                <wp:effectExtent l="5080" t="4445" r="13970" b="20320"/>
                <wp:wrapNone/>
                <wp:docPr id="1" name="文本框 560"/>
                <wp:cNvGraphicFramePr/>
                <a:graphic xmlns:a="http://schemas.openxmlformats.org/drawingml/2006/main">
                  <a:graphicData uri="http://schemas.microsoft.com/office/word/2010/wordprocessingShape">
                    <wps:wsp>
                      <wps:cNvSpPr txBox="1"/>
                      <wps:spPr>
                        <a:xfrm>
                          <a:off x="0" y="0"/>
                          <a:ext cx="5143500" cy="20135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3AA407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河道管理范围内有关活动</w:t>
                            </w:r>
                          </w:p>
                          <w:p w14:paraId="378549AD">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（不含河道采砂）审批</w:t>
                            </w:r>
                          </w:p>
                          <w:p w14:paraId="7712A997">
                            <w:pPr>
                              <w:jc w:val="center"/>
                              <w:rPr>
                                <w:rFonts w:hint="eastAsia" w:eastAsia="方正小标宋简体"/>
                                <w:lang w:eastAsia="zh-CN"/>
                              </w:rPr>
                            </w:pPr>
                            <w:r>
                              <w:rPr>
                                <w:rFonts w:hint="eastAsia" w:ascii="方正小标宋简体" w:hAnsi="宋体" w:eastAsia="方正小标宋简体"/>
                                <w:sz w:val="52"/>
                                <w:szCs w:val="52"/>
                              </w:rPr>
                              <w:t>办事指南</w:t>
                            </w:r>
                          </w:p>
                          <w:p w14:paraId="4FBE7513">
                            <w:pPr>
                              <w:adjustRightInd w:val="0"/>
                              <w:snapToGrid w:val="0"/>
                              <w:spacing w:line="800" w:lineRule="exact"/>
                              <w:jc w:val="center"/>
                            </w:pPr>
                          </w:p>
                        </w:txbxContent>
                      </wps:txbx>
                      <wps:bodyPr vert="horz" wrap="square" anchor="t" anchorCtr="0" upright="1"/>
                    </wps:wsp>
                  </a:graphicData>
                </a:graphic>
              </wp:anchor>
            </w:drawing>
          </mc:Choice>
          <mc:Fallback>
            <w:pict>
              <v:shape id="文本框 560" o:spid="_x0000_s1026" o:spt="202" type="#_x0000_t202" style="position:absolute;left:0pt;margin-left:27pt;margin-top:176.85pt;height:158.55pt;width:405pt;mso-position-horizontal-relative:margin;mso-position-vertical-relative:margin;z-index:-251657216;mso-width-relative:page;mso-height-relative:page;" fillcolor="#FFFFFF" filled="t" stroked="t" coordsize="21600,21600" o:gfxdata="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V2qoNkAAAAKAQAADwAAAAAAAAABACAAAAAiAAAAZHJzL2Rvd25yZXYueG1sUEsBAhQAFAAAAAgA&#10;h07iQBpMPPIkAgAAbAQAAA4AAAAAAAAAAQAgAAAAKAEAAGRycy9lMm9Eb2MueG1sUEsFBgAAAAAG&#10;AAYAWQEAAL4FAAAAAA==&#10;">
                <v:fill on="t" focussize="0,0"/>
                <v:stroke color="#FFFFFF" joinstyle="miter"/>
                <v:imagedata o:title=""/>
                <o:lock v:ext="edit" aspectratio="f"/>
                <v:textbox>
                  <w:txbxContent>
                    <w:p w14:paraId="53AA407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河道管理范围内有关活动</w:t>
                      </w:r>
                    </w:p>
                    <w:p w14:paraId="378549AD">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（不含河道采砂）审批</w:t>
                      </w:r>
                    </w:p>
                    <w:p w14:paraId="7712A997">
                      <w:pPr>
                        <w:jc w:val="center"/>
                        <w:rPr>
                          <w:rFonts w:hint="eastAsia" w:eastAsia="方正小标宋简体"/>
                          <w:lang w:eastAsia="zh-CN"/>
                        </w:rPr>
                      </w:pPr>
                      <w:r>
                        <w:rPr>
                          <w:rFonts w:hint="eastAsia" w:ascii="方正小标宋简体" w:hAnsi="宋体" w:eastAsia="方正小标宋简体"/>
                          <w:sz w:val="52"/>
                          <w:szCs w:val="52"/>
                        </w:rPr>
                        <w:t>办事指南</w:t>
                      </w:r>
                    </w:p>
                    <w:p w14:paraId="4FBE7513">
                      <w:pPr>
                        <w:adjustRightInd w:val="0"/>
                        <w:snapToGrid w:val="0"/>
                        <w:spacing w:line="800" w:lineRule="exact"/>
                        <w:jc w:val="center"/>
                      </w:pPr>
                    </w:p>
                  </w:txbxContent>
                </v:textbox>
              </v:shape>
            </w:pict>
          </mc:Fallback>
        </mc:AlternateContent>
      </w:r>
    </w:p>
    <w:p w14:paraId="1F5CA4ED">
      <w:pPr>
        <w:keepNext w:val="0"/>
        <w:keepLines w:val="0"/>
        <w:pageBreakBefore w:val="0"/>
        <w:wordWrap/>
        <w:topLinePunct w:val="0"/>
        <w:bidi w:val="0"/>
        <w:spacing w:line="480" w:lineRule="exact"/>
        <w:rPr>
          <w:rFonts w:hint="default" w:ascii="Times New Roman" w:hAnsi="Times New Roman" w:cs="Times New Roman"/>
          <w:color w:val="auto"/>
          <w:sz w:val="44"/>
          <w:szCs w:val="44"/>
        </w:rPr>
      </w:pPr>
    </w:p>
    <w:p w14:paraId="1DAF2D09">
      <w:pPr>
        <w:keepNext w:val="0"/>
        <w:keepLines w:val="0"/>
        <w:pageBreakBefore w:val="0"/>
        <w:wordWrap/>
        <w:topLinePunct w:val="0"/>
        <w:bidi w:val="0"/>
        <w:spacing w:line="480" w:lineRule="exact"/>
        <w:rPr>
          <w:rFonts w:hint="default" w:ascii="Times New Roman" w:hAnsi="Times New Roman" w:eastAsia="黑体" w:cs="Times New Roman"/>
          <w:color w:val="auto"/>
          <w:sz w:val="32"/>
          <w:szCs w:val="32"/>
        </w:rPr>
      </w:pPr>
    </w:p>
    <w:p w14:paraId="3F68A149">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ab/>
      </w:r>
    </w:p>
    <w:p w14:paraId="60984B19">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p>
    <w:p w14:paraId="49E9B4A0">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p>
    <w:p w14:paraId="4E19F133">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p>
    <w:p w14:paraId="53ED70BA">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p>
    <w:p w14:paraId="4F6746FA">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p>
    <w:p w14:paraId="59E32E05">
      <w:pPr>
        <w:keepNext w:val="0"/>
        <w:keepLines w:val="0"/>
        <w:pageBreakBefore w:val="0"/>
        <w:tabs>
          <w:tab w:val="left" w:pos="4920"/>
          <w:tab w:val="left" w:pos="6210"/>
        </w:tabs>
        <w:wordWrap/>
        <w:topLinePunct w:val="0"/>
        <w:bidi w:val="0"/>
        <w:spacing w:line="480" w:lineRule="exact"/>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ab/>
      </w:r>
    </w:p>
    <w:p w14:paraId="1F306BB6">
      <w:pPr>
        <w:keepNext w:val="0"/>
        <w:keepLines w:val="0"/>
        <w:pageBreakBefore w:val="0"/>
        <w:wordWrap/>
        <w:topLinePunct w:val="0"/>
        <w:bidi w:val="0"/>
        <w:spacing w:line="480" w:lineRule="exact"/>
        <w:jc w:val="center"/>
        <w:rPr>
          <w:rFonts w:hint="default" w:ascii="Times New Roman" w:hAnsi="Times New Roman" w:eastAsia="黑体" w:cs="Times New Roman"/>
          <w:color w:val="auto"/>
          <w:sz w:val="32"/>
          <w:szCs w:val="32"/>
        </w:rPr>
      </w:pPr>
    </w:p>
    <w:p w14:paraId="7A378000">
      <w:pPr>
        <w:keepNext w:val="0"/>
        <w:keepLines w:val="0"/>
        <w:pageBreakBefore w:val="0"/>
        <w:wordWrap/>
        <w:topLinePunct w:val="0"/>
        <w:bidi w:val="0"/>
        <w:spacing w:line="480" w:lineRule="exact"/>
        <w:jc w:val="center"/>
        <w:rPr>
          <w:rFonts w:hint="default" w:ascii="Times New Roman" w:hAnsi="Times New Roman" w:eastAsia="黑体" w:cs="Times New Roman"/>
          <w:color w:val="auto"/>
          <w:szCs w:val="21"/>
        </w:rPr>
      </w:pPr>
    </w:p>
    <w:p w14:paraId="1A9FB6E2">
      <w:pPr>
        <w:keepNext w:val="0"/>
        <w:keepLines w:val="0"/>
        <w:pageBreakBefore w:val="0"/>
        <w:wordWrap/>
        <w:topLinePunct w:val="0"/>
        <w:bidi w:val="0"/>
        <w:spacing w:line="480" w:lineRule="exact"/>
        <w:jc w:val="center"/>
        <w:rPr>
          <w:rFonts w:hint="default" w:ascii="Times New Roman" w:hAnsi="Times New Roman" w:eastAsia="黑体" w:cs="Times New Roman"/>
          <w:color w:val="auto"/>
          <w:szCs w:val="21"/>
        </w:rPr>
      </w:pPr>
    </w:p>
    <w:p w14:paraId="20D6C61C">
      <w:pPr>
        <w:keepNext w:val="0"/>
        <w:keepLines w:val="0"/>
        <w:pageBreakBefore w:val="0"/>
        <w:wordWrap/>
        <w:topLinePunct w:val="0"/>
        <w:bidi w:val="0"/>
        <w:spacing w:line="480" w:lineRule="exact"/>
        <w:jc w:val="both"/>
        <w:rPr>
          <w:rFonts w:hint="default" w:ascii="Times New Roman" w:hAnsi="Times New Roman" w:cs="Times New Roman"/>
          <w:color w:val="auto"/>
          <w:sz w:val="44"/>
          <w:szCs w:val="44"/>
        </w:rPr>
      </w:pPr>
    </w:p>
    <w:p w14:paraId="72664FE6">
      <w:pPr>
        <w:pStyle w:val="2"/>
        <w:rPr>
          <w:rFonts w:hint="default"/>
        </w:rPr>
      </w:pPr>
    </w:p>
    <w:p w14:paraId="4EB20A6E">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415BDADC">
      <w:pPr>
        <w:keepNext w:val="0"/>
        <w:keepLines w:val="0"/>
        <w:pageBreakBefore w:val="0"/>
        <w:wordWrap/>
        <w:topLinePunct w:val="0"/>
        <w:bidi w:val="0"/>
        <w:spacing w:line="480" w:lineRule="exact"/>
        <w:jc w:val="center"/>
        <w:rPr>
          <w:rFonts w:hint="default" w:ascii="Times New Roman" w:hAnsi="Times New Roman" w:cs="Times New Roman"/>
          <w:color w:val="auto"/>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2098" w:left="1502" w:header="851" w:footer="992" w:gutter="0"/>
          <w:pgNumType w:fmt="numberInDash" w:start="1"/>
          <w:cols w:space="720" w:num="1"/>
          <w:titlePg/>
          <w:docGrid w:type="lines" w:linePitch="312" w:charSpace="0"/>
        </w:sectPr>
      </w:pPr>
      <w:r>
        <w:rPr>
          <w:rFonts w:hint="default" w:ascii="Times New Roman" w:hAnsi="Times New Roman" w:eastAsia="黑体" w:cs="Times New Roman"/>
          <w:color w:val="auto"/>
          <w:sz w:val="32"/>
          <w:szCs w:val="32"/>
        </w:rPr>
        <w:t>20</w:t>
      </w:r>
      <w:r>
        <w:rPr>
          <w:rFonts w:hint="default" w:ascii="Times New Roman" w:hAnsi="Times New Roman" w:eastAsia="黑体" w:cs="Times New Roman"/>
          <w:color w:val="auto"/>
          <w:sz w:val="32"/>
          <w:szCs w:val="32"/>
          <w:lang w:val="en-US" w:eastAsia="zh-CN"/>
        </w:rPr>
        <w:t>2</w:t>
      </w:r>
      <w:r>
        <w:rPr>
          <w:rFonts w:hint="eastAsia" w:ascii="Times New Roman" w:hAnsi="Times New Roman" w:eastAsia="黑体" w:cs="Times New Roman"/>
          <w:color w:val="auto"/>
          <w:sz w:val="32"/>
          <w:szCs w:val="32"/>
          <w:lang w:val="en-US" w:eastAsia="zh-CN"/>
        </w:rPr>
        <w:t>6</w:t>
      </w:r>
      <w:r>
        <w:rPr>
          <w:rFonts w:hint="default" w:ascii="Times New Roman" w:hAnsi="Times New Roman" w:eastAsia="黑体" w:cs="Times New Roman"/>
          <w:color w:val="auto"/>
          <w:sz w:val="32"/>
          <w:szCs w:val="32"/>
        </w:rPr>
        <w:t>年</w:t>
      </w:r>
      <w:r>
        <w:rPr>
          <w:rFonts w:hint="eastAsia" w:eastAsia="黑体" w:cs="Times New Roman"/>
          <w:color w:val="auto"/>
          <w:sz w:val="32"/>
          <w:szCs w:val="32"/>
          <w:lang w:val="en-US" w:eastAsia="zh-CN"/>
        </w:rPr>
        <w:t>10</w:t>
      </w:r>
      <w:r>
        <w:rPr>
          <w:rFonts w:hint="default" w:ascii="Times New Roman" w:hAnsi="Times New Roman" w:eastAsia="黑体" w:cs="Times New Roman"/>
          <w:color w:val="auto"/>
          <w:sz w:val="32"/>
          <w:szCs w:val="32"/>
        </w:rPr>
        <w:t>月</w:t>
      </w:r>
      <w:r>
        <w:rPr>
          <w:rFonts w:hint="eastAsia" w:eastAsia="黑体" w:cs="Times New Roman"/>
          <w:color w:val="auto"/>
          <w:sz w:val="32"/>
          <w:szCs w:val="32"/>
          <w:lang w:val="en-US" w:eastAsia="zh-CN"/>
        </w:rPr>
        <w:t>20</w:t>
      </w:r>
      <w:r>
        <w:rPr>
          <w:rFonts w:hint="default" w:ascii="Times New Roman" w:hAnsi="Times New Roman" w:eastAsia="黑体" w:cs="Times New Roman"/>
          <w:color w:val="auto"/>
          <w:sz w:val="32"/>
          <w:szCs w:val="32"/>
          <w:lang w:val="en-US" w:eastAsia="zh-CN"/>
        </w:rPr>
        <w:t>日</w:t>
      </w:r>
      <w:r>
        <w:rPr>
          <w:rFonts w:hint="default" w:ascii="Times New Roman" w:hAnsi="Times New Roman" w:eastAsia="黑体" w:cs="Times New Roman"/>
          <w:color w:val="auto"/>
          <w:sz w:val="32"/>
          <w:szCs w:val="32"/>
        </w:rPr>
        <w:t>发布</w:t>
      </w:r>
    </w:p>
    <w:p w14:paraId="6A8D02FA">
      <w:pPr>
        <w:keepNext w:val="0"/>
        <w:keepLines w:val="0"/>
        <w:pageBreakBefore w:val="0"/>
        <w:widowControl w:val="0"/>
        <w:kinsoku/>
        <w:wordWrap/>
        <w:overflowPunct/>
        <w:topLinePunct w:val="0"/>
        <w:autoSpaceDE/>
        <w:autoSpaceDN/>
        <w:bidi w:val="0"/>
        <w:spacing w:line="560" w:lineRule="exact"/>
        <w:ind w:firstLine="720" w:firstLineChars="200"/>
        <w:jc w:val="both"/>
        <w:textAlignment w:val="top"/>
        <w:rPr>
          <w:rFonts w:hint="default" w:ascii="Times New Roman" w:hAnsi="Times New Roman" w:eastAsia="黑体" w:cs="Times New Roman"/>
          <w:color w:val="auto"/>
          <w:sz w:val="36"/>
          <w:szCs w:val="36"/>
        </w:rPr>
      </w:pPr>
      <w:r>
        <w:rPr>
          <w:rFonts w:hint="default" w:ascii="Times New Roman" w:hAnsi="Times New Roman" w:eastAsia="黑体" w:cs="Times New Roman"/>
          <w:color w:val="auto"/>
          <w:sz w:val="36"/>
          <w:szCs w:val="36"/>
        </w:rPr>
        <w:t>河道管理范围内有关活动（不含河道采砂）审批</w:t>
      </w:r>
    </w:p>
    <w:p w14:paraId="7019EB79">
      <w:pPr>
        <w:keepNext w:val="0"/>
        <w:keepLines w:val="0"/>
        <w:pageBreakBefore w:val="0"/>
        <w:widowControl w:val="0"/>
        <w:kinsoku/>
        <w:wordWrap/>
        <w:overflowPunct/>
        <w:topLinePunct w:val="0"/>
        <w:autoSpaceDE/>
        <w:autoSpaceDN/>
        <w:bidi w:val="0"/>
        <w:spacing w:line="560" w:lineRule="exact"/>
        <w:ind w:firstLine="720" w:firstLineChars="200"/>
        <w:jc w:val="both"/>
        <w:textAlignment w:val="top"/>
        <w:rPr>
          <w:rFonts w:hint="default" w:ascii="Times New Roman" w:hAnsi="Times New Roman" w:eastAsia="黑体" w:cs="Times New Roman"/>
          <w:color w:val="auto"/>
          <w:sz w:val="36"/>
          <w:szCs w:val="36"/>
        </w:rPr>
      </w:pPr>
      <w:r>
        <w:rPr>
          <w:rFonts w:hint="default" w:ascii="Times New Roman" w:hAnsi="Times New Roman" w:eastAsia="黑体" w:cs="Times New Roman"/>
          <w:color w:val="auto"/>
          <w:sz w:val="36"/>
          <w:szCs w:val="36"/>
        </w:rPr>
        <w:t>办事指南</w:t>
      </w:r>
    </w:p>
    <w:p w14:paraId="207345A9">
      <w:pPr>
        <w:keepNext w:val="0"/>
        <w:keepLines w:val="0"/>
        <w:pageBreakBefore w:val="0"/>
        <w:widowControl w:val="0"/>
        <w:kinsoku/>
        <w:wordWrap/>
        <w:overflowPunct/>
        <w:topLinePunct w:val="0"/>
        <w:autoSpaceDE/>
        <w:autoSpaceDN/>
        <w:bidi w:val="0"/>
        <w:spacing w:line="560" w:lineRule="exact"/>
        <w:ind w:left="0" w:leftChars="0" w:firstLine="720" w:firstLineChars="200"/>
        <w:jc w:val="both"/>
        <w:textAlignment w:val="top"/>
        <w:rPr>
          <w:rFonts w:hint="default" w:ascii="Times New Roman" w:hAnsi="Times New Roman" w:eastAsia="黑体" w:cs="Times New Roman"/>
          <w:color w:val="auto"/>
          <w:sz w:val="36"/>
          <w:szCs w:val="36"/>
        </w:rPr>
      </w:pPr>
    </w:p>
    <w:p w14:paraId="3C8C170D">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一、受理范围</w:t>
      </w:r>
    </w:p>
    <w:p w14:paraId="5E800F6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内容：官渡区行政区域内河道（包括水域、河滩地、沙洲、两岸堤防及护堤地、湖泊、人工水道、行洪区、滞洪区）管理范围内新建、扩建、改建项目（包括开发利用河滩地、沙洲，航道整治的各类工程，跨线、穿河、穿堤、临河的桥梁、码头、道路、渡口、管线、缆线、取水口、排污口等需要占用河道、湖泊管理范围内土地，跨越河道、湖泊空间或者穿越河床）及取土、淘金、弃置砂石或者淤泥；爆破、钻探、挖筑鱼塘；在河道滩地存放物料、修建厂房或者其他建筑设施；在河道滩地开采地下资源及进行考古发掘有关活动的批准。</w:t>
      </w:r>
    </w:p>
    <w:p w14:paraId="36D07C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申请条件：在河道管理范围内进行新建、改建、扩建建设所有项目应当向</w:t>
      </w:r>
      <w:r>
        <w:rPr>
          <w:rFonts w:hint="default" w:ascii="Times New Roman" w:hAnsi="Times New Roman" w:eastAsia="仿宋_GB2312" w:cs="Times New Roman"/>
          <w:color w:val="auto"/>
          <w:sz w:val="32"/>
          <w:szCs w:val="32"/>
          <w:lang w:val="en-US" w:eastAsia="zh-CN"/>
        </w:rPr>
        <w:t>官渡区行政审批局</w:t>
      </w:r>
      <w:r>
        <w:rPr>
          <w:rFonts w:hint="default" w:ascii="Times New Roman" w:hAnsi="Times New Roman" w:eastAsia="仿宋_GB2312" w:cs="Times New Roman"/>
          <w:color w:val="auto"/>
          <w:sz w:val="32"/>
          <w:szCs w:val="32"/>
        </w:rPr>
        <w:t>申请领取水工程许可批复文件。</w:t>
      </w:r>
    </w:p>
    <w:p w14:paraId="5DD8AA3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申请人范围:国家机关、国有企事业单位、社会团体、外企、民营私营合资企业、个体工商企业及公民。</w:t>
      </w:r>
    </w:p>
    <w:p w14:paraId="1B0294D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val="en-US" w:eastAsia="zh-CN"/>
        </w:rPr>
        <w:t>设定</w:t>
      </w:r>
      <w:r>
        <w:rPr>
          <w:rFonts w:hint="default" w:ascii="Times New Roman" w:hAnsi="Times New Roman" w:eastAsia="黑体" w:cs="Times New Roman"/>
          <w:color w:val="auto"/>
          <w:sz w:val="32"/>
          <w:szCs w:val="32"/>
        </w:rPr>
        <w:t>依据</w:t>
      </w:r>
    </w:p>
    <w:p w14:paraId="77320BF1">
      <w:pPr>
        <w:keepNext w:val="0"/>
        <w:keepLines w:val="0"/>
        <w:pageBreakBefore w:val="0"/>
        <w:kinsoku/>
        <w:wordWrap/>
        <w:overflowPunct/>
        <w:topLinePunct w:val="0"/>
        <w:autoSpaceDE/>
        <w:autoSpaceDN/>
        <w:bidi w:val="0"/>
        <w:spacing w:line="560" w:lineRule="exact"/>
        <w:ind w:left="0" w:leftChars="0" w:firstLine="640" w:firstLineChars="200"/>
        <w:jc w:val="both"/>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《中华人民共和国河道管理条例》第二十五条 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64CAFF4B">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iCs w:val="0"/>
          <w:caps w:val="0"/>
          <w:color w:val="auto"/>
          <w:spacing w:val="0"/>
          <w:sz w:val="32"/>
          <w:szCs w:val="32"/>
          <w:shd w:val="clear" w:color="auto" w:fill="FFFFFF"/>
        </w:rPr>
        <w:t>《云南省人民政府关于调整482项涉及省级行政权力事项的决定》（云政发〔2020〕16号）附件3第44项 河道管理范围内有关活动（不含河道采砂）审批，下放，将省级权限下放至州级水利部门。</w:t>
      </w:r>
    </w:p>
    <w:p w14:paraId="6428E81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三、实施机关</w:t>
      </w:r>
    </w:p>
    <w:p w14:paraId="1CE9542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昆明市官渡区</w:t>
      </w:r>
      <w:r>
        <w:rPr>
          <w:rFonts w:hint="default" w:ascii="Times New Roman" w:hAnsi="Times New Roman" w:eastAsia="仿宋_GB2312" w:cs="Times New Roman"/>
          <w:color w:val="auto"/>
          <w:sz w:val="32"/>
          <w:szCs w:val="32"/>
          <w:lang w:val="en-US" w:eastAsia="zh-CN"/>
        </w:rPr>
        <w:t>行政审批</w:t>
      </w:r>
      <w:r>
        <w:rPr>
          <w:rFonts w:hint="default" w:ascii="Times New Roman" w:hAnsi="Times New Roman" w:eastAsia="仿宋_GB2312" w:cs="Times New Roman"/>
          <w:color w:val="auto"/>
          <w:sz w:val="32"/>
          <w:szCs w:val="32"/>
        </w:rPr>
        <w:t>局，是办理该行政许可事项的法定机关。负责该行政许可事项的审查并作出行政许可决定。</w:t>
      </w:r>
    </w:p>
    <w:p w14:paraId="1256EC5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四、许可条件</w:t>
      </w:r>
    </w:p>
    <w:p w14:paraId="610537C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7C8C00A6">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1.符合有关法律、法规、规章和规范性文件规定；</w:t>
      </w:r>
    </w:p>
    <w:p w14:paraId="75A0C42F">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2.符合防洪标准、岸线规划、航道要求和其它技术要求，对河势稳定、水流流态、水质、冲淤变化的影响较小，且采取相应的补救措施，保证行洪通畅，不影响堤防、护岸和其它水利工程安全；</w:t>
      </w:r>
    </w:p>
    <w:p w14:paraId="457415BF">
      <w:pPr>
        <w:pStyle w:val="6"/>
        <w:keepNext w:val="0"/>
        <w:keepLines w:val="0"/>
        <w:pageBreakBefore w:val="0"/>
        <w:kinsoku/>
        <w:wordWrap/>
        <w:overflowPunct/>
        <w:topLinePunct w:val="0"/>
        <w:autoSpaceDE/>
        <w:autoSpaceDN/>
        <w:bidi w:val="0"/>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b w:val="0"/>
          <w:bCs/>
          <w:color w:val="auto"/>
          <w:kern w:val="2"/>
          <w:sz w:val="32"/>
          <w:szCs w:val="32"/>
        </w:rPr>
      </w:pPr>
      <w:r>
        <w:rPr>
          <w:rFonts w:hint="default" w:ascii="Times New Roman" w:hAnsi="Times New Roman" w:eastAsia="仿宋_GB2312" w:cs="Times New Roman"/>
          <w:b w:val="0"/>
          <w:bCs/>
          <w:color w:val="auto"/>
          <w:kern w:val="2"/>
          <w:sz w:val="32"/>
          <w:szCs w:val="32"/>
        </w:rPr>
        <w:t>3.与河道整治规划相协调，符合江河流域综合规划和有关的国土及区域发展规划；</w:t>
      </w:r>
    </w:p>
    <w:p w14:paraId="7201E051">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4.该建设项目已取得立项批准；</w:t>
      </w:r>
    </w:p>
    <w:p w14:paraId="04293CDE">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5.建设项目必须符合综合规划、治导线规划、岸线规划、河道（口）整治规划等专业规划和其他技术要求；</w:t>
      </w:r>
    </w:p>
    <w:p w14:paraId="219E9BD7">
      <w:pPr>
        <w:pStyle w:val="6"/>
        <w:keepNext w:val="0"/>
        <w:keepLines w:val="0"/>
        <w:pageBreakBefore w:val="0"/>
        <w:kinsoku/>
        <w:wordWrap/>
        <w:overflowPunct/>
        <w:topLinePunct w:val="0"/>
        <w:autoSpaceDE/>
        <w:autoSpaceDN/>
        <w:bidi w:val="0"/>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b w:val="0"/>
          <w:bCs/>
          <w:color w:val="auto"/>
          <w:kern w:val="2"/>
          <w:sz w:val="32"/>
          <w:szCs w:val="32"/>
        </w:rPr>
      </w:pPr>
      <w:r>
        <w:rPr>
          <w:rFonts w:hint="default" w:ascii="Times New Roman" w:hAnsi="Times New Roman" w:eastAsia="仿宋_GB2312" w:cs="Times New Roman"/>
          <w:b w:val="0"/>
          <w:bCs/>
          <w:color w:val="auto"/>
          <w:kern w:val="2"/>
          <w:sz w:val="32"/>
          <w:szCs w:val="32"/>
        </w:rPr>
        <w:t>6.不得危害堤防安全、影响河势稳定、妨碍行洪畅通；</w:t>
      </w:r>
    </w:p>
    <w:p w14:paraId="63063E61">
      <w:pPr>
        <w:pStyle w:val="6"/>
        <w:keepNext w:val="0"/>
        <w:keepLines w:val="0"/>
        <w:pageBreakBefore w:val="0"/>
        <w:kinsoku/>
        <w:wordWrap/>
        <w:overflowPunct/>
        <w:topLinePunct w:val="0"/>
        <w:autoSpaceDE/>
        <w:autoSpaceDN/>
        <w:bidi w:val="0"/>
        <w:spacing w:before="0" w:beforeAutospacing="0" w:after="0" w:afterAutospacing="0" w:line="560" w:lineRule="exact"/>
        <w:ind w:left="0" w:leftChars="0" w:firstLine="640" w:firstLineChars="200"/>
        <w:jc w:val="both"/>
        <w:textAlignment w:val="auto"/>
        <w:rPr>
          <w:rFonts w:hint="eastAsia" w:ascii="Times New Roman" w:hAnsi="Times New Roman" w:eastAsia="仿宋_GB2312" w:cs="Times New Roman"/>
          <w:b w:val="0"/>
          <w:bCs/>
          <w:color w:val="auto"/>
          <w:kern w:val="2"/>
          <w:sz w:val="32"/>
          <w:szCs w:val="32"/>
          <w:lang w:eastAsia="zh-CN"/>
        </w:rPr>
      </w:pPr>
      <w:r>
        <w:rPr>
          <w:rFonts w:hint="default" w:ascii="Times New Roman" w:hAnsi="Times New Roman" w:eastAsia="仿宋_GB2312" w:cs="Times New Roman"/>
          <w:b w:val="0"/>
          <w:bCs/>
          <w:color w:val="auto"/>
          <w:kern w:val="2"/>
          <w:sz w:val="32"/>
          <w:szCs w:val="32"/>
        </w:rPr>
        <w:t>7.由具有相应资质设计咨询机构编制的《河道管理范围内建设项目专题报告》和《建设项目防洪影响评价报告》，专题报告的结论可行。如果项目不改变河道行洪断面、不改变水工程设施主体结构的，则不需要编制《河道管理范围内建设项目专题报告》</w:t>
      </w:r>
      <w:r>
        <w:rPr>
          <w:rFonts w:hint="eastAsia" w:ascii="Times New Roman" w:hAnsi="Times New Roman" w:eastAsia="仿宋_GB2312" w:cs="Times New Roman"/>
          <w:b w:val="0"/>
          <w:bCs/>
          <w:color w:val="auto"/>
          <w:kern w:val="2"/>
          <w:sz w:val="32"/>
          <w:szCs w:val="32"/>
          <w:lang w:eastAsia="zh-CN"/>
        </w:rPr>
        <w:t>；</w:t>
      </w:r>
    </w:p>
    <w:p w14:paraId="49429FA9">
      <w:pPr>
        <w:pStyle w:val="6"/>
        <w:keepNext w:val="0"/>
        <w:keepLines w:val="0"/>
        <w:pageBreakBefore w:val="0"/>
        <w:kinsoku/>
        <w:wordWrap/>
        <w:overflowPunct/>
        <w:topLinePunct w:val="0"/>
        <w:autoSpaceDE/>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color w:val="auto"/>
          <w:kern w:val="2"/>
          <w:sz w:val="32"/>
          <w:szCs w:val="32"/>
        </w:rPr>
      </w:pPr>
      <w:r>
        <w:rPr>
          <w:rFonts w:hint="default" w:ascii="Times New Roman" w:hAnsi="Times New Roman" w:eastAsia="仿宋_GB2312" w:cs="Times New Roman"/>
          <w:b w:val="0"/>
          <w:bCs/>
          <w:color w:val="auto"/>
          <w:kern w:val="2"/>
          <w:sz w:val="32"/>
          <w:szCs w:val="32"/>
        </w:rPr>
        <w:t>8.若有不利影响，须提出可行的减少负面影响的替代、补偿措施。</w:t>
      </w:r>
    </w:p>
    <w:p w14:paraId="1E65A4B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（二）不予以批准的条件：</w:t>
      </w:r>
    </w:p>
    <w:p w14:paraId="51D74D6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outlineLvl w:val="0"/>
        <w:rPr>
          <w:rFonts w:hint="default" w:ascii="Times New Roman" w:hAnsi="Times New Roman" w:cs="Times New Roman"/>
          <w:color w:val="auto"/>
          <w:sz w:val="32"/>
          <w:szCs w:val="32"/>
        </w:rPr>
      </w:pPr>
      <w:r>
        <w:rPr>
          <w:rFonts w:hint="default" w:ascii="Times New Roman" w:hAnsi="Times New Roman" w:eastAsia="仿宋_GB2312" w:cs="Times New Roman"/>
          <w:b w:val="0"/>
          <w:bCs/>
          <w:color w:val="auto"/>
          <w:sz w:val="32"/>
          <w:szCs w:val="32"/>
        </w:rPr>
        <w:t>申请人存在不满足“予以批准的条件”之一便无法获得批准。</w:t>
      </w:r>
      <w:r>
        <w:rPr>
          <w:rFonts w:hint="default" w:ascii="Times New Roman" w:hAnsi="Times New Roman" w:eastAsia="黑体" w:cs="Times New Roman"/>
          <w:color w:val="auto"/>
          <w:sz w:val="32"/>
          <w:szCs w:val="32"/>
        </w:rPr>
        <w:t>五、受理形式和地点</w:t>
      </w:r>
    </w:p>
    <w:p w14:paraId="6ADDB97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受理形式：窗口和网上均可受理。</w:t>
      </w:r>
    </w:p>
    <w:p w14:paraId="2CBD7F0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受理地点：官渡区</w:t>
      </w:r>
      <w:r>
        <w:rPr>
          <w:rFonts w:hint="default" w:ascii="Times New Roman" w:hAnsi="Times New Roman" w:eastAsia="仿宋_GB2312" w:cs="Times New Roman"/>
          <w:color w:val="auto"/>
          <w:sz w:val="32"/>
          <w:szCs w:val="32"/>
          <w:lang w:val="en-US" w:eastAsia="zh-CN"/>
        </w:rPr>
        <w:t>政务</w:t>
      </w:r>
      <w:r>
        <w:rPr>
          <w:rFonts w:hint="default" w:ascii="Times New Roman" w:hAnsi="Times New Roman" w:eastAsia="仿宋_GB2312" w:cs="Times New Roman"/>
          <w:color w:val="auto"/>
          <w:sz w:val="32"/>
          <w:szCs w:val="32"/>
        </w:rPr>
        <w:t>服务中心窗口。</w:t>
      </w:r>
    </w:p>
    <w:p w14:paraId="0EC5D2F4">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68502AE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交通方式：可乘坐第169、174、A12、232、252、253路公交车到达。</w:t>
      </w:r>
    </w:p>
    <w:p w14:paraId="0AA80D5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办理网址：http://zwfw.yn.gov.cn/portal/#/home“云南省政务服务网”</w:t>
      </w:r>
    </w:p>
    <w:p w14:paraId="52E47CEF">
      <w:pPr>
        <w:keepNext w:val="0"/>
        <w:keepLines w:val="0"/>
        <w:pageBreakBefore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cs="Times New Roman"/>
          <w:color w:val="auto"/>
          <w:sz w:val="18"/>
          <w:szCs w:val="18"/>
        </w:rPr>
      </w:pPr>
      <w:r>
        <w:rPr>
          <w:rFonts w:hint="default" w:ascii="Times New Roman" w:hAnsi="Times New Roman" w:eastAsia="黑体" w:cs="Times New Roman"/>
          <w:color w:val="auto"/>
          <w:sz w:val="32"/>
          <w:szCs w:val="32"/>
        </w:rPr>
        <w:t>六、申请材料</w:t>
      </w:r>
    </w:p>
    <w:p w14:paraId="6BAC1070">
      <w:pPr>
        <w:keepNext w:val="0"/>
        <w:keepLines w:val="0"/>
        <w:pageBreakBefore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河道管理范围内有关活动（不含河道采砂）审批事项申请材料目录</w:t>
      </w:r>
    </w:p>
    <w:tbl>
      <w:tblPr>
        <w:tblStyle w:val="7"/>
        <w:tblpPr w:leftFromText="180" w:rightFromText="180" w:vertAnchor="text" w:horzAnchor="page" w:tblpX="1339" w:tblpY="321"/>
        <w:tblOverlap w:val="never"/>
        <w:tblW w:w="9390" w:type="dxa"/>
        <w:tblInd w:w="0" w:type="dxa"/>
        <w:tblLayout w:type="fixed"/>
        <w:tblCellMar>
          <w:top w:w="0" w:type="dxa"/>
          <w:left w:w="0" w:type="dxa"/>
          <w:bottom w:w="0" w:type="dxa"/>
          <w:right w:w="0" w:type="dxa"/>
        </w:tblCellMar>
      </w:tblPr>
      <w:tblGrid>
        <w:gridCol w:w="675"/>
        <w:gridCol w:w="4927"/>
        <w:gridCol w:w="1290"/>
        <w:gridCol w:w="1005"/>
        <w:gridCol w:w="1493"/>
      </w:tblGrid>
      <w:tr w14:paraId="0597EA12">
        <w:tblPrEx>
          <w:tblCellMar>
            <w:top w:w="0" w:type="dxa"/>
            <w:left w:w="0" w:type="dxa"/>
            <w:bottom w:w="0" w:type="dxa"/>
            <w:right w:w="0" w:type="dxa"/>
          </w:tblCellMar>
        </w:tblPrEx>
        <w:trPr>
          <w:trHeight w:val="822" w:hRule="exact"/>
        </w:trPr>
        <w:tc>
          <w:tcPr>
            <w:tcW w:w="675" w:type="dxa"/>
            <w:tcBorders>
              <w:top w:val="single" w:color="000000" w:sz="8" w:space="0"/>
              <w:left w:val="single" w:color="000000" w:sz="8" w:space="0"/>
              <w:bottom w:val="single" w:color="000000" w:sz="8" w:space="0"/>
              <w:right w:val="single" w:color="000000" w:sz="4" w:space="0"/>
            </w:tcBorders>
            <w:noWrap w:val="0"/>
            <w:vAlign w:val="center"/>
          </w:tcPr>
          <w:p w14:paraId="756A6B59">
            <w:pPr>
              <w:pStyle w:val="16"/>
              <w:keepNext w:val="0"/>
              <w:keepLines w:val="0"/>
              <w:pageBreakBefore w:val="0"/>
              <w:kinsoku w:val="0"/>
              <w:wordWrap/>
              <w:overflowPunct w:val="0"/>
              <w:topLinePunct w:val="0"/>
              <w:bidi w:val="0"/>
              <w:spacing w:line="560" w:lineRule="exact"/>
              <w:ind w:right="0"/>
              <w:jc w:val="center"/>
              <w:textAlignment w:val="auto"/>
              <w:rPr>
                <w:rFonts w:hint="default" w:ascii="Times New Roman" w:hAnsi="Times New Roman" w:eastAsia="仿宋_GB2312" w:cs="Times New Roman"/>
                <w:b/>
                <w:color w:val="auto"/>
                <w:sz w:val="24"/>
                <w:szCs w:val="24"/>
              </w:rPr>
            </w:pPr>
            <w:r>
              <w:rPr>
                <w:rFonts w:hint="default" w:ascii="Times New Roman" w:hAnsi="Times New Roman" w:eastAsia="仿宋_GB2312" w:cs="Times New Roman"/>
                <w:b/>
                <w:color w:val="auto"/>
                <w:spacing w:val="-16"/>
                <w:sz w:val="24"/>
                <w:szCs w:val="24"/>
              </w:rPr>
              <w:t>序</w:t>
            </w:r>
            <w:r>
              <w:rPr>
                <w:rFonts w:hint="eastAsia" w:eastAsia="仿宋_GB2312" w:cs="Times New Roman"/>
                <w:b/>
                <w:color w:val="auto"/>
                <w:spacing w:val="-16"/>
                <w:sz w:val="24"/>
                <w:szCs w:val="24"/>
                <w:lang w:val="en-US" w:eastAsia="zh-CN"/>
              </w:rPr>
              <w:t>号</w:t>
            </w:r>
          </w:p>
        </w:tc>
        <w:tc>
          <w:tcPr>
            <w:tcW w:w="4927" w:type="dxa"/>
            <w:tcBorders>
              <w:top w:val="single" w:color="000000" w:sz="8" w:space="0"/>
              <w:left w:val="single" w:color="000000" w:sz="4" w:space="0"/>
              <w:bottom w:val="single" w:color="000000" w:sz="8" w:space="0"/>
              <w:right w:val="single" w:color="000000" w:sz="4" w:space="0"/>
            </w:tcBorders>
            <w:noWrap w:val="0"/>
            <w:vAlign w:val="center"/>
          </w:tcPr>
          <w:p w14:paraId="22A4F5B0">
            <w:pPr>
              <w:pStyle w:val="16"/>
              <w:keepNext w:val="0"/>
              <w:keepLines w:val="0"/>
              <w:pageBreakBefore w:val="0"/>
              <w:kinsoku w:val="0"/>
              <w:wordWrap/>
              <w:overflowPunct w:val="0"/>
              <w:topLinePunct w:val="0"/>
              <w:bidi w:val="0"/>
              <w:spacing w:line="560" w:lineRule="exact"/>
              <w:ind w:right="0"/>
              <w:jc w:val="center"/>
              <w:textAlignment w:val="auto"/>
              <w:rPr>
                <w:rFonts w:hint="default" w:ascii="Times New Roman" w:hAnsi="Times New Roman" w:eastAsia="仿宋_GB2312" w:cs="Times New Roman"/>
                <w:b/>
                <w:color w:val="auto"/>
                <w:spacing w:val="1"/>
                <w:sz w:val="24"/>
                <w:szCs w:val="24"/>
              </w:rPr>
            </w:pPr>
            <w:r>
              <w:rPr>
                <w:rFonts w:hint="default" w:ascii="Times New Roman" w:hAnsi="Times New Roman" w:eastAsia="仿宋_GB2312" w:cs="Times New Roman"/>
                <w:b/>
                <w:color w:val="auto"/>
                <w:spacing w:val="1"/>
                <w:sz w:val="24"/>
                <w:szCs w:val="24"/>
              </w:rPr>
              <w:t>材料名称</w:t>
            </w:r>
          </w:p>
        </w:tc>
        <w:tc>
          <w:tcPr>
            <w:tcW w:w="1290" w:type="dxa"/>
            <w:tcBorders>
              <w:top w:val="single" w:color="000000" w:sz="8" w:space="0"/>
              <w:left w:val="single" w:color="000000" w:sz="4" w:space="0"/>
              <w:bottom w:val="single" w:color="000000" w:sz="8" w:space="0"/>
              <w:right w:val="single" w:color="000000" w:sz="4" w:space="0"/>
            </w:tcBorders>
            <w:noWrap w:val="0"/>
            <w:vAlign w:val="center"/>
          </w:tcPr>
          <w:p w14:paraId="6CADB920">
            <w:pPr>
              <w:pStyle w:val="16"/>
              <w:keepNext w:val="0"/>
              <w:keepLines w:val="0"/>
              <w:pageBreakBefore w:val="0"/>
              <w:kinsoku w:val="0"/>
              <w:wordWrap/>
              <w:overflowPunct w:val="0"/>
              <w:topLinePunct w:val="0"/>
              <w:bidi w:val="0"/>
              <w:spacing w:line="560" w:lineRule="exact"/>
              <w:ind w:right="0"/>
              <w:jc w:val="center"/>
              <w:textAlignment w:val="auto"/>
              <w:rPr>
                <w:rFonts w:hint="default" w:ascii="Times New Roman" w:hAnsi="Times New Roman" w:eastAsia="仿宋_GB2312" w:cs="Times New Roman"/>
                <w:b/>
                <w:color w:val="auto"/>
                <w:spacing w:val="1"/>
                <w:sz w:val="24"/>
                <w:szCs w:val="24"/>
                <w:lang w:eastAsia="zh-CN"/>
              </w:rPr>
            </w:pPr>
            <w:r>
              <w:rPr>
                <w:rFonts w:hint="default" w:ascii="Times New Roman" w:hAnsi="Times New Roman" w:eastAsia="仿宋_GB2312" w:cs="Times New Roman"/>
                <w:b/>
                <w:color w:val="auto"/>
                <w:spacing w:val="1"/>
                <w:sz w:val="24"/>
                <w:szCs w:val="24"/>
              </w:rPr>
              <w:t>材料</w:t>
            </w:r>
            <w:r>
              <w:rPr>
                <w:rFonts w:hint="default" w:ascii="Times New Roman" w:hAnsi="Times New Roman" w:eastAsia="仿宋_GB2312" w:cs="Times New Roman"/>
                <w:b/>
                <w:color w:val="auto"/>
                <w:spacing w:val="1"/>
                <w:sz w:val="24"/>
                <w:szCs w:val="24"/>
                <w:lang w:val="en-US" w:eastAsia="zh-CN"/>
              </w:rPr>
              <w:t>形式</w:t>
            </w:r>
          </w:p>
        </w:tc>
        <w:tc>
          <w:tcPr>
            <w:tcW w:w="1005" w:type="dxa"/>
            <w:tcBorders>
              <w:top w:val="single" w:color="000000" w:sz="8" w:space="0"/>
              <w:left w:val="single" w:color="000000" w:sz="4" w:space="0"/>
              <w:bottom w:val="single" w:color="000000" w:sz="8" w:space="0"/>
              <w:right w:val="single" w:color="000000" w:sz="4" w:space="0"/>
            </w:tcBorders>
            <w:noWrap w:val="0"/>
            <w:vAlign w:val="center"/>
          </w:tcPr>
          <w:p w14:paraId="326E2DCE">
            <w:pPr>
              <w:pStyle w:val="16"/>
              <w:keepNext w:val="0"/>
              <w:keepLines w:val="0"/>
              <w:pageBreakBefore w:val="0"/>
              <w:kinsoku w:val="0"/>
              <w:wordWrap/>
              <w:overflowPunct w:val="0"/>
              <w:topLinePunct w:val="0"/>
              <w:bidi w:val="0"/>
              <w:spacing w:line="560" w:lineRule="exact"/>
              <w:ind w:right="0"/>
              <w:jc w:val="center"/>
              <w:textAlignment w:val="auto"/>
              <w:rPr>
                <w:rFonts w:hint="default" w:ascii="Times New Roman" w:hAnsi="Times New Roman" w:eastAsia="仿宋_GB2312" w:cs="Times New Roman"/>
                <w:b/>
                <w:color w:val="auto"/>
                <w:spacing w:val="1"/>
                <w:sz w:val="24"/>
                <w:szCs w:val="24"/>
                <w:lang w:val="en-US" w:eastAsia="zh-CN"/>
              </w:rPr>
            </w:pPr>
            <w:r>
              <w:rPr>
                <w:rFonts w:hint="default" w:ascii="Times New Roman" w:hAnsi="Times New Roman" w:eastAsia="仿宋_GB2312" w:cs="Times New Roman"/>
                <w:b/>
                <w:color w:val="auto"/>
                <w:spacing w:val="1"/>
                <w:sz w:val="24"/>
                <w:szCs w:val="24"/>
              </w:rPr>
              <w:t>数</w:t>
            </w:r>
            <w:r>
              <w:rPr>
                <w:rFonts w:hint="default" w:ascii="Times New Roman" w:hAnsi="Times New Roman" w:eastAsia="仿宋_GB2312" w:cs="Times New Roman"/>
                <w:b/>
                <w:color w:val="auto"/>
                <w:spacing w:val="1"/>
                <w:sz w:val="24"/>
                <w:szCs w:val="24"/>
                <w:lang w:val="en-US" w:eastAsia="zh-CN"/>
              </w:rPr>
              <w:t>量</w:t>
            </w:r>
          </w:p>
        </w:tc>
        <w:tc>
          <w:tcPr>
            <w:tcW w:w="1493" w:type="dxa"/>
            <w:tcBorders>
              <w:top w:val="single" w:color="000000" w:sz="8" w:space="0"/>
              <w:left w:val="single" w:color="000000" w:sz="4" w:space="0"/>
              <w:bottom w:val="single" w:color="000000" w:sz="8" w:space="0"/>
              <w:right w:val="single" w:color="000000" w:sz="8" w:space="0"/>
            </w:tcBorders>
            <w:noWrap w:val="0"/>
            <w:vAlign w:val="center"/>
          </w:tcPr>
          <w:p w14:paraId="5245BE51">
            <w:pPr>
              <w:pStyle w:val="16"/>
              <w:keepNext w:val="0"/>
              <w:keepLines w:val="0"/>
              <w:pageBreakBefore w:val="0"/>
              <w:kinsoku w:val="0"/>
              <w:wordWrap/>
              <w:overflowPunct w:val="0"/>
              <w:topLinePunct w:val="0"/>
              <w:bidi w:val="0"/>
              <w:spacing w:line="560" w:lineRule="exact"/>
              <w:ind w:right="0"/>
              <w:jc w:val="center"/>
              <w:textAlignment w:val="auto"/>
              <w:rPr>
                <w:rFonts w:hint="default" w:ascii="Times New Roman" w:hAnsi="Times New Roman" w:eastAsia="仿宋_GB2312" w:cs="Times New Roman"/>
                <w:b/>
                <w:color w:val="auto"/>
                <w:spacing w:val="1"/>
                <w:sz w:val="24"/>
                <w:szCs w:val="24"/>
              </w:rPr>
            </w:pPr>
            <w:r>
              <w:rPr>
                <w:rFonts w:hint="default" w:ascii="Times New Roman" w:hAnsi="Times New Roman" w:eastAsia="仿宋_GB2312" w:cs="Times New Roman"/>
                <w:b/>
                <w:color w:val="auto"/>
                <w:spacing w:val="1"/>
                <w:sz w:val="24"/>
                <w:szCs w:val="24"/>
              </w:rPr>
              <w:t>其他要求</w:t>
            </w:r>
          </w:p>
        </w:tc>
      </w:tr>
      <w:tr w14:paraId="12EA147D">
        <w:tblPrEx>
          <w:tblCellMar>
            <w:top w:w="0" w:type="dxa"/>
            <w:left w:w="0" w:type="dxa"/>
            <w:bottom w:w="0" w:type="dxa"/>
            <w:right w:w="0" w:type="dxa"/>
          </w:tblCellMar>
        </w:tblPrEx>
        <w:trPr>
          <w:trHeight w:val="1025" w:hRule="exact"/>
        </w:trPr>
        <w:tc>
          <w:tcPr>
            <w:tcW w:w="675" w:type="dxa"/>
            <w:tcBorders>
              <w:top w:val="single" w:color="000000" w:sz="4" w:space="0"/>
              <w:left w:val="single" w:color="000000" w:sz="8" w:space="0"/>
              <w:bottom w:val="single" w:color="000000" w:sz="4" w:space="0"/>
              <w:right w:val="single" w:color="000000" w:sz="4" w:space="0"/>
            </w:tcBorders>
            <w:noWrap w:val="0"/>
            <w:vAlign w:val="center"/>
          </w:tcPr>
          <w:p w14:paraId="4062D997">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1</w:t>
            </w:r>
          </w:p>
        </w:tc>
        <w:tc>
          <w:tcPr>
            <w:tcW w:w="4927" w:type="dxa"/>
            <w:tcBorders>
              <w:top w:val="single" w:color="000000" w:sz="4" w:space="0"/>
              <w:left w:val="single" w:color="000000" w:sz="4" w:space="0"/>
              <w:bottom w:val="single" w:color="000000" w:sz="4" w:space="0"/>
              <w:right w:val="single" w:color="000000" w:sz="4" w:space="0"/>
            </w:tcBorders>
            <w:noWrap w:val="0"/>
            <w:vAlign w:val="center"/>
          </w:tcPr>
          <w:p w14:paraId="23A98D56">
            <w:pPr>
              <w:pStyle w:val="16"/>
              <w:keepNext w:val="0"/>
              <w:keepLines w:val="0"/>
              <w:pageBreakBefore w:val="0"/>
              <w:kinsoku w:val="0"/>
              <w:wordWrap/>
              <w:overflowPunct w:val="0"/>
              <w:topLinePunct w:val="0"/>
              <w:bidi w:val="0"/>
              <w:spacing w:line="560" w:lineRule="exact"/>
              <w:ind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地方水行政主管部门关于河道管理范围内有关活动审批的请示</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A166588">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2E33BAFA">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1份</w:t>
            </w:r>
          </w:p>
        </w:tc>
        <w:tc>
          <w:tcPr>
            <w:tcW w:w="1493" w:type="dxa"/>
            <w:vMerge w:val="restart"/>
            <w:tcBorders>
              <w:top w:val="single" w:color="000000" w:sz="8" w:space="0"/>
              <w:left w:val="single" w:color="000000" w:sz="4" w:space="0"/>
              <w:right w:val="single" w:color="000000" w:sz="8" w:space="0"/>
            </w:tcBorders>
            <w:noWrap w:val="0"/>
            <w:vAlign w:val="top"/>
          </w:tcPr>
          <w:p w14:paraId="6522A3A5">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r w14:paraId="35E955DA">
        <w:tblPrEx>
          <w:tblCellMar>
            <w:top w:w="0" w:type="dxa"/>
            <w:left w:w="0" w:type="dxa"/>
            <w:bottom w:w="0" w:type="dxa"/>
            <w:right w:w="0" w:type="dxa"/>
          </w:tblCellMar>
        </w:tblPrEx>
        <w:trPr>
          <w:trHeight w:val="580" w:hRule="exact"/>
        </w:trPr>
        <w:tc>
          <w:tcPr>
            <w:tcW w:w="675" w:type="dxa"/>
            <w:tcBorders>
              <w:top w:val="single" w:color="000000" w:sz="4" w:space="0"/>
              <w:left w:val="single" w:color="000000" w:sz="8" w:space="0"/>
              <w:bottom w:val="single" w:color="000000" w:sz="4" w:space="0"/>
              <w:right w:val="single" w:color="000000" w:sz="4" w:space="0"/>
            </w:tcBorders>
            <w:noWrap w:val="0"/>
            <w:vAlign w:val="center"/>
          </w:tcPr>
          <w:p w14:paraId="47564CF0">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2</w:t>
            </w:r>
          </w:p>
        </w:tc>
        <w:tc>
          <w:tcPr>
            <w:tcW w:w="4927" w:type="dxa"/>
            <w:tcBorders>
              <w:top w:val="single" w:color="000000" w:sz="4" w:space="0"/>
              <w:left w:val="single" w:color="000000" w:sz="4" w:space="0"/>
              <w:bottom w:val="single" w:color="000000" w:sz="4" w:space="0"/>
              <w:right w:val="single" w:color="000000" w:sz="4" w:space="0"/>
            </w:tcBorders>
            <w:noWrap w:val="0"/>
            <w:vAlign w:val="center"/>
          </w:tcPr>
          <w:p w14:paraId="130B6369">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河道管理范围内有关活动的方案</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4FE654A">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000000" w:sz="4" w:space="0"/>
              <w:left w:val="single" w:color="000000" w:sz="4" w:space="0"/>
              <w:bottom w:val="single" w:color="auto" w:sz="4" w:space="0"/>
              <w:right w:val="single" w:color="000000" w:sz="4" w:space="0"/>
            </w:tcBorders>
            <w:noWrap w:val="0"/>
            <w:vAlign w:val="center"/>
          </w:tcPr>
          <w:p w14:paraId="7634BD40">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1份</w:t>
            </w:r>
          </w:p>
        </w:tc>
        <w:tc>
          <w:tcPr>
            <w:tcW w:w="1493" w:type="dxa"/>
            <w:vMerge w:val="continue"/>
            <w:tcBorders>
              <w:left w:val="single" w:color="000000" w:sz="4" w:space="0"/>
              <w:bottom w:val="single" w:color="auto" w:sz="4" w:space="0"/>
              <w:right w:val="single" w:color="000000" w:sz="8" w:space="0"/>
            </w:tcBorders>
            <w:noWrap w:val="0"/>
            <w:vAlign w:val="top"/>
          </w:tcPr>
          <w:p w14:paraId="1AA3A524">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r w14:paraId="6F97CDD0">
        <w:tblPrEx>
          <w:tblCellMar>
            <w:top w:w="0" w:type="dxa"/>
            <w:left w:w="0" w:type="dxa"/>
            <w:bottom w:w="0" w:type="dxa"/>
            <w:right w:w="0" w:type="dxa"/>
          </w:tblCellMar>
        </w:tblPrEx>
        <w:trPr>
          <w:trHeight w:val="669" w:hRule="exact"/>
        </w:trPr>
        <w:tc>
          <w:tcPr>
            <w:tcW w:w="675" w:type="dxa"/>
            <w:tcBorders>
              <w:top w:val="single" w:color="000000" w:sz="4" w:space="0"/>
              <w:left w:val="single" w:color="000000" w:sz="8" w:space="0"/>
              <w:right w:val="single" w:color="000000" w:sz="4" w:space="0"/>
            </w:tcBorders>
            <w:noWrap w:val="0"/>
            <w:vAlign w:val="center"/>
          </w:tcPr>
          <w:p w14:paraId="12500FAE">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3</w:t>
            </w:r>
          </w:p>
        </w:tc>
        <w:tc>
          <w:tcPr>
            <w:tcW w:w="4927" w:type="dxa"/>
            <w:tcBorders>
              <w:top w:val="single" w:color="000000" w:sz="4" w:space="0"/>
              <w:left w:val="single" w:color="000000" w:sz="4" w:space="0"/>
              <w:right w:val="single" w:color="000000" w:sz="4" w:space="0"/>
            </w:tcBorders>
            <w:noWrap w:val="0"/>
            <w:vAlign w:val="center"/>
          </w:tcPr>
          <w:p w14:paraId="04887FD9">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洪水影响评价报告</w:t>
            </w:r>
          </w:p>
        </w:tc>
        <w:tc>
          <w:tcPr>
            <w:tcW w:w="1290" w:type="dxa"/>
            <w:tcBorders>
              <w:top w:val="single" w:color="000000" w:sz="4" w:space="0"/>
              <w:left w:val="single" w:color="000000" w:sz="4" w:space="0"/>
              <w:right w:val="single" w:color="000000" w:sz="4" w:space="0"/>
            </w:tcBorders>
            <w:noWrap w:val="0"/>
            <w:vAlign w:val="center"/>
          </w:tcPr>
          <w:p w14:paraId="3CCF750F">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auto" w:sz="4" w:space="0"/>
              <w:left w:val="single" w:color="000000" w:sz="4" w:space="0"/>
              <w:bottom w:val="single" w:color="auto" w:sz="4" w:space="0"/>
              <w:right w:val="single" w:color="000000" w:sz="4" w:space="0"/>
            </w:tcBorders>
            <w:noWrap w:val="0"/>
            <w:vAlign w:val="center"/>
          </w:tcPr>
          <w:p w14:paraId="283ECC61">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份</w:t>
            </w:r>
          </w:p>
        </w:tc>
        <w:tc>
          <w:tcPr>
            <w:tcW w:w="1493" w:type="dxa"/>
            <w:vMerge w:val="continue"/>
            <w:tcBorders>
              <w:top w:val="single" w:color="auto" w:sz="4" w:space="0"/>
              <w:left w:val="single" w:color="000000" w:sz="4" w:space="0"/>
              <w:bottom w:val="single" w:color="auto" w:sz="4" w:space="0"/>
              <w:right w:val="single" w:color="000000" w:sz="8" w:space="0"/>
            </w:tcBorders>
            <w:noWrap w:val="0"/>
            <w:vAlign w:val="top"/>
          </w:tcPr>
          <w:p w14:paraId="63884135">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r w14:paraId="11179E3F">
        <w:tblPrEx>
          <w:tblCellMar>
            <w:top w:w="0" w:type="dxa"/>
            <w:left w:w="0" w:type="dxa"/>
            <w:bottom w:w="0" w:type="dxa"/>
            <w:right w:w="0" w:type="dxa"/>
          </w:tblCellMar>
        </w:tblPrEx>
        <w:trPr>
          <w:trHeight w:val="612" w:hRule="exact"/>
        </w:trPr>
        <w:tc>
          <w:tcPr>
            <w:tcW w:w="675" w:type="dxa"/>
            <w:tcBorders>
              <w:top w:val="single" w:color="000000" w:sz="4" w:space="0"/>
              <w:left w:val="single" w:color="000000" w:sz="8" w:space="0"/>
              <w:bottom w:val="single" w:color="000000" w:sz="4" w:space="0"/>
              <w:right w:val="single" w:color="000000" w:sz="4" w:space="0"/>
            </w:tcBorders>
            <w:noWrap w:val="0"/>
            <w:vAlign w:val="center"/>
          </w:tcPr>
          <w:p w14:paraId="6148E1CD">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4</w:t>
            </w:r>
          </w:p>
        </w:tc>
        <w:tc>
          <w:tcPr>
            <w:tcW w:w="4927" w:type="dxa"/>
            <w:tcBorders>
              <w:top w:val="single" w:color="000000" w:sz="4" w:space="0"/>
              <w:left w:val="single" w:color="000000" w:sz="4" w:space="0"/>
              <w:bottom w:val="single" w:color="000000" w:sz="4" w:space="0"/>
              <w:right w:val="single" w:color="000000" w:sz="4" w:space="0"/>
            </w:tcBorders>
            <w:noWrap w:val="0"/>
            <w:vAlign w:val="center"/>
          </w:tcPr>
          <w:p w14:paraId="4F431233">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协议或者相关承诺函</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D872567">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auto" w:sz="4" w:space="0"/>
              <w:left w:val="single" w:color="000000" w:sz="4" w:space="0"/>
              <w:bottom w:val="single" w:color="000000" w:sz="4" w:space="0"/>
              <w:right w:val="single" w:color="000000" w:sz="4" w:space="0"/>
            </w:tcBorders>
            <w:noWrap w:val="0"/>
            <w:vAlign w:val="center"/>
          </w:tcPr>
          <w:p w14:paraId="6D5FB84F">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1份</w:t>
            </w:r>
          </w:p>
        </w:tc>
        <w:tc>
          <w:tcPr>
            <w:tcW w:w="1493" w:type="dxa"/>
            <w:vMerge w:val="continue"/>
            <w:tcBorders>
              <w:top w:val="single" w:color="auto" w:sz="4" w:space="0"/>
              <w:left w:val="single" w:color="000000" w:sz="4" w:space="0"/>
              <w:bottom w:val="single" w:color="auto" w:sz="4" w:space="0"/>
              <w:right w:val="single" w:color="000000" w:sz="8" w:space="0"/>
            </w:tcBorders>
            <w:noWrap w:val="0"/>
            <w:vAlign w:val="top"/>
          </w:tcPr>
          <w:p w14:paraId="4D18D457">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r w14:paraId="3360CBD3">
        <w:tblPrEx>
          <w:tblCellMar>
            <w:top w:w="0" w:type="dxa"/>
            <w:left w:w="0" w:type="dxa"/>
            <w:bottom w:w="0" w:type="dxa"/>
            <w:right w:w="0" w:type="dxa"/>
          </w:tblCellMar>
        </w:tblPrEx>
        <w:trPr>
          <w:trHeight w:val="612" w:hRule="exact"/>
        </w:trPr>
        <w:tc>
          <w:tcPr>
            <w:tcW w:w="675" w:type="dxa"/>
            <w:tcBorders>
              <w:top w:val="single" w:color="000000" w:sz="4" w:space="0"/>
              <w:left w:val="single" w:color="000000" w:sz="8" w:space="0"/>
              <w:bottom w:val="single" w:color="000000" w:sz="4" w:space="0"/>
              <w:right w:val="single" w:color="000000" w:sz="4" w:space="0"/>
            </w:tcBorders>
            <w:noWrap w:val="0"/>
            <w:vAlign w:val="center"/>
          </w:tcPr>
          <w:p w14:paraId="4CEF1C27">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5</w:t>
            </w:r>
          </w:p>
        </w:tc>
        <w:tc>
          <w:tcPr>
            <w:tcW w:w="4927" w:type="dxa"/>
            <w:tcBorders>
              <w:top w:val="single" w:color="000000" w:sz="4" w:space="0"/>
              <w:left w:val="single" w:color="000000" w:sz="4" w:space="0"/>
              <w:bottom w:val="single" w:color="000000" w:sz="4" w:space="0"/>
              <w:right w:val="single" w:color="000000" w:sz="4" w:space="0"/>
            </w:tcBorders>
            <w:noWrap w:val="0"/>
            <w:vAlign w:val="center"/>
          </w:tcPr>
          <w:p w14:paraId="5A7042B2">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委托书</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C5C705B">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1637A290">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份</w:t>
            </w:r>
          </w:p>
        </w:tc>
        <w:tc>
          <w:tcPr>
            <w:tcW w:w="1493" w:type="dxa"/>
            <w:vMerge w:val="continue"/>
            <w:tcBorders>
              <w:top w:val="single" w:color="auto" w:sz="4" w:space="0"/>
              <w:left w:val="single" w:color="000000" w:sz="4" w:space="0"/>
              <w:bottom w:val="single" w:color="auto" w:sz="4" w:space="0"/>
              <w:right w:val="single" w:color="000000" w:sz="8" w:space="0"/>
            </w:tcBorders>
            <w:noWrap w:val="0"/>
            <w:vAlign w:val="top"/>
          </w:tcPr>
          <w:p w14:paraId="1550AC8D">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r w14:paraId="785FDB73">
        <w:tblPrEx>
          <w:tblCellMar>
            <w:top w:w="0" w:type="dxa"/>
            <w:left w:w="0" w:type="dxa"/>
            <w:bottom w:w="0" w:type="dxa"/>
            <w:right w:w="0" w:type="dxa"/>
          </w:tblCellMar>
        </w:tblPrEx>
        <w:trPr>
          <w:trHeight w:val="612" w:hRule="exact"/>
        </w:trPr>
        <w:tc>
          <w:tcPr>
            <w:tcW w:w="675" w:type="dxa"/>
            <w:tcBorders>
              <w:top w:val="single" w:color="000000" w:sz="4" w:space="0"/>
              <w:left w:val="single" w:color="000000" w:sz="8" w:space="0"/>
              <w:bottom w:val="single" w:color="000000" w:sz="4" w:space="0"/>
              <w:right w:val="single" w:color="000000" w:sz="4" w:space="0"/>
            </w:tcBorders>
            <w:noWrap w:val="0"/>
            <w:vAlign w:val="center"/>
          </w:tcPr>
          <w:p w14:paraId="60EFD56D">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6</w:t>
            </w:r>
          </w:p>
        </w:tc>
        <w:tc>
          <w:tcPr>
            <w:tcW w:w="4927" w:type="dxa"/>
            <w:tcBorders>
              <w:top w:val="single" w:color="000000" w:sz="4" w:space="0"/>
              <w:left w:val="single" w:color="000000" w:sz="4" w:space="0"/>
              <w:bottom w:val="single" w:color="000000" w:sz="4" w:space="0"/>
              <w:right w:val="single" w:color="000000" w:sz="4" w:space="0"/>
            </w:tcBorders>
            <w:noWrap w:val="0"/>
            <w:vAlign w:val="center"/>
          </w:tcPr>
          <w:p w14:paraId="3EA12FF1">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ascii="微软雅黑" w:hAnsi="微软雅黑" w:eastAsia="微软雅黑" w:cs="微软雅黑"/>
                <w:i w:val="0"/>
                <w:iCs w:val="0"/>
                <w:caps w:val="0"/>
                <w:color w:val="515B6E"/>
                <w:spacing w:val="0"/>
                <w:sz w:val="21"/>
                <w:szCs w:val="21"/>
                <w:shd w:val="clear" w:fill="EBF7FF"/>
              </w:rPr>
            </w:pPr>
            <w:r>
              <w:rPr>
                <w:rFonts w:hint="default" w:ascii="Times New Roman" w:hAnsi="Times New Roman" w:eastAsia="仿宋_GB2312" w:cs="Times New Roman"/>
                <w:color w:val="auto"/>
                <w:sz w:val="24"/>
                <w:szCs w:val="24"/>
              </w:rPr>
              <w:t>被委托人身份证复印件</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BB107E7">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原件</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7EDB1DB0">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1份</w:t>
            </w:r>
          </w:p>
        </w:tc>
        <w:tc>
          <w:tcPr>
            <w:tcW w:w="1493" w:type="dxa"/>
            <w:vMerge w:val="continue"/>
            <w:tcBorders>
              <w:top w:val="single" w:color="auto" w:sz="4" w:space="0"/>
              <w:left w:val="single" w:color="000000" w:sz="4" w:space="0"/>
              <w:bottom w:val="single" w:color="auto" w:sz="4" w:space="0"/>
              <w:right w:val="single" w:color="000000" w:sz="8" w:space="0"/>
            </w:tcBorders>
            <w:noWrap w:val="0"/>
            <w:vAlign w:val="top"/>
          </w:tcPr>
          <w:p w14:paraId="0A24CDD5">
            <w:pPr>
              <w:pStyle w:val="16"/>
              <w:keepNext w:val="0"/>
              <w:keepLines w:val="0"/>
              <w:pageBreakBefore w:val="0"/>
              <w:kinsoku w:val="0"/>
              <w:wordWrap/>
              <w:overflowPunct w:val="0"/>
              <w:topLinePunct w:val="0"/>
              <w:bidi w:val="0"/>
              <w:spacing w:line="560" w:lineRule="exact"/>
              <w:ind w:left="0" w:leftChars="0" w:right="0" w:firstLine="480" w:firstLineChars="200"/>
              <w:jc w:val="both"/>
              <w:textAlignment w:val="auto"/>
              <w:rPr>
                <w:rFonts w:hint="default" w:ascii="Times New Roman" w:hAnsi="Times New Roman" w:cs="Times New Roman"/>
                <w:color w:val="auto"/>
              </w:rPr>
            </w:pPr>
          </w:p>
        </w:tc>
      </w:tr>
    </w:tbl>
    <w:p w14:paraId="50DB85F8">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七、办结时限</w:t>
      </w:r>
    </w:p>
    <w:p w14:paraId="083F3D0A">
      <w:pPr>
        <w:keepNext w:val="0"/>
        <w:keepLines w:val="0"/>
        <w:pageBreakBefore w:val="0"/>
        <w:widowControl w:val="0"/>
        <w:wordWrap/>
        <w:topLinePunct w:val="0"/>
        <w:bidi w:val="0"/>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4B89C3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法定办理时限:20个工作日。</w:t>
      </w:r>
    </w:p>
    <w:p w14:paraId="72457EC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color w:val="auto"/>
          <w:sz w:val="24"/>
        </w:rPr>
      </w:pPr>
      <w:r>
        <w:rPr>
          <w:rFonts w:hint="default" w:ascii="Times New Roman" w:hAnsi="Times New Roman" w:eastAsia="仿宋_GB2312" w:cs="Times New Roman"/>
          <w:color w:val="auto"/>
          <w:sz w:val="32"/>
          <w:szCs w:val="32"/>
        </w:rPr>
        <w:t>承诺办理时限：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个工作日</w:t>
      </w:r>
      <w:r>
        <w:rPr>
          <w:rFonts w:hint="eastAsia" w:ascii="仿宋_GB2312" w:hAnsi="仿宋_GB2312" w:eastAsia="仿宋_GB2312" w:cs="仿宋_GB2312"/>
          <w:color w:val="auto"/>
          <w:sz w:val="32"/>
          <w:szCs w:val="32"/>
        </w:rPr>
        <w:t>（不含实地勘查、意见征询、论证评审、组织听证时间）</w:t>
      </w:r>
      <w:r>
        <w:rPr>
          <w:rFonts w:hint="default" w:ascii="Times New Roman" w:hAnsi="Times New Roman" w:eastAsia="仿宋_GB2312" w:cs="Times New Roman"/>
          <w:color w:val="auto"/>
          <w:sz w:val="32"/>
          <w:szCs w:val="32"/>
        </w:rPr>
        <w:t>。</w:t>
      </w:r>
    </w:p>
    <w:p w14:paraId="2EA35C8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八、许可收费及依据</w:t>
      </w:r>
    </w:p>
    <w:p w14:paraId="4088B71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本许可事项不收费。</w:t>
      </w:r>
    </w:p>
    <w:p w14:paraId="3AD06E7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rPr>
        <w:t>办理流程</w:t>
      </w:r>
    </w:p>
    <w:p w14:paraId="5C2FD6B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 xml:space="preserve">（一）申请 </w:t>
      </w:r>
    </w:p>
    <w:p w14:paraId="6C197C0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1.提交方式</w:t>
      </w:r>
    </w:p>
    <w:p w14:paraId="7734705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（1）窗口提交</w:t>
      </w:r>
    </w:p>
    <w:p w14:paraId="2534E51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接收申请的实施机关：昆明市官渡区</w:t>
      </w:r>
      <w:r>
        <w:rPr>
          <w:rFonts w:hint="default" w:ascii="Times New Roman" w:hAnsi="Times New Roman" w:eastAsia="仿宋_GB2312" w:cs="Times New Roman"/>
          <w:color w:val="auto"/>
          <w:sz w:val="32"/>
          <w:szCs w:val="32"/>
          <w:lang w:val="en-US" w:eastAsia="zh-CN"/>
        </w:rPr>
        <w:t>行政审批局</w:t>
      </w:r>
      <w:r>
        <w:rPr>
          <w:rFonts w:hint="default" w:ascii="Times New Roman" w:hAnsi="Times New Roman" w:eastAsia="仿宋_GB2312" w:cs="Times New Roman"/>
          <w:color w:val="auto"/>
          <w:sz w:val="32"/>
          <w:szCs w:val="32"/>
        </w:rPr>
        <w:t>；</w:t>
      </w:r>
    </w:p>
    <w:p w14:paraId="24C960E5">
      <w:pPr>
        <w:keepNext w:val="0"/>
        <w:keepLines w:val="0"/>
        <w:pageBreakBefore w:val="0"/>
        <w:widowControl w:val="0"/>
        <w:wordWrap/>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12102151">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（2）网络提交 </w:t>
      </w:r>
    </w:p>
    <w:p w14:paraId="4FBD32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网址：http://zwfw.yn.gov.cn/portal/#/home “云南省政务服务网”</w:t>
      </w:r>
    </w:p>
    <w:p w14:paraId="0378482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2.提交时间：</w:t>
      </w:r>
    </w:p>
    <w:p w14:paraId="63FFBA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窗口提交：星期一至星期五上午9:00～12:00，下午13:00～17:00（法定节假日除外）。</w:t>
      </w:r>
    </w:p>
    <w:p w14:paraId="67701E4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网络提交：时间不限。</w:t>
      </w:r>
    </w:p>
    <w:p w14:paraId="6A3C97A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2D58724C">
      <w:pPr>
        <w:keepNext w:val="0"/>
        <w:keepLines w:val="0"/>
        <w:pageBreakBefore w:val="0"/>
        <w:widowControl w:val="0"/>
        <w:wordWrap/>
        <w:topLinePunct w:val="0"/>
        <w:bidi w:val="0"/>
        <w:spacing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0580F5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520E1796">
      <w:pPr>
        <w:keepNext w:val="0"/>
        <w:keepLines w:val="0"/>
        <w:pageBreakBefore w:val="0"/>
        <w:widowControl w:val="0"/>
        <w:wordWrap/>
        <w:topLinePunct w:val="0"/>
        <w:bidi w:val="0"/>
        <w:spacing w:line="560" w:lineRule="exact"/>
        <w:ind w:left="0" w:leftChars="0"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2200B67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6963B88E">
      <w:pPr>
        <w:keepNext w:val="0"/>
        <w:keepLines w:val="0"/>
        <w:pageBreakBefore w:val="0"/>
        <w:widowControl w:val="0"/>
        <w:wordWrap/>
        <w:topLinePunct w:val="0"/>
        <w:bidi w:val="0"/>
        <w:spacing w:line="560" w:lineRule="exact"/>
        <w:ind w:left="0" w:leftChars="0"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09C1605E">
      <w:pPr>
        <w:keepNext w:val="0"/>
        <w:keepLines w:val="0"/>
        <w:pageBreakBefore w:val="0"/>
        <w:widowControl w:val="0"/>
        <w:wordWrap/>
        <w:topLinePunct w:val="0"/>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昆明市官渡区行政审批局关于XX</w:t>
      </w:r>
      <w:r>
        <w:rPr>
          <w:rFonts w:hint="default" w:ascii="Times New Roman" w:hAnsi="Times New Roman" w:eastAsia="仿宋_GB2312" w:cs="Times New Roman"/>
          <w:b w:val="0"/>
          <w:bCs/>
          <w:color w:val="auto"/>
          <w:sz w:val="32"/>
          <w:szCs w:val="32"/>
          <w:lang w:val="en-US" w:eastAsia="zh-CN"/>
        </w:rPr>
        <w:t>项目河道管理范围的批复</w:t>
      </w:r>
      <w:r>
        <w:rPr>
          <w:rFonts w:hint="eastAsia" w:eastAsia="仿宋_GB2312" w:cs="Times New Roman"/>
          <w:b w:val="0"/>
          <w:bCs/>
          <w:color w:val="auto"/>
          <w:sz w:val="32"/>
          <w:szCs w:val="32"/>
          <w:lang w:val="en-US" w:eastAsia="zh-CN"/>
        </w:rPr>
        <w:t>。</w:t>
      </w:r>
    </w:p>
    <w:p w14:paraId="0F25E066">
      <w:pPr>
        <w:keepNext w:val="0"/>
        <w:keepLines w:val="0"/>
        <w:pageBreakBefore w:val="0"/>
        <w:widowControl w:val="0"/>
        <w:wordWrap/>
        <w:topLinePunct w:val="0"/>
        <w:bidi w:val="0"/>
        <w:adjustRightInd w:val="0"/>
        <w:snapToGrid w:val="0"/>
        <w:spacing w:line="560" w:lineRule="exact"/>
        <w:ind w:left="0" w:leftChars="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D41D246">
      <w:pPr>
        <w:keepNext w:val="0"/>
        <w:keepLines w:val="0"/>
        <w:pageBreakBefore w:val="0"/>
        <w:widowControl w:val="0"/>
        <w:wordWrap/>
        <w:topLinePunct w:val="0"/>
        <w:autoSpaceDE/>
        <w:autoSpaceDN/>
        <w:bidi w:val="0"/>
        <w:spacing w:line="560" w:lineRule="exact"/>
        <w:ind w:left="0" w:leftChars="0" w:firstLine="640" w:firstLineChars="200"/>
        <w:jc w:val="both"/>
        <w:textAlignment w:val="auto"/>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十</w:t>
      </w:r>
      <w:r>
        <w:rPr>
          <w:rFonts w:hint="default" w:ascii="Times New Roman" w:hAnsi="Times New Roman" w:eastAsia="黑体" w:cs="Times New Roman"/>
          <w:color w:val="auto"/>
          <w:sz w:val="32"/>
          <w:szCs w:val="32"/>
        </w:rPr>
        <w:t>、许可服务</w:t>
      </w:r>
    </w:p>
    <w:p w14:paraId="7B2C8A5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 xml:space="preserve">（一）咨询 </w:t>
      </w:r>
    </w:p>
    <w:p w14:paraId="20154F60">
      <w:pPr>
        <w:keepNext w:val="0"/>
        <w:keepLines w:val="0"/>
        <w:pageBreakBefore w:val="0"/>
        <w:widowControl w:val="0"/>
        <w:wordWrap/>
        <w:topLinePunct w:val="0"/>
        <w:autoSpaceDE/>
        <w:autoSpaceDN/>
        <w:bidi w:val="0"/>
        <w:spacing w:line="560" w:lineRule="exact"/>
        <w:ind w:left="0" w:leftChars="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1.咨询方式</w:t>
      </w:r>
    </w:p>
    <w:p w14:paraId="58E2D82C">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（1）窗口咨询。</w:t>
      </w:r>
    </w:p>
    <w:p w14:paraId="04E935ED">
      <w:pPr>
        <w:keepNext w:val="0"/>
        <w:keepLines w:val="0"/>
        <w:pageBreakBefore w:val="0"/>
        <w:widowControl w:val="0"/>
        <w:wordWrap/>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5C7B62CF">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（2）电话咨询。电话号码：(0871) 6</w:t>
      </w:r>
      <w:r>
        <w:rPr>
          <w:rFonts w:hint="default" w:ascii="Times New Roman" w:hAnsi="Times New Roman" w:eastAsia="仿宋_GB2312" w:cs="Times New Roman"/>
          <w:color w:val="auto"/>
          <w:sz w:val="32"/>
          <w:szCs w:val="32"/>
          <w:lang w:val="en-US" w:eastAsia="zh-CN"/>
        </w:rPr>
        <w:t>6190385</w:t>
      </w:r>
    </w:p>
    <w:p w14:paraId="66E4EA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网络咨询。http://zwfw.yn.gov.cn/portal/#/home “云南省政务服务网 ”</w:t>
      </w:r>
    </w:p>
    <w:p w14:paraId="5FFC051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2.咨询回复</w:t>
      </w:r>
    </w:p>
    <w:p w14:paraId="41B3395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回复方式：窗口回复、电话回复、网络回复。</w:t>
      </w:r>
    </w:p>
    <w:p w14:paraId="3F38B4A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回复机构：昆明市官渡区行政审批局。</w:t>
      </w:r>
    </w:p>
    <w:p w14:paraId="5654219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回复时限：窗口咨询和电话咨询当场回复；网络咨询自收到咨询件后3个工作日内回复。</w:t>
      </w:r>
    </w:p>
    <w:p w14:paraId="7FE118D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（二）办理进程查询</w:t>
      </w:r>
    </w:p>
    <w:p w14:paraId="3A30E30B">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申请人可通过电话号码：(0871)6</w:t>
      </w:r>
      <w:r>
        <w:rPr>
          <w:rFonts w:hint="default" w:ascii="Times New Roman" w:hAnsi="Times New Roman" w:eastAsia="仿宋_GB2312" w:cs="Times New Roman"/>
          <w:color w:val="auto"/>
          <w:sz w:val="32"/>
          <w:szCs w:val="32"/>
          <w:lang w:val="en-US" w:eastAsia="zh-CN"/>
        </w:rPr>
        <w:t>6190385</w:t>
      </w:r>
      <w:r>
        <w:rPr>
          <w:rFonts w:hint="default" w:ascii="Times New Roman" w:hAnsi="Times New Roman" w:eastAsia="仿宋_GB2312" w:cs="Times New Roman"/>
          <w:color w:val="auto"/>
          <w:sz w:val="32"/>
          <w:szCs w:val="32"/>
        </w:rPr>
        <w:t>或 “云南省政务服务网 ”http://zwfw.yn.gov.cn/portal/#/home 查询审批事项办理进程。</w:t>
      </w:r>
    </w:p>
    <w:p w14:paraId="6D4A109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（三）监督投诉</w:t>
      </w:r>
    </w:p>
    <w:p w14:paraId="2CCD80DE">
      <w:pPr>
        <w:keepNext w:val="0"/>
        <w:keepLines w:val="0"/>
        <w:pageBreakBefore w:val="0"/>
        <w:widowControl w:val="0"/>
        <w:wordWrap/>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窗口投诉：</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170DC04F">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电话投诉：(0871) 6</w:t>
      </w:r>
      <w:r>
        <w:rPr>
          <w:rFonts w:hint="default" w:ascii="Times New Roman" w:hAnsi="Times New Roman" w:eastAsia="仿宋_GB2312" w:cs="Times New Roman"/>
          <w:color w:val="auto"/>
          <w:sz w:val="32"/>
          <w:szCs w:val="32"/>
          <w:lang w:val="en-US" w:eastAsia="zh-CN"/>
        </w:rPr>
        <w:t>61903</w:t>
      </w:r>
      <w:r>
        <w:rPr>
          <w:rFonts w:hint="eastAsia" w:ascii="Times New Roman" w:hAnsi="Times New Roman" w:eastAsia="仿宋_GB2312" w:cs="Times New Roman"/>
          <w:color w:val="auto"/>
          <w:sz w:val="32"/>
          <w:szCs w:val="32"/>
          <w:lang w:val="en-US" w:eastAsia="zh-CN"/>
        </w:rPr>
        <w:t>58</w:t>
      </w:r>
    </w:p>
    <w:p w14:paraId="0BB4B1A6">
      <w:pPr>
        <w:keepNext w:val="0"/>
        <w:keepLines w:val="0"/>
        <w:pageBreakBefore w:val="0"/>
        <w:widowControl w:val="0"/>
        <w:wordWrap/>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color w:val="auto"/>
          <w:sz w:val="32"/>
          <w:szCs w:val="32"/>
        </w:rPr>
        <w:t>网上投诉：http://zwfw.yn.gov.cn/</w:t>
      </w:r>
    </w:p>
    <w:p w14:paraId="4EA026E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（四）行政复议或行政诉讼</w:t>
      </w:r>
    </w:p>
    <w:p w14:paraId="59C8F1A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方正楷体_GBK" w:hAnsi="方正楷体_GBK" w:eastAsia="方正楷体_GBK" w:cs="方正楷体_GBK"/>
          <w:b w:val="0"/>
          <w:bCs/>
          <w:color w:val="auto"/>
          <w:sz w:val="32"/>
          <w:szCs w:val="32"/>
        </w:rPr>
        <w:t>公民、法人或者其他组织认为具体行政行为侵犯</w:t>
      </w:r>
      <w:r>
        <w:rPr>
          <w:rFonts w:hint="default" w:ascii="Times New Roman" w:hAnsi="Times New Roman" w:eastAsia="仿宋_GB2312" w:cs="Times New Roman"/>
          <w:color w:val="auto"/>
          <w:sz w:val="32"/>
          <w:szCs w:val="32"/>
        </w:rPr>
        <w:t>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0475AAA9">
      <w:pPr>
        <w:pStyle w:val="2"/>
        <w:keepNext w:val="0"/>
        <w:keepLines w:val="0"/>
        <w:pageBreakBefore w:val="0"/>
        <w:wordWrap/>
        <w:topLinePunct w:val="0"/>
        <w:bidi w:val="0"/>
        <w:spacing w:after="0" w:line="560" w:lineRule="exact"/>
        <w:ind w:left="0" w:leftChars="0" w:firstLine="480" w:firstLineChars="200"/>
        <w:jc w:val="both"/>
        <w:rPr>
          <w:rFonts w:hint="default" w:ascii="Times New Roman" w:hAnsi="Times New Roman" w:cs="Times New Roman"/>
          <w:color w:val="auto"/>
          <w:sz w:val="24"/>
        </w:rPr>
      </w:pPr>
    </w:p>
    <w:p w14:paraId="10977647">
      <w:pPr>
        <w:pStyle w:val="2"/>
        <w:keepNext w:val="0"/>
        <w:keepLines w:val="0"/>
        <w:pageBreakBefore w:val="0"/>
        <w:wordWrap/>
        <w:topLinePunct w:val="0"/>
        <w:bidi w:val="0"/>
        <w:spacing w:after="0" w:line="560" w:lineRule="exact"/>
        <w:ind w:left="0" w:leftChars="0" w:firstLine="480" w:firstLineChars="200"/>
        <w:jc w:val="both"/>
        <w:rPr>
          <w:rFonts w:hint="default" w:ascii="Times New Roman" w:hAnsi="Times New Roman" w:cs="Times New Roman"/>
          <w:color w:val="auto"/>
          <w:sz w:val="24"/>
        </w:rPr>
      </w:pPr>
    </w:p>
    <w:p w14:paraId="046FE387">
      <w:pPr>
        <w:keepNext w:val="0"/>
        <w:keepLines w:val="0"/>
        <w:pageBreakBefore w:val="0"/>
        <w:widowControl w:val="0"/>
        <w:kinsoku w:val="0"/>
        <w:wordWrap/>
        <w:overflowPunct w:val="0"/>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附件：1.行政许可事项办件流程图</w:t>
      </w:r>
    </w:p>
    <w:p w14:paraId="20D598BD">
      <w:pPr>
        <w:keepNext w:val="0"/>
        <w:keepLines w:val="0"/>
        <w:pageBreakBefore w:val="0"/>
        <w:widowControl w:val="0"/>
        <w:kinsoku w:val="0"/>
        <w:wordWrap/>
        <w:overflowPunct w:val="0"/>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2.申请书</w:t>
      </w:r>
    </w:p>
    <w:p w14:paraId="7F3953A4">
      <w:pPr>
        <w:keepNext w:val="0"/>
        <w:keepLines w:val="0"/>
        <w:pageBreakBefore w:val="0"/>
        <w:widowControl w:val="0"/>
        <w:wordWrap/>
        <w:topLinePunct w:val="0"/>
        <w:autoSpaceDE/>
        <w:autoSpaceDN/>
        <w:bidi w:val="0"/>
        <w:spacing w:line="560" w:lineRule="exact"/>
        <w:ind w:left="0" w:leftChars="0" w:firstLine="480" w:firstLineChars="200"/>
        <w:jc w:val="both"/>
        <w:textAlignment w:val="auto"/>
        <w:rPr>
          <w:rFonts w:hint="default" w:ascii="Times New Roman" w:hAnsi="Times New Roman" w:cs="Times New Roman"/>
          <w:color w:val="auto"/>
          <w:sz w:val="24"/>
        </w:rPr>
      </w:pPr>
    </w:p>
    <w:p w14:paraId="5143CCC3">
      <w:pPr>
        <w:keepNext w:val="0"/>
        <w:keepLines w:val="0"/>
        <w:pageBreakBefore w:val="0"/>
        <w:widowControl w:val="0"/>
        <w:wordWrap/>
        <w:topLinePunct w:val="0"/>
        <w:autoSpaceDE/>
        <w:autoSpaceDN/>
        <w:bidi w:val="0"/>
        <w:spacing w:line="560" w:lineRule="exact"/>
        <w:ind w:left="638" w:leftChars="304" w:firstLine="0" w:firstLineChars="0"/>
        <w:jc w:val="both"/>
        <w:textAlignment w:val="auto"/>
        <w:outlineLvl w:val="0"/>
        <w:rPr>
          <w:rFonts w:hint="default" w:ascii="Times New Roman" w:hAnsi="Times New Roman" w:eastAsia="黑体" w:cs="Times New Roman"/>
          <w:color w:val="auto"/>
          <w:sz w:val="28"/>
        </w:rPr>
      </w:pPr>
    </w:p>
    <w:p w14:paraId="7E092D81">
      <w:pPr>
        <w:keepNext w:val="0"/>
        <w:keepLines w:val="0"/>
        <w:pageBreakBefore w:val="0"/>
        <w:widowControl w:val="0"/>
        <w:wordWrap/>
        <w:topLinePunct w:val="0"/>
        <w:autoSpaceDE/>
        <w:autoSpaceDN/>
        <w:bidi w:val="0"/>
        <w:spacing w:line="560" w:lineRule="exact"/>
        <w:ind w:left="0" w:leftChars="0" w:firstLine="480" w:firstLineChars="200"/>
        <w:jc w:val="both"/>
        <w:textAlignment w:val="auto"/>
        <w:rPr>
          <w:rFonts w:hint="default" w:ascii="Times New Roman" w:hAnsi="Times New Roman" w:cs="Times New Roman"/>
          <w:color w:val="auto"/>
          <w:sz w:val="24"/>
        </w:rPr>
      </w:pPr>
      <w:bookmarkStart w:id="0" w:name="_GoBack"/>
      <w:bookmarkEnd w:id="0"/>
    </w:p>
    <w:p w14:paraId="10D337BB">
      <w:pPr>
        <w:keepNext w:val="0"/>
        <w:keepLines w:val="0"/>
        <w:pageBreakBefore w:val="0"/>
        <w:widowControl w:val="0"/>
        <w:kinsoku w:val="0"/>
        <w:wordWrap/>
        <w:overflowPunct w:val="0"/>
        <w:topLinePunct w:val="0"/>
        <w:autoSpaceDE/>
        <w:autoSpaceDN/>
        <w:bidi w:val="0"/>
        <w:spacing w:line="560" w:lineRule="exact"/>
        <w:ind w:left="0" w:leftChars="0" w:firstLine="560" w:firstLineChars="200"/>
        <w:jc w:val="both"/>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rPr>
        <w:br w:type="page"/>
      </w:r>
      <w:r>
        <w:rPr>
          <w:rFonts w:hint="default" w:ascii="Times New Roman" w:hAnsi="Times New Roman" w:eastAsia="黑体" w:cs="Times New Roman"/>
          <w:color w:val="auto"/>
          <w:sz w:val="28"/>
          <w:szCs w:val="28"/>
        </w:rPr>
        <w:t>附件</w:t>
      </w:r>
      <w:r>
        <w:rPr>
          <w:rFonts w:hint="default" w:ascii="Times New Roman" w:hAnsi="Times New Roman" w:eastAsia="黑体" w:cs="Times New Roman"/>
          <w:color w:val="auto"/>
          <w:sz w:val="28"/>
          <w:szCs w:val="28"/>
          <w:lang w:val="en-US" w:eastAsia="zh-CN"/>
        </w:rPr>
        <w:t>1</w:t>
      </w:r>
      <w:r>
        <w:rPr>
          <w:rFonts w:hint="eastAsia" w:ascii="Times New Roman" w:hAnsi="Times New Roman" w:eastAsia="黑体" w:cs="Times New Roman"/>
          <w:color w:val="auto"/>
          <w:sz w:val="28"/>
          <w:szCs w:val="28"/>
          <w:lang w:val="en-US" w:eastAsia="zh-CN"/>
        </w:rPr>
        <w:t>：</w:t>
      </w:r>
      <w:r>
        <w:rPr>
          <w:rFonts w:hint="default" w:ascii="Times New Roman" w:hAnsi="Times New Roman" w:eastAsia="黑体" w:cs="Times New Roman"/>
          <w:color w:val="auto"/>
          <w:sz w:val="28"/>
          <w:szCs w:val="28"/>
          <w:lang w:val="en-US" w:eastAsia="zh-CN"/>
        </w:rPr>
        <w:t>行政许可事项办件流程图</w:t>
      </w:r>
    </w:p>
    <w:p w14:paraId="3C7ED841">
      <w:pPr>
        <w:keepNext w:val="0"/>
        <w:keepLines w:val="0"/>
        <w:pageBreakBefore w:val="0"/>
        <w:kinsoku w:val="0"/>
        <w:wordWrap/>
        <w:overflowPunct w:val="0"/>
        <w:topLinePunct w:val="0"/>
        <w:bidi w:val="0"/>
        <w:spacing w:line="560" w:lineRule="exact"/>
        <w:jc w:val="both"/>
        <w:rPr>
          <w:rFonts w:hint="default" w:ascii="Times New Roman" w:hAnsi="Times New Roman" w:eastAsia="方正小标宋_GBK" w:cs="Times New Roman"/>
          <w:color w:val="auto"/>
          <w:sz w:val="40"/>
          <w:szCs w:val="40"/>
          <w:lang w:val="zh-CN"/>
        </w:rPr>
      </w:pPr>
      <w:r>
        <w:rPr>
          <w:rFonts w:hint="default" w:ascii="Times New Roman" w:hAnsi="Times New Roman" w:eastAsia="方正小标宋简体" w:cs="Times New Roman"/>
          <w:b w:val="0"/>
          <w:bCs w:val="0"/>
          <w:color w:val="auto"/>
          <w:sz w:val="44"/>
          <w:szCs w:val="44"/>
          <w:lang w:val="en-US" w:eastAsia="zh-CN"/>
        </w:rPr>
        <w:drawing>
          <wp:anchor distT="0" distB="0" distL="114300" distR="114300" simplePos="0" relativeHeight="251662336" behindDoc="0" locked="0" layoutInCell="1" allowOverlap="1">
            <wp:simplePos x="0" y="0"/>
            <wp:positionH relativeFrom="column">
              <wp:posOffset>-168910</wp:posOffset>
            </wp:positionH>
            <wp:positionV relativeFrom="paragraph">
              <wp:posOffset>389890</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18D30055">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方正小标宋简体" w:cs="Times New Roman"/>
          <w:color w:val="auto"/>
          <w:sz w:val="44"/>
          <w:szCs w:val="44"/>
        </w:rPr>
      </w:pPr>
      <w:r>
        <w:rPr>
          <w:rFonts w:hint="default" w:ascii="Times New Roman" w:hAnsi="Times New Roman" w:eastAsia="黑体" w:cs="Times New Roman"/>
          <w:color w:val="auto"/>
          <w:sz w:val="28"/>
          <w:szCs w:val="28"/>
          <w:lang w:val="en-US" w:eastAsia="zh-CN"/>
        </w:rPr>
        <w:t>附件2</w:t>
      </w:r>
      <w:r>
        <w:rPr>
          <w:rFonts w:hint="eastAsia" w:ascii="Times New Roman" w:hAnsi="Times New Roman" w:eastAsia="黑体" w:cs="Times New Roman"/>
          <w:color w:val="auto"/>
          <w:sz w:val="28"/>
          <w:szCs w:val="28"/>
          <w:lang w:val="en-US" w:eastAsia="zh-CN"/>
        </w:rPr>
        <w:t>：</w:t>
      </w:r>
    </w:p>
    <w:p w14:paraId="329F3539">
      <w:pPr>
        <w:keepNext w:val="0"/>
        <w:keepLines w:val="0"/>
        <w:pageBreakBefore w:val="0"/>
        <w:wordWrap/>
        <w:topLinePunct w:val="0"/>
        <w:bidi w:val="0"/>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行政许可申请书</w:t>
      </w:r>
    </w:p>
    <w:p w14:paraId="284C347B">
      <w:pPr>
        <w:keepNext w:val="0"/>
        <w:keepLines w:val="0"/>
        <w:pageBreakBefore w:val="0"/>
        <w:wordWrap/>
        <w:topLinePunct w:val="0"/>
        <w:bidi w:val="0"/>
        <w:spacing w:line="560" w:lineRule="exact"/>
        <w:ind w:left="0" w:leftChars="0" w:firstLine="60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30"/>
          <w:szCs w:val="30"/>
          <w:u w:val="single"/>
        </w:rPr>
        <w:t xml:space="preserve">官渡区行政审批局  </w:t>
      </w:r>
      <w:r>
        <w:rPr>
          <w:rFonts w:hint="default" w:ascii="Times New Roman" w:hAnsi="Times New Roman" w:eastAsia="华文仿宋" w:cs="Times New Roman"/>
          <w:bCs/>
          <w:color w:val="auto"/>
          <w:sz w:val="28"/>
          <w:szCs w:val="28"/>
        </w:rPr>
        <w:t>：</w:t>
      </w:r>
    </w:p>
    <w:p w14:paraId="5F28311A">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 xml:space="preserve">    我（单位）现向</w:t>
      </w:r>
      <w:r>
        <w:rPr>
          <w:rFonts w:hint="default" w:ascii="Times New Roman" w:hAnsi="Times New Roman" w:eastAsia="华文仿宋" w:cs="Times New Roman"/>
          <w:bCs/>
          <w:color w:val="auto"/>
          <w:sz w:val="30"/>
          <w:szCs w:val="30"/>
          <w:u w:val="single"/>
        </w:rPr>
        <w:t>官渡区行政审批局</w:t>
      </w:r>
      <w:r>
        <w:rPr>
          <w:rFonts w:hint="default" w:ascii="Times New Roman" w:hAnsi="Times New Roman" w:eastAsia="华文仿宋" w:cs="Times New Roman"/>
          <w:bCs/>
          <w:color w:val="auto"/>
          <w:sz w:val="28"/>
          <w:szCs w:val="28"/>
        </w:rPr>
        <w:t>申请</w:t>
      </w:r>
      <w:r>
        <w:rPr>
          <w:rFonts w:hint="default" w:ascii="Times New Roman" w:hAnsi="Times New Roman" w:eastAsia="仿宋" w:cs="Times New Roman"/>
          <w:color w:val="auto"/>
          <w:sz w:val="28"/>
          <w:szCs w:val="28"/>
          <w:u w:val="single"/>
        </w:rPr>
        <w:t>河道管理范围内有关活动审批</w:t>
      </w:r>
      <w:r>
        <w:rPr>
          <w:rFonts w:hint="default" w:ascii="Times New Roman" w:hAnsi="Times New Roman" w:eastAsia="华文仿宋" w:cs="Times New Roman"/>
          <w:bCs/>
          <w:color w:val="auto"/>
          <w:sz w:val="28"/>
          <w:szCs w:val="28"/>
        </w:rPr>
        <w:t>行政许可，并提交如下申请材料：</w:t>
      </w:r>
    </w:p>
    <w:p w14:paraId="7F830B7C">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 xml:space="preserve">    1、</w:t>
      </w:r>
      <w:r>
        <w:rPr>
          <w:rFonts w:hint="default" w:ascii="Times New Roman" w:hAnsi="Times New Roman" w:eastAsia="华文仿宋" w:cs="Times New Roman"/>
          <w:bCs/>
          <w:color w:val="auto"/>
          <w:sz w:val="28"/>
          <w:szCs w:val="28"/>
          <w:u w:val="single"/>
        </w:rPr>
        <w:t>地方水行政主管部门关于河道管理范围内有关活动审批的请示    份</w:t>
      </w:r>
    </w:p>
    <w:p w14:paraId="7DBB797E">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2、</w:t>
      </w:r>
      <w:r>
        <w:rPr>
          <w:rFonts w:hint="default" w:ascii="Times New Roman" w:hAnsi="Times New Roman" w:eastAsia="华文仿宋" w:cs="Times New Roman"/>
          <w:bCs/>
          <w:color w:val="auto"/>
          <w:sz w:val="28"/>
          <w:szCs w:val="28"/>
          <w:u w:val="single"/>
        </w:rPr>
        <w:t>河道管理范围内有关活动方案    份</w:t>
      </w:r>
    </w:p>
    <w:p w14:paraId="72C086E3">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u w:val="single"/>
        </w:rPr>
      </w:pPr>
      <w:r>
        <w:rPr>
          <w:rFonts w:hint="default" w:ascii="Times New Roman" w:hAnsi="Times New Roman" w:eastAsia="华文仿宋" w:cs="Times New Roman"/>
          <w:bCs/>
          <w:color w:val="auto"/>
          <w:sz w:val="28"/>
          <w:szCs w:val="28"/>
        </w:rPr>
        <w:t>3、</w:t>
      </w:r>
      <w:r>
        <w:rPr>
          <w:rFonts w:hint="default" w:ascii="Times New Roman" w:hAnsi="Times New Roman" w:eastAsia="华文仿宋" w:cs="Times New Roman"/>
          <w:bCs/>
          <w:color w:val="auto"/>
          <w:sz w:val="28"/>
          <w:szCs w:val="28"/>
          <w:u w:val="single"/>
        </w:rPr>
        <w:t>项目洪水影响评价报告    份</w:t>
      </w:r>
    </w:p>
    <w:p w14:paraId="39341B86">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color w:val="auto"/>
          <w:sz w:val="28"/>
          <w:szCs w:val="28"/>
        </w:rPr>
        <w:t>4、</w:t>
      </w:r>
      <w:r>
        <w:rPr>
          <w:rFonts w:hint="default" w:ascii="Times New Roman" w:hAnsi="Times New Roman" w:eastAsia="华文仿宋" w:cs="Times New Roman"/>
          <w:bCs/>
          <w:color w:val="auto"/>
          <w:sz w:val="28"/>
          <w:szCs w:val="28"/>
          <w:u w:val="single"/>
        </w:rPr>
        <w:t>与有利害关系的第三方达成的协议或相关承诺    份</w:t>
      </w:r>
    </w:p>
    <w:p w14:paraId="3F9BDE8F">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 xml:space="preserve">    申请人承诺：所提交申请材料真实。</w:t>
      </w:r>
    </w:p>
    <w:p w14:paraId="05DF401E">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 xml:space="preserve">    请依法审查并予以批准。</w:t>
      </w:r>
    </w:p>
    <w:p w14:paraId="114DB8D7">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p>
    <w:p w14:paraId="2612465B">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单位申请人名称：              统一社会信用代码：</w:t>
      </w:r>
    </w:p>
    <w:p w14:paraId="428D7224">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地址：                        邮编：</w:t>
      </w:r>
    </w:p>
    <w:p w14:paraId="4D7DF2AA">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法定代表人（负责人）姓名：    身份证号码：</w:t>
      </w:r>
    </w:p>
    <w:p w14:paraId="03C766CB">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委托代理人姓名：              身份证号码：</w:t>
      </w:r>
    </w:p>
    <w:p w14:paraId="15473476">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p>
    <w:p w14:paraId="77015A46">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 xml:space="preserve">                   申请人签字（盖章）：</w:t>
      </w:r>
    </w:p>
    <w:p w14:paraId="15CF731B">
      <w:pPr>
        <w:keepNext w:val="0"/>
        <w:keepLines w:val="0"/>
        <w:pageBreakBefore w:val="0"/>
        <w:wordWrap/>
        <w:topLinePunct w:val="0"/>
        <w:bidi w:val="0"/>
        <w:spacing w:line="560" w:lineRule="exact"/>
        <w:ind w:left="0" w:leftChars="0" w:firstLine="560" w:firstLineChars="200"/>
        <w:jc w:val="both"/>
        <w:rPr>
          <w:rFonts w:hint="default" w:ascii="Times New Roman" w:hAnsi="Times New Roman" w:eastAsia="华文仿宋" w:cs="Times New Roman"/>
          <w:bCs/>
          <w:color w:val="auto"/>
          <w:sz w:val="28"/>
          <w:szCs w:val="28"/>
        </w:rPr>
      </w:pPr>
      <w:r>
        <w:rPr>
          <w:rFonts w:hint="default" w:ascii="Times New Roman" w:hAnsi="Times New Roman" w:eastAsia="华文仿宋" w:cs="Times New Roman"/>
          <w:bCs/>
          <w:color w:val="auto"/>
          <w:sz w:val="28"/>
          <w:szCs w:val="28"/>
        </w:rPr>
        <w:t>年</w:t>
      </w:r>
      <w:r>
        <w:rPr>
          <w:rFonts w:hint="eastAsia" w:ascii="Times New Roman" w:hAnsi="Times New Roman" w:eastAsia="华文仿宋" w:cs="Times New Roman"/>
          <w:bCs/>
          <w:color w:val="auto"/>
          <w:sz w:val="28"/>
          <w:szCs w:val="28"/>
          <w:lang w:val="en-US" w:eastAsia="zh-CN"/>
        </w:rPr>
        <w:t xml:space="preserve">   </w:t>
      </w:r>
      <w:r>
        <w:rPr>
          <w:rFonts w:hint="default" w:ascii="Times New Roman" w:hAnsi="Times New Roman" w:eastAsia="华文仿宋" w:cs="Times New Roman"/>
          <w:bCs/>
          <w:color w:val="auto"/>
          <w:sz w:val="28"/>
          <w:szCs w:val="28"/>
        </w:rPr>
        <w:t>月</w:t>
      </w:r>
      <w:r>
        <w:rPr>
          <w:rFonts w:hint="eastAsia" w:ascii="Times New Roman" w:hAnsi="Times New Roman" w:eastAsia="华文仿宋" w:cs="Times New Roman"/>
          <w:bCs/>
          <w:color w:val="auto"/>
          <w:sz w:val="28"/>
          <w:szCs w:val="28"/>
          <w:lang w:val="en-US" w:eastAsia="zh-CN"/>
        </w:rPr>
        <w:t xml:space="preserve">   </w:t>
      </w:r>
      <w:r>
        <w:rPr>
          <w:rFonts w:hint="default" w:ascii="Times New Roman" w:hAnsi="Times New Roman" w:eastAsia="华文仿宋" w:cs="Times New Roman"/>
          <w:bCs/>
          <w:color w:val="auto"/>
          <w:sz w:val="28"/>
          <w:szCs w:val="28"/>
        </w:rPr>
        <w:t>日</w:t>
      </w:r>
    </w:p>
    <w:p w14:paraId="7D2E60FC">
      <w:pPr>
        <w:keepNext w:val="0"/>
        <w:keepLines w:val="0"/>
        <w:pageBreakBefore w:val="0"/>
        <w:wordWrap/>
        <w:topLinePunct w:val="0"/>
        <w:bidi w:val="0"/>
        <w:spacing w:line="560" w:lineRule="exact"/>
        <w:jc w:val="both"/>
        <w:rPr>
          <w:rFonts w:hint="default" w:ascii="Times New Roman" w:hAnsi="Times New Roman" w:eastAsia="华文仿宋" w:cs="Times New Roman"/>
          <w:bCs/>
          <w:color w:val="auto"/>
          <w:szCs w:val="21"/>
        </w:rPr>
      </w:pPr>
    </w:p>
    <w:p w14:paraId="5741EA66">
      <w:pPr>
        <w:keepNext w:val="0"/>
        <w:keepLines w:val="0"/>
        <w:pageBreakBefore w:val="0"/>
        <w:wordWrap/>
        <w:topLinePunct w:val="0"/>
        <w:bidi w:val="0"/>
        <w:spacing w:line="560" w:lineRule="exact"/>
        <w:ind w:left="0" w:leftChars="0" w:firstLine="420" w:firstLineChars="200"/>
        <w:jc w:val="both"/>
        <w:rPr>
          <w:rFonts w:hint="default" w:ascii="Times New Roman" w:hAnsi="Times New Roman" w:cs="Times New Roman"/>
          <w:color w:val="auto"/>
          <w:sz w:val="24"/>
          <w:lang w:val="en-US" w:eastAsia="zh-CN"/>
        </w:rPr>
      </w:pPr>
      <w:r>
        <w:rPr>
          <w:rFonts w:hint="default" w:ascii="Times New Roman" w:hAnsi="Times New Roman" w:eastAsia="华文仿宋" w:cs="Times New Roman"/>
          <w:bCs/>
          <w:color w:val="auto"/>
          <w:szCs w:val="21"/>
        </w:rPr>
        <w:t>注：如系委托代理人前来办理，需要提交法定代表人授权委托书。</w:t>
      </w:r>
    </w:p>
    <w:sectPr>
      <w:headerReference r:id="rId9" w:type="default"/>
      <w:pgSz w:w="11906" w:h="16838"/>
      <w:pgMar w:top="2098" w:right="1502" w:bottom="2098" w:left="1502"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7584">
    <w:pPr>
      <w:pStyle w:val="4"/>
      <w:framePr w:wrap="around" w:vAnchor="text" w:hAnchor="margin" w:xAlign="outside" w:y="1"/>
      <w:rPr>
        <w:rStyle w:val="9"/>
        <w:rFonts w:ascii="宋体" w:hAnsi="宋体"/>
      </w:rPr>
    </w:pPr>
    <w:r>
      <w:rPr>
        <w:rFonts w:ascii="宋体" w:hAnsi="宋体"/>
      </w:rPr>
      <w:fldChar w:fldCharType="begin"/>
    </w:r>
    <w:r>
      <w:rPr>
        <w:rStyle w:val="9"/>
        <w:rFonts w:ascii="宋体" w:hAnsi="宋体"/>
      </w:rPr>
      <w:instrText xml:space="preserve">PAGE  </w:instrText>
    </w:r>
    <w:r>
      <w:rPr>
        <w:rFonts w:ascii="宋体" w:hAnsi="宋体"/>
      </w:rPr>
      <w:fldChar w:fldCharType="separate"/>
    </w:r>
    <w:r>
      <w:rPr>
        <w:rStyle w:val="9"/>
        <w:rFonts w:ascii="宋体" w:hAnsi="宋体"/>
      </w:rPr>
      <w:t>- 4 -</w:t>
    </w:r>
    <w:r>
      <w:rPr>
        <w:rFonts w:ascii="宋体" w:hAnsi="宋体"/>
      </w:rPr>
      <w:fldChar w:fldCharType="end"/>
    </w:r>
  </w:p>
  <w:p w14:paraId="576A9ADF">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9E298">
    <w:pPr>
      <w:pStyle w:val="4"/>
      <w:framePr w:wrap="around" w:vAnchor="text" w:hAnchor="page" w:x="1769" w:y="51"/>
      <w:jc w:val="right"/>
      <w:rPr>
        <w:rStyle w:val="9"/>
        <w:rFonts w:ascii="宋体" w:hAnsi="宋体"/>
      </w:rPr>
    </w:pPr>
    <w:r>
      <w:rPr>
        <w:rFonts w:ascii="宋体" w:hAnsi="宋体"/>
      </w:rPr>
      <w:fldChar w:fldCharType="begin"/>
    </w:r>
    <w:r>
      <w:rPr>
        <w:rStyle w:val="9"/>
        <w:rFonts w:ascii="宋体" w:hAnsi="宋体"/>
      </w:rPr>
      <w:instrText xml:space="preserve">PAGE  </w:instrText>
    </w:r>
    <w:r>
      <w:rPr>
        <w:rFonts w:ascii="宋体" w:hAnsi="宋体"/>
      </w:rPr>
      <w:fldChar w:fldCharType="separate"/>
    </w:r>
    <w:r>
      <w:rPr>
        <w:rStyle w:val="9"/>
        <w:rFonts w:ascii="宋体" w:hAnsi="宋体"/>
      </w:rPr>
      <w:t>- 10 -</w:t>
    </w:r>
    <w:r>
      <w:rPr>
        <w:rFonts w:ascii="宋体" w:hAnsi="宋体"/>
      </w:rPr>
      <w:fldChar w:fldCharType="end"/>
    </w:r>
  </w:p>
  <w:p w14:paraId="3022B66C">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ED93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6D3B">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4C00C">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D859">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5C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A7B"/>
    <w:rsid w:val="00001A5F"/>
    <w:rsid w:val="00024863"/>
    <w:rsid w:val="00073C57"/>
    <w:rsid w:val="00113461"/>
    <w:rsid w:val="0012486E"/>
    <w:rsid w:val="00172FC5"/>
    <w:rsid w:val="0019304D"/>
    <w:rsid w:val="00194521"/>
    <w:rsid w:val="001B2E62"/>
    <w:rsid w:val="001C3BA1"/>
    <w:rsid w:val="00213F16"/>
    <w:rsid w:val="002153D0"/>
    <w:rsid w:val="00225BFA"/>
    <w:rsid w:val="0027456B"/>
    <w:rsid w:val="00285CF8"/>
    <w:rsid w:val="0029156E"/>
    <w:rsid w:val="002D15D8"/>
    <w:rsid w:val="002F5077"/>
    <w:rsid w:val="00360FB7"/>
    <w:rsid w:val="00371BAC"/>
    <w:rsid w:val="003B000A"/>
    <w:rsid w:val="00420FF6"/>
    <w:rsid w:val="004B1A6A"/>
    <w:rsid w:val="004E65CB"/>
    <w:rsid w:val="00513B71"/>
    <w:rsid w:val="00532BE2"/>
    <w:rsid w:val="005428C3"/>
    <w:rsid w:val="00572B77"/>
    <w:rsid w:val="00644B88"/>
    <w:rsid w:val="00683A7B"/>
    <w:rsid w:val="006C0A89"/>
    <w:rsid w:val="006C7C1F"/>
    <w:rsid w:val="00733428"/>
    <w:rsid w:val="00733FD6"/>
    <w:rsid w:val="00750BF0"/>
    <w:rsid w:val="007B3D56"/>
    <w:rsid w:val="0085246B"/>
    <w:rsid w:val="00856BEB"/>
    <w:rsid w:val="0087219E"/>
    <w:rsid w:val="00880B42"/>
    <w:rsid w:val="00894D64"/>
    <w:rsid w:val="0091650F"/>
    <w:rsid w:val="0093114D"/>
    <w:rsid w:val="00957AF0"/>
    <w:rsid w:val="00986AE0"/>
    <w:rsid w:val="00990C95"/>
    <w:rsid w:val="009A4779"/>
    <w:rsid w:val="009A5D65"/>
    <w:rsid w:val="009D14DA"/>
    <w:rsid w:val="00A25FC5"/>
    <w:rsid w:val="00A77574"/>
    <w:rsid w:val="00AA0E4C"/>
    <w:rsid w:val="00B3241F"/>
    <w:rsid w:val="00B3684F"/>
    <w:rsid w:val="00B45BD4"/>
    <w:rsid w:val="00BF47DA"/>
    <w:rsid w:val="00C019F1"/>
    <w:rsid w:val="00C05832"/>
    <w:rsid w:val="00C3205B"/>
    <w:rsid w:val="00C50C3F"/>
    <w:rsid w:val="00C922A4"/>
    <w:rsid w:val="00CB23C1"/>
    <w:rsid w:val="00CE0C51"/>
    <w:rsid w:val="00CE1ADD"/>
    <w:rsid w:val="00D2307B"/>
    <w:rsid w:val="00D33EBC"/>
    <w:rsid w:val="00D628B6"/>
    <w:rsid w:val="00DA0761"/>
    <w:rsid w:val="00DA6B60"/>
    <w:rsid w:val="00E67637"/>
    <w:rsid w:val="00E85A3D"/>
    <w:rsid w:val="00E966A1"/>
    <w:rsid w:val="00EA696C"/>
    <w:rsid w:val="00EC4B44"/>
    <w:rsid w:val="00F03B4B"/>
    <w:rsid w:val="00F86709"/>
    <w:rsid w:val="00FD4789"/>
    <w:rsid w:val="075563C6"/>
    <w:rsid w:val="088B7875"/>
    <w:rsid w:val="08DB162D"/>
    <w:rsid w:val="09160774"/>
    <w:rsid w:val="0B7D22D1"/>
    <w:rsid w:val="0C8A7296"/>
    <w:rsid w:val="10CC2547"/>
    <w:rsid w:val="120066AC"/>
    <w:rsid w:val="140042C0"/>
    <w:rsid w:val="1409083F"/>
    <w:rsid w:val="1A6616F7"/>
    <w:rsid w:val="1AAB50F3"/>
    <w:rsid w:val="1BB37AD1"/>
    <w:rsid w:val="21E44505"/>
    <w:rsid w:val="22337D9C"/>
    <w:rsid w:val="23F72AF5"/>
    <w:rsid w:val="262D66DD"/>
    <w:rsid w:val="283A1F78"/>
    <w:rsid w:val="28F51312"/>
    <w:rsid w:val="29B1368A"/>
    <w:rsid w:val="2A56288D"/>
    <w:rsid w:val="2A946637"/>
    <w:rsid w:val="2BB547C9"/>
    <w:rsid w:val="2CFC27F2"/>
    <w:rsid w:val="2E2C0682"/>
    <w:rsid w:val="2F430CFA"/>
    <w:rsid w:val="2FC569E6"/>
    <w:rsid w:val="302401DD"/>
    <w:rsid w:val="316D6011"/>
    <w:rsid w:val="32D9300C"/>
    <w:rsid w:val="33A45AC9"/>
    <w:rsid w:val="34A910DA"/>
    <w:rsid w:val="399F2B04"/>
    <w:rsid w:val="3D7238D6"/>
    <w:rsid w:val="3D733A0C"/>
    <w:rsid w:val="3F231997"/>
    <w:rsid w:val="4358715A"/>
    <w:rsid w:val="442B5B26"/>
    <w:rsid w:val="46F40E89"/>
    <w:rsid w:val="48E9670F"/>
    <w:rsid w:val="4913379E"/>
    <w:rsid w:val="49D829FC"/>
    <w:rsid w:val="4C6836CF"/>
    <w:rsid w:val="4D8C65F8"/>
    <w:rsid w:val="4DF86B08"/>
    <w:rsid w:val="500A4BFC"/>
    <w:rsid w:val="53B96107"/>
    <w:rsid w:val="5B2230D1"/>
    <w:rsid w:val="5CC03453"/>
    <w:rsid w:val="5D7D641F"/>
    <w:rsid w:val="5E7F1E13"/>
    <w:rsid w:val="619B7D23"/>
    <w:rsid w:val="635E4E10"/>
    <w:rsid w:val="63BA77C8"/>
    <w:rsid w:val="645B000C"/>
    <w:rsid w:val="66BC535F"/>
    <w:rsid w:val="691331CB"/>
    <w:rsid w:val="6A594457"/>
    <w:rsid w:val="6F5347C7"/>
    <w:rsid w:val="700B4ABA"/>
    <w:rsid w:val="71AC4B7A"/>
    <w:rsid w:val="72597300"/>
    <w:rsid w:val="73CB63D9"/>
    <w:rsid w:val="74845699"/>
    <w:rsid w:val="75275294"/>
    <w:rsid w:val="755D53C2"/>
    <w:rsid w:val="76D32258"/>
    <w:rsid w:val="7D1111E3"/>
    <w:rsid w:val="7E1E2522"/>
    <w:rsid w:val="7EC32A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styleId="10">
    <w:name w:val="Hyperlink"/>
    <w:qFormat/>
    <w:uiPriority w:val="0"/>
    <w:rPr>
      <w:color w:val="0000FF"/>
      <w:u w:val="single"/>
    </w:rPr>
  </w:style>
  <w:style w:type="character" w:customStyle="1" w:styleId="11">
    <w:name w:val="页眉 Char"/>
    <w:basedOn w:val="8"/>
    <w:link w:val="5"/>
    <w:qFormat/>
    <w:uiPriority w:val="0"/>
    <w:rPr>
      <w:kern w:val="2"/>
      <w:sz w:val="18"/>
      <w:szCs w:val="18"/>
    </w:rPr>
  </w:style>
  <w:style w:type="paragraph" w:customStyle="1" w:styleId="12">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Calibri" w:hAnsi="Calibri"/>
      <w:szCs w:val="22"/>
    </w:rPr>
  </w:style>
  <w:style w:type="paragraph" w:customStyle="1" w:styleId="13">
    <w:name w:val="标题1"/>
    <w:basedOn w:val="3"/>
    <w:qFormat/>
    <w:uiPriority w:val="0"/>
    <w:pPr>
      <w:spacing w:before="0" w:after="312" w:afterLines="100" w:line="480" w:lineRule="exact"/>
      <w:jc w:val="center"/>
    </w:pPr>
    <w:rPr>
      <w:rFonts w:eastAsia="方正小标宋简体"/>
      <w:b w:val="0"/>
      <w:sz w:val="48"/>
      <w:szCs w:val="44"/>
    </w:rPr>
  </w:style>
  <w:style w:type="paragraph" w:customStyle="1" w:styleId="14">
    <w:name w:val="Char Char Char Char"/>
    <w:basedOn w:val="1"/>
    <w:semiHidden/>
    <w:qFormat/>
    <w:uiPriority w:val="0"/>
  </w:style>
  <w:style w:type="paragraph" w:customStyle="1" w:styleId="15">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16">
    <w:name w:val="Table Paragraph"/>
    <w:basedOn w:val="1"/>
    <w:qFormat/>
    <w:uiPriority w:val="0"/>
    <w:pPr>
      <w:autoSpaceDE w:val="0"/>
      <w:autoSpaceDN w:val="0"/>
      <w:adjustRightInd w:val="0"/>
      <w:jc w:val="left"/>
    </w:pPr>
    <w:rPr>
      <w:kern w:val="0"/>
      <w:sz w:val="24"/>
    </w:rPr>
  </w:style>
  <w:style w:type="paragraph" w:customStyle="1" w:styleId="17">
    <w:name w:val="默认段落字体 Para Char Char Char Char Char Char Char"/>
    <w:basedOn w:val="1"/>
    <w:semiHidden/>
    <w:qFormat/>
    <w:uiPriority w:val="0"/>
    <w:rPr>
      <w:szCs w:val="3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716</Words>
  <Characters>4087</Characters>
  <Lines>34</Lines>
  <Paragraphs>9</Paragraphs>
  <TotalTime>3</TotalTime>
  <ScaleCrop>false</ScaleCrop>
  <LinksUpToDate>false</LinksUpToDate>
  <CharactersWithSpaces>4794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2018-08-08T02:23:00Z</dcterms:created>
  <dc:creator>2212-01</dc:creator>
  <cp:lastModifiedBy>区政务服务管理局）【收文员】（行政审批局、公共资源交易管理局）</cp:lastModifiedBy>
  <cp:lastPrinted>2026-10-22T07:10:00Z</cp:lastPrinted>
  <dcterms:modified xsi:type="dcterms:W3CDTF">2026-10-23T01:52:57Z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E014B1E1C9F640748003786151E7F62A</vt:lpwstr>
  </property>
</Properties>
</file>