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1B17AA">
      <w:pPr>
        <w:keepNext w:val="0"/>
        <w:keepLines w:val="0"/>
        <w:pageBreakBefore w:val="0"/>
        <w:widowControl w:val="0"/>
        <w:wordWrap/>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Text Box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25A6BC8C">
                            <w:pPr>
                              <w:rPr>
                                <w:rFonts w:hint="eastAsia"/>
                                <w:spacing w:val="-7"/>
                                <w:sz w:val="36"/>
                                <w:szCs w:val="36"/>
                              </w:rPr>
                            </w:pPr>
                            <w:r>
                              <w:rPr>
                                <w:spacing w:val="-7"/>
                                <w:sz w:val="36"/>
                                <w:szCs w:val="36"/>
                              </w:rPr>
                              <w:t>BSZN-1100004000</w:t>
                            </w:r>
                          </w:p>
                        </w:txbxContent>
                      </wps:txbx>
                      <wps:bodyPr wrap="square" upright="1"/>
                    </wps:wsp>
                  </a:graphicData>
                </a:graphic>
              </wp:anchor>
            </w:drawing>
          </mc:Choice>
          <mc:Fallback>
            <w:pict>
              <v:shape id="Text Box 3"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J2pDNrYAAAACgEAAA8AAAAAAAAAAQAgAAAAIgAAAGRycy9kb3ducmV2LnhtbFBL&#10;AQIUABQAAAAIAIdO4kBomHERvQEAAIQDAAAOAAAAAAAAAAEAIAAAACcBAABkcnMvZTJvRG9jLnht&#10;bFBLBQYAAAAABgAGAFkBAABWBQAAAAA=&#10;">
                <v:fill on="t" focussize="0,0"/>
                <v:stroke on="f"/>
                <v:imagedata o:title=""/>
                <o:lock v:ext="edit" aspectratio="f"/>
                <v:textbox>
                  <w:txbxContent>
                    <w:p w14:paraId="25A6BC8C">
                      <w:pPr>
                        <w:rPr>
                          <w:rFonts w:hint="eastAsia"/>
                          <w:spacing w:val="-7"/>
                          <w:sz w:val="36"/>
                          <w:szCs w:val="36"/>
                        </w:rPr>
                      </w:pPr>
                      <w:r>
                        <w:rPr>
                          <w:spacing w:val="-7"/>
                          <w:sz w:val="36"/>
                          <w:szCs w:val="36"/>
                        </w:rPr>
                        <w:t>BSZN-1100004000</w:t>
                      </w:r>
                    </w:p>
                  </w:txbxContent>
                </v:textbox>
              </v:shape>
            </w:pict>
          </mc:Fallback>
        </mc:AlternateContent>
      </w:r>
      <w:r>
        <w:rPr>
          <w:color w:val="auto"/>
          <w:sz w:val="44"/>
          <w:szCs w:val="44"/>
        </w:rPr>
        <w:pict>
          <v:shape id="AutoShape 558" o:spid="_x0000_s1027"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72BA56EE">
      <w:pPr>
        <w:keepNext w:val="0"/>
        <w:keepLines w:val="0"/>
        <w:pageBreakBefore w:val="0"/>
        <w:widowControl w:val="0"/>
        <w:wordWrap/>
        <w:topLinePunct w:val="0"/>
        <w:bidi w:val="0"/>
        <w:spacing w:line="480" w:lineRule="exact"/>
        <w:textAlignment w:val="auto"/>
        <w:rPr>
          <w:color w:val="auto"/>
          <w:sz w:val="44"/>
          <w:szCs w:val="44"/>
        </w:rPr>
      </w:pPr>
    </w:p>
    <w:p w14:paraId="3A8604CC">
      <w:pPr>
        <w:keepNext w:val="0"/>
        <w:keepLines w:val="0"/>
        <w:pageBreakBefore w:val="0"/>
        <w:widowControl w:val="0"/>
        <w:wordWrap/>
        <w:topLinePunct w:val="0"/>
        <w:bidi w:val="0"/>
        <w:spacing w:line="480" w:lineRule="exact"/>
        <w:textAlignment w:val="auto"/>
        <w:rPr>
          <w:color w:val="auto"/>
          <w:sz w:val="44"/>
          <w:szCs w:val="44"/>
        </w:rPr>
      </w:pPr>
    </w:p>
    <w:p w14:paraId="3AFBCD68">
      <w:pPr>
        <w:keepNext w:val="0"/>
        <w:keepLines w:val="0"/>
        <w:pageBreakBefore w:val="0"/>
        <w:widowControl w:val="0"/>
        <w:wordWrap/>
        <w:topLinePunct w:val="0"/>
        <w:bidi w:val="0"/>
        <w:spacing w:line="480" w:lineRule="exact"/>
        <w:textAlignment w:val="auto"/>
        <w:rPr>
          <w:color w:val="auto"/>
          <w:sz w:val="44"/>
          <w:szCs w:val="44"/>
        </w:rPr>
      </w:pPr>
    </w:p>
    <w:p w14:paraId="11090345">
      <w:pPr>
        <w:keepNext w:val="0"/>
        <w:keepLines w:val="0"/>
        <w:pageBreakBefore w:val="0"/>
        <w:widowControl w:val="0"/>
        <w:wordWrap/>
        <w:topLinePunct w:val="0"/>
        <w:bidi w:val="0"/>
        <w:spacing w:line="480" w:lineRule="exact"/>
        <w:textAlignment w:val="auto"/>
        <w:rPr>
          <w:color w:val="auto"/>
          <w:sz w:val="44"/>
          <w:szCs w:val="44"/>
        </w:rPr>
      </w:pPr>
    </w:p>
    <w:p w14:paraId="79274172">
      <w:pPr>
        <w:keepNext w:val="0"/>
        <w:keepLines w:val="0"/>
        <w:pageBreakBefore w:val="0"/>
        <w:widowControl w:val="0"/>
        <w:wordWrap/>
        <w:topLinePunct w:val="0"/>
        <w:bidi w:val="0"/>
        <w:spacing w:line="480" w:lineRule="exact"/>
        <w:textAlignment w:val="auto"/>
        <w:rPr>
          <w:color w:val="auto"/>
          <w:sz w:val="44"/>
          <w:szCs w:val="44"/>
        </w:rPr>
      </w:pPr>
    </w:p>
    <w:p w14:paraId="123730DE">
      <w:pPr>
        <w:keepNext w:val="0"/>
        <w:keepLines w:val="0"/>
        <w:pageBreakBefore w:val="0"/>
        <w:widowControl w:val="0"/>
        <w:wordWrap/>
        <w:topLinePunct w:val="0"/>
        <w:bidi w:val="0"/>
        <w:spacing w:line="480" w:lineRule="exact"/>
        <w:textAlignment w:val="auto"/>
        <w:rPr>
          <w:color w:val="auto"/>
          <w:sz w:val="44"/>
          <w:szCs w:val="44"/>
        </w:rPr>
      </w:pPr>
    </w:p>
    <w:p w14:paraId="4F83D41F">
      <w:pPr>
        <w:keepNext w:val="0"/>
        <w:keepLines w:val="0"/>
        <w:pageBreakBefore w:val="0"/>
        <w:widowControl w:val="0"/>
        <w:wordWrap/>
        <w:topLinePunct w:val="0"/>
        <w:bidi w:val="0"/>
        <w:spacing w:line="480" w:lineRule="exact"/>
        <w:textAlignment w:val="auto"/>
        <w:rPr>
          <w:color w:val="auto"/>
          <w:sz w:val="44"/>
          <w:szCs w:val="44"/>
        </w:rPr>
      </w:pPr>
    </w:p>
    <w:p w14:paraId="7A3D4ECB">
      <w:pPr>
        <w:keepNext w:val="0"/>
        <w:keepLines w:val="0"/>
        <w:pageBreakBefore w:val="0"/>
        <w:widowControl w:val="0"/>
        <w:wordWrap/>
        <w:topLinePunct w:val="0"/>
        <w:bidi w:val="0"/>
        <w:spacing w:line="480" w:lineRule="exact"/>
        <w:textAlignment w:val="auto"/>
        <w:rPr>
          <w:color w:val="auto"/>
          <w:sz w:val="44"/>
          <w:szCs w:val="44"/>
        </w:rPr>
      </w:pPr>
    </w:p>
    <w:p w14:paraId="4E0038D7">
      <w:pPr>
        <w:keepNext w:val="0"/>
        <w:keepLines w:val="0"/>
        <w:pageBreakBefore w:val="0"/>
        <w:widowControl w:val="0"/>
        <w:wordWrap/>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59264" behindDoc="1" locked="0" layoutInCell="1" allowOverlap="1">
                <wp:simplePos x="0" y="0"/>
                <wp:positionH relativeFrom="margin">
                  <wp:posOffset>208915</wp:posOffset>
                </wp:positionH>
                <wp:positionV relativeFrom="margin">
                  <wp:posOffset>2969260</wp:posOffset>
                </wp:positionV>
                <wp:extent cx="5236210" cy="1169670"/>
                <wp:effectExtent l="4445" t="4445" r="17145" b="6985"/>
                <wp:wrapNone/>
                <wp:docPr id="1" name="Text Box 560"/>
                <wp:cNvGraphicFramePr/>
                <a:graphic xmlns:a="http://schemas.openxmlformats.org/drawingml/2006/main">
                  <a:graphicData uri="http://schemas.microsoft.com/office/word/2010/wordprocessingShape">
                    <wps:wsp>
                      <wps:cNvSpPr txBox="1"/>
                      <wps:spPr>
                        <a:xfrm>
                          <a:off x="0" y="0"/>
                          <a:ext cx="5236210" cy="116967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3DA3446">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pacing w:val="-6"/>
                                <w:sz w:val="52"/>
                                <w:szCs w:val="52"/>
                              </w:rPr>
                              <w:t>固定资产投资项目节能审查</w:t>
                            </w:r>
                          </w:p>
                          <w:p w14:paraId="5AFC88CA">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z w:val="52"/>
                                <w:szCs w:val="52"/>
                              </w:rPr>
                              <w:t>办事指南</w:t>
                            </w:r>
                          </w:p>
                          <w:p w14:paraId="23E90C02"/>
                        </w:txbxContent>
                      </wps:txbx>
                      <wps:bodyPr wrap="square" upright="1"/>
                    </wps:wsp>
                  </a:graphicData>
                </a:graphic>
              </wp:anchor>
            </w:drawing>
          </mc:Choice>
          <mc:Fallback>
            <w:pict>
              <v:shape id="Text Box 560" o:spid="_x0000_s1026" o:spt="202" type="#_x0000_t202" style="position:absolute;left:0pt;margin-left:16.45pt;margin-top:233.8pt;height:92.1pt;width:412.3pt;mso-position-horizontal-relative:margin;mso-position-vertical-relative:margin;z-index:-251657216;mso-width-relative:page;mso-height-relative:page;" fillcolor="#FFFFFF" filled="t" stroked="t" coordsize="21600,21600" o:gfxdata="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9OYAj2QAAAAoBAAAPAAAAAAAAAAEAIAAAACIAAABkcnMv&#10;ZG93bnJldi54bWxQSwECFAAUAAAACACHTuJARzIu9wICAABGBAAADgAAAAAAAAABACAAAAAoAQAA&#10;ZHJzL2Uyb0RvYy54bWxQSwUGAAAAAAYABgBZAQAAnAUAAAAA&#10;">
                <v:fill on="t" focussize="0,0"/>
                <v:stroke color="#FFFFFF" joinstyle="miter"/>
                <v:imagedata o:title=""/>
                <o:lock v:ext="edit" aspectratio="f"/>
                <v:textbox>
                  <w:txbxContent>
                    <w:p w14:paraId="43DA3446">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pacing w:val="-6"/>
                          <w:sz w:val="52"/>
                          <w:szCs w:val="52"/>
                        </w:rPr>
                        <w:t>固定资产投资项目节能审查</w:t>
                      </w:r>
                    </w:p>
                    <w:p w14:paraId="5AFC88CA">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z w:val="52"/>
                          <w:szCs w:val="52"/>
                        </w:rPr>
                        <w:t>办事指南</w:t>
                      </w:r>
                    </w:p>
                    <w:p w14:paraId="23E90C02"/>
                  </w:txbxContent>
                </v:textbox>
              </v:shape>
            </w:pict>
          </mc:Fallback>
        </mc:AlternateContent>
      </w:r>
    </w:p>
    <w:p w14:paraId="432AC04D">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81F15EC">
      <w:pPr>
        <w:keepNext w:val="0"/>
        <w:keepLines w:val="0"/>
        <w:pageBreakBefore w:val="0"/>
        <w:widowControl w:val="0"/>
        <w:tabs>
          <w:tab w:val="left" w:pos="6210"/>
        </w:tabs>
        <w:wordWrap/>
        <w:topLinePunct w:val="0"/>
        <w:bidi w:val="0"/>
        <w:spacing w:line="480" w:lineRule="exact"/>
        <w:jc w:val="left"/>
        <w:textAlignment w:val="auto"/>
        <w:rPr>
          <w:rFonts w:hint="eastAsia" w:ascii="黑体" w:hAnsi="黑体" w:eastAsia="黑体"/>
          <w:color w:val="auto"/>
          <w:sz w:val="32"/>
          <w:szCs w:val="32"/>
        </w:rPr>
      </w:pPr>
      <w:r>
        <w:rPr>
          <w:rFonts w:ascii="黑体" w:hAnsi="黑体" w:eastAsia="黑体"/>
          <w:color w:val="auto"/>
          <w:sz w:val="32"/>
          <w:szCs w:val="32"/>
        </w:rPr>
        <w:tab/>
      </w:r>
    </w:p>
    <w:p w14:paraId="4F8F7C06">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D745A01">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0887A4E5">
      <w:pPr>
        <w:keepNext w:val="0"/>
        <w:keepLines w:val="0"/>
        <w:pageBreakBefore w:val="0"/>
        <w:widowControl w:val="0"/>
        <w:wordWrap/>
        <w:topLinePunct w:val="0"/>
        <w:bidi w:val="0"/>
        <w:spacing w:line="480" w:lineRule="exact"/>
        <w:jc w:val="both"/>
        <w:textAlignment w:val="auto"/>
        <w:rPr>
          <w:rFonts w:hint="eastAsia" w:ascii="黑体" w:hAnsi="黑体" w:eastAsia="黑体"/>
          <w:color w:val="auto"/>
          <w:sz w:val="32"/>
          <w:szCs w:val="32"/>
        </w:rPr>
      </w:pPr>
    </w:p>
    <w:p w14:paraId="3ED7519C">
      <w:pPr>
        <w:keepNext w:val="0"/>
        <w:keepLines w:val="0"/>
        <w:pageBreakBefore w:val="0"/>
        <w:widowControl w:val="0"/>
        <w:wordWrap/>
        <w:topLinePunct w:val="0"/>
        <w:bidi w:val="0"/>
        <w:spacing w:line="480" w:lineRule="exact"/>
        <w:jc w:val="both"/>
        <w:textAlignment w:val="auto"/>
        <w:rPr>
          <w:rFonts w:hint="eastAsia" w:ascii="黑体" w:hAnsi="黑体" w:eastAsia="黑体"/>
          <w:color w:val="auto"/>
          <w:sz w:val="32"/>
          <w:szCs w:val="32"/>
        </w:rPr>
      </w:pPr>
    </w:p>
    <w:p w14:paraId="670E5C93">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A044874">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7AFA80FD">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409967E2">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34E64041">
      <w:pPr>
        <w:keepNext w:val="0"/>
        <w:keepLines w:val="0"/>
        <w:pageBreakBefore w:val="0"/>
        <w:widowControl w:val="0"/>
        <w:wordWrap/>
        <w:topLinePunct w:val="0"/>
        <w:bidi w:val="0"/>
        <w:spacing w:line="480" w:lineRule="exact"/>
        <w:textAlignment w:val="auto"/>
        <w:rPr>
          <w:rFonts w:hint="eastAsia" w:ascii="黑体" w:hAnsi="黑体" w:eastAsia="黑体"/>
          <w:color w:val="auto"/>
          <w:szCs w:val="21"/>
        </w:rPr>
      </w:pPr>
    </w:p>
    <w:p w14:paraId="4EAC30E2">
      <w:pPr>
        <w:keepNext w:val="0"/>
        <w:keepLines w:val="0"/>
        <w:pageBreakBefore w:val="0"/>
        <w:widowControl w:val="0"/>
        <w:wordWrap/>
        <w:topLinePunct w:val="0"/>
        <w:bidi w:val="0"/>
        <w:adjustRightInd w:val="0"/>
        <w:snapToGrid w:val="0"/>
        <w:spacing w:before="100" w:beforeAutospacing="1" w:after="100" w:afterAutospacing="1" w:line="480" w:lineRule="exact"/>
        <w:jc w:val="center"/>
        <w:textAlignment w:val="auto"/>
        <w:rPr>
          <w:rFonts w:hint="eastAsia" w:ascii="黑体" w:hAnsi="黑体" w:eastAsia="黑体"/>
          <w:color w:val="auto"/>
          <w:sz w:val="32"/>
          <w:szCs w:val="32"/>
        </w:rPr>
      </w:pPr>
      <w:r>
        <w:rPr>
          <w:rFonts w:hint="eastAsia" w:ascii="黑体" w:hAnsi="黑体" w:eastAsia="黑体"/>
          <w:color w:val="auto"/>
          <w:sz w:val="32"/>
          <w:szCs w:val="32"/>
        </w:rPr>
        <w:t>昆明市官渡区</w:t>
      </w:r>
      <w:r>
        <w:rPr>
          <w:rFonts w:hint="eastAsia" w:ascii="黑体" w:hAnsi="黑体" w:eastAsia="黑体"/>
          <w:color w:val="auto"/>
          <w:sz w:val="32"/>
          <w:szCs w:val="32"/>
          <w:lang w:val="en-US" w:eastAsia="zh-CN"/>
        </w:rPr>
        <w:t>政务服务管理</w:t>
      </w:r>
      <w:r>
        <w:rPr>
          <w:rFonts w:hint="eastAsia" w:ascii="黑体" w:hAnsi="黑体" w:eastAsia="黑体"/>
          <w:color w:val="auto"/>
          <w:sz w:val="32"/>
          <w:szCs w:val="32"/>
        </w:rPr>
        <w:t>局</w:t>
      </w:r>
    </w:p>
    <w:p w14:paraId="01ECCF62">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r>
        <w:rPr>
          <w:rFonts w:hint="eastAsia" w:ascii="黑体" w:hAnsi="黑体" w:eastAsia="黑体"/>
          <w:color w:val="auto"/>
          <w:sz w:val="32"/>
          <w:szCs w:val="32"/>
        </w:rPr>
        <w:t>20</w:t>
      </w:r>
      <w:r>
        <w:rPr>
          <w:rFonts w:hint="eastAsia" w:ascii="黑体" w:hAnsi="黑体" w:eastAsia="黑体"/>
          <w:color w:val="auto"/>
          <w:sz w:val="32"/>
          <w:szCs w:val="32"/>
          <w:lang w:val="en-US" w:eastAsia="zh-CN"/>
        </w:rPr>
        <w:t>26</w:t>
      </w:r>
      <w:r>
        <w:rPr>
          <w:rFonts w:hint="eastAsia" w:ascii="黑体" w:hAnsi="黑体" w:eastAsia="黑体"/>
          <w:color w:val="auto"/>
          <w:sz w:val="32"/>
          <w:szCs w:val="32"/>
        </w:rPr>
        <w:t>年</w:t>
      </w:r>
      <w:r>
        <w:rPr>
          <w:rFonts w:hint="eastAsia" w:ascii="黑体" w:hAnsi="黑体" w:eastAsia="黑体"/>
          <w:color w:val="auto"/>
          <w:sz w:val="32"/>
          <w:szCs w:val="32"/>
          <w:lang w:val="en-US" w:eastAsia="zh-CN"/>
        </w:rPr>
        <w:t>10</w:t>
      </w:r>
      <w:r>
        <w:rPr>
          <w:rFonts w:hint="eastAsia" w:ascii="黑体" w:hAnsi="黑体" w:eastAsia="黑体"/>
          <w:color w:val="auto"/>
          <w:sz w:val="32"/>
          <w:szCs w:val="32"/>
        </w:rPr>
        <w:t>月</w:t>
      </w:r>
      <w:r>
        <w:rPr>
          <w:rFonts w:hint="eastAsia" w:ascii="黑体" w:hAnsi="黑体" w:eastAsia="黑体"/>
          <w:color w:val="auto"/>
          <w:sz w:val="32"/>
          <w:szCs w:val="32"/>
          <w:lang w:val="en-US" w:eastAsia="zh-CN"/>
        </w:rPr>
        <w:t>22</w:t>
      </w:r>
      <w:r>
        <w:rPr>
          <w:rFonts w:hint="eastAsia" w:ascii="黑体" w:hAnsi="黑体" w:eastAsia="黑体"/>
          <w:color w:val="auto"/>
          <w:sz w:val="32"/>
          <w:szCs w:val="32"/>
        </w:rPr>
        <w:t>日发布</w:t>
      </w:r>
    </w:p>
    <w:p w14:paraId="1D2C9B0B">
      <w:pPr>
        <w:pStyle w:val="27"/>
        <w:keepNext w:val="0"/>
        <w:keepLines w:val="0"/>
        <w:pageBreakBefore w:val="0"/>
        <w:widowControl w:val="0"/>
        <w:kinsoku w:val="0"/>
        <w:wordWrap/>
        <w:overflowPunct w:val="0"/>
        <w:topLinePunct w:val="0"/>
        <w:bidi w:val="0"/>
        <w:snapToGrid w:val="0"/>
        <w:spacing w:before="100" w:after="600" w:line="480" w:lineRule="exact"/>
        <w:jc w:val="center"/>
        <w:textAlignment w:val="auto"/>
        <w:outlineLvl w:val="0"/>
        <w:rPr>
          <w:rFonts w:hint="eastAsia" w:hAnsi="黑体"/>
          <w:color w:val="auto"/>
          <w:sz w:val="36"/>
          <w:szCs w:val="36"/>
        </w:rPr>
      </w:pPr>
    </w:p>
    <w:p w14:paraId="534A7434">
      <w:pPr>
        <w:pStyle w:val="27"/>
        <w:keepNext w:val="0"/>
        <w:keepLines w:val="0"/>
        <w:pageBreakBefore w:val="0"/>
        <w:widowControl w:val="0"/>
        <w:kinsoku w:val="0"/>
        <w:wordWrap/>
        <w:overflowPunct w:val="0"/>
        <w:topLinePunct w:val="0"/>
        <w:bidi w:val="0"/>
        <w:snapToGrid w:val="0"/>
        <w:spacing w:before="100" w:after="600" w:line="480" w:lineRule="exact"/>
        <w:jc w:val="center"/>
        <w:textAlignment w:val="auto"/>
        <w:outlineLvl w:val="0"/>
        <w:rPr>
          <w:rFonts w:hint="eastAsia" w:hAnsi="黑体"/>
          <w:color w:val="auto"/>
          <w:sz w:val="36"/>
          <w:szCs w:val="36"/>
        </w:rPr>
        <w:sectPr>
          <w:pgSz w:w="11906" w:h="16838"/>
          <w:pgMar w:top="2098" w:right="1502" w:bottom="2098" w:left="1502" w:header="851" w:footer="851" w:gutter="0"/>
          <w:pgNumType w:fmt="decimal" w:start="1"/>
          <w:cols w:space="720" w:num="1"/>
          <w:docGrid w:type="lines" w:linePitch="312" w:charSpace="0"/>
        </w:sectPr>
      </w:pPr>
    </w:p>
    <w:p w14:paraId="5AB57990">
      <w:pPr>
        <w:pStyle w:val="27"/>
        <w:keepNext w:val="0"/>
        <w:keepLines w:val="0"/>
        <w:pageBreakBefore w:val="0"/>
        <w:widowControl w:val="0"/>
        <w:kinsoku w:val="0"/>
        <w:wordWrap/>
        <w:overflowPunct w:val="0"/>
        <w:topLinePunct w:val="0"/>
        <w:bidi w:val="0"/>
        <w:snapToGrid w:val="0"/>
        <w:spacing w:before="0" w:after="0" w:line="560" w:lineRule="exact"/>
        <w:ind w:firstLine="0" w:firstLineChars="0"/>
        <w:jc w:val="center"/>
        <w:textAlignment w:val="auto"/>
        <w:outlineLvl w:val="0"/>
        <w:rPr>
          <w:rFonts w:hint="eastAsia" w:hAnsi="黑体"/>
          <w:color w:val="auto"/>
          <w:sz w:val="36"/>
          <w:szCs w:val="36"/>
        </w:rPr>
      </w:pPr>
      <w:r>
        <w:rPr>
          <w:rFonts w:hint="eastAsia" w:hAnsi="黑体"/>
          <w:color w:val="auto"/>
          <w:sz w:val="36"/>
          <w:szCs w:val="36"/>
        </w:rPr>
        <w:t>固定资产投资项目节能审查办事指南</w:t>
      </w:r>
    </w:p>
    <w:p w14:paraId="5B2E6D4F">
      <w:pPr>
        <w:pStyle w:val="27"/>
        <w:keepNext w:val="0"/>
        <w:keepLines w:val="0"/>
        <w:pageBreakBefore w:val="0"/>
        <w:widowControl w:val="0"/>
        <w:kinsoku w:val="0"/>
        <w:wordWrap/>
        <w:overflowPunct w:val="0"/>
        <w:topLinePunct w:val="0"/>
        <w:bidi w:val="0"/>
        <w:snapToGrid w:val="0"/>
        <w:spacing w:before="0" w:after="0" w:line="560" w:lineRule="exact"/>
        <w:ind w:firstLine="0" w:firstLineChars="0"/>
        <w:jc w:val="center"/>
        <w:textAlignment w:val="auto"/>
        <w:outlineLvl w:val="0"/>
        <w:rPr>
          <w:rFonts w:hint="eastAsia" w:hAnsi="黑体"/>
          <w:color w:val="auto"/>
          <w:sz w:val="36"/>
          <w:szCs w:val="36"/>
        </w:rPr>
      </w:pPr>
    </w:p>
    <w:p w14:paraId="7D255C3C">
      <w:pPr>
        <w:keepNext w:val="0"/>
        <w:keepLines w:val="0"/>
        <w:pageBreakBefore w:val="0"/>
        <w:widowControl w:val="0"/>
        <w:wordWrap/>
        <w:topLinePunct w:val="0"/>
        <w:bidi w:val="0"/>
        <w:adjustRightInd w:val="0"/>
        <w:snapToGrid w:val="0"/>
        <w:spacing w:line="560" w:lineRule="exact"/>
        <w:ind w:firstLine="640" w:firstLineChars="200"/>
        <w:textAlignment w:val="auto"/>
        <w:outlineLvl w:val="0"/>
        <w:rPr>
          <w:rFonts w:hint="eastAsia" w:ascii="黑体" w:hAnsi="黑体" w:eastAsia="黑体" w:cs="黑体"/>
          <w:color w:val="auto"/>
          <w:sz w:val="32"/>
          <w:szCs w:val="32"/>
        </w:rPr>
      </w:pPr>
      <w:r>
        <w:rPr>
          <w:rFonts w:hint="eastAsia" w:ascii="黑体" w:hAnsi="黑体" w:eastAsia="黑体" w:cs="黑体"/>
          <w:color w:val="auto"/>
          <w:sz w:val="32"/>
          <w:szCs w:val="32"/>
        </w:rPr>
        <w:t>一、受理范围</w:t>
      </w:r>
    </w:p>
    <w:p w14:paraId="6E9A5F59">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申请内容：固定资产投资项目节能审查许可申请。</w:t>
      </w:r>
    </w:p>
    <w:p w14:paraId="0C84D7A0">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权限</w:t>
      </w:r>
      <w:r>
        <w:rPr>
          <w:rFonts w:hint="eastAsia" w:ascii="仿宋_GB2312" w:hAnsi="仿宋_GB2312" w:eastAsia="仿宋_GB2312" w:cs="仿宋_GB2312"/>
          <w:color w:val="auto"/>
          <w:sz w:val="32"/>
          <w:szCs w:val="32"/>
        </w:rPr>
        <w:t>范围：</w:t>
      </w:r>
      <w:r>
        <w:rPr>
          <w:rFonts w:hint="eastAsia" w:ascii="仿宋_GB2312" w:hAnsi="仿宋_GB2312" w:eastAsia="仿宋_GB2312" w:cs="仿宋_GB2312"/>
          <w:color w:val="auto"/>
          <w:sz w:val="32"/>
          <w:szCs w:val="32"/>
          <w:lang w:val="en-US" w:eastAsia="zh-CN"/>
        </w:rPr>
        <w:t>年综合能源消费量1000吨（含）到2000吨标准煤〔或年煤炭消费量1000吨（含）到2000吨〕的固定资产投资项目。</w:t>
      </w:r>
    </w:p>
    <w:p w14:paraId="230F7B85">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受理</w:t>
      </w:r>
      <w:r>
        <w:rPr>
          <w:rFonts w:hint="eastAsia" w:ascii="仿宋_GB2312" w:hAnsi="仿宋_GB2312" w:eastAsia="仿宋_GB2312" w:cs="仿宋_GB2312"/>
          <w:color w:val="auto"/>
          <w:sz w:val="32"/>
          <w:szCs w:val="32"/>
        </w:rPr>
        <w:t>条件：</w:t>
      </w:r>
    </w:p>
    <w:p w14:paraId="11405311">
      <w:pPr>
        <w:keepNext w:val="0"/>
        <w:keepLines w:val="0"/>
        <w:pageBreakBefore w:val="0"/>
        <w:widowControl w:val="0"/>
        <w:numPr>
          <w:ilvl w:val="0"/>
          <w:numId w:val="0"/>
        </w:numPr>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符合国家法律法规和宏观调控政策，年综合能源消费量（建设地点、主要生产工艺和设备未改变的改建和技术改造项目按照建成投产后年综合能源消费增量计算，其他项目按照建成投产后年综合能源消费量计算，电力折算系数按当量值）10000吨标准煤及以上（或年煤炭消费量10000吨及以上）的固定资产投资项目；</w:t>
      </w:r>
    </w:p>
    <w:p w14:paraId="373634F3">
      <w:pPr>
        <w:keepNext w:val="0"/>
        <w:keepLines w:val="0"/>
        <w:pageBreakBefore w:val="0"/>
        <w:widowControl w:val="0"/>
        <w:numPr>
          <w:ilvl w:val="0"/>
          <w:numId w:val="0"/>
        </w:numPr>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2.符合发展规划、产业政策、技术政策和准入标准；</w:t>
      </w:r>
    </w:p>
    <w:p w14:paraId="3546D08C">
      <w:pPr>
        <w:keepNext w:val="0"/>
        <w:keepLines w:val="0"/>
        <w:pageBreakBefore w:val="0"/>
        <w:widowControl w:val="0"/>
        <w:numPr>
          <w:ilvl w:val="0"/>
          <w:numId w:val="0"/>
        </w:numPr>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3.合理开发并有效利用了资源；</w:t>
      </w:r>
    </w:p>
    <w:p w14:paraId="6CD733EA">
      <w:pPr>
        <w:keepNext w:val="0"/>
        <w:keepLines w:val="0"/>
        <w:pageBreakBefore w:val="0"/>
        <w:widowControl w:val="0"/>
        <w:numPr>
          <w:ilvl w:val="0"/>
          <w:numId w:val="0"/>
        </w:numPr>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4.不影响国家安全、经济安全和生态安全；</w:t>
      </w:r>
    </w:p>
    <w:p w14:paraId="7EB5F274">
      <w:pPr>
        <w:keepNext w:val="0"/>
        <w:keepLines w:val="0"/>
        <w:pageBreakBefore w:val="0"/>
        <w:widowControl w:val="0"/>
        <w:numPr>
          <w:ilvl w:val="0"/>
          <w:numId w:val="0"/>
        </w:numPr>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5.对公众利益，特别是项目建设地的公众利益不产生重大不利影响；</w:t>
      </w:r>
    </w:p>
    <w:p w14:paraId="6DC5B504">
      <w:pPr>
        <w:keepNext w:val="0"/>
        <w:keepLines w:val="0"/>
        <w:pageBreakBefore w:val="0"/>
        <w:widowControl w:val="0"/>
        <w:numPr>
          <w:ilvl w:val="0"/>
          <w:numId w:val="0"/>
        </w:numPr>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6.社会稳定风险评估等级为低风险；</w:t>
      </w:r>
    </w:p>
    <w:p w14:paraId="27778880">
      <w:pPr>
        <w:keepNext w:val="0"/>
        <w:keepLines w:val="0"/>
        <w:pageBreakBefore w:val="0"/>
        <w:widowControl w:val="0"/>
        <w:numPr>
          <w:ilvl w:val="0"/>
          <w:numId w:val="0"/>
        </w:numPr>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7.报件（关于项目节能审查请示、项目节能报告、项目情况说明、项目建设单位对材料真实性、合法性和完整性书面承诺</w:t>
      </w:r>
      <w:r>
        <w:rPr>
          <w:rFonts w:hint="eastAsia" w:ascii="仿宋_GB2312" w:hAnsi="仿宋_GB2312" w:eastAsia="仿宋_GB2312" w:cs="仿宋_GB2312"/>
          <w:color w:val="auto"/>
          <w:sz w:val="32"/>
          <w:szCs w:val="32"/>
          <w:lang w:eastAsia="zh-CN"/>
        </w:rPr>
        <w:t>、项目立项文件或项目备案（核准）文件</w:t>
      </w:r>
      <w:r>
        <w:rPr>
          <w:rFonts w:hint="eastAsia" w:ascii="仿宋_GB2312" w:hAnsi="仿宋_GB2312" w:eastAsia="仿宋_GB2312" w:cs="仿宋_GB2312"/>
          <w:color w:val="auto"/>
          <w:sz w:val="32"/>
          <w:szCs w:val="32"/>
        </w:rPr>
        <w:t>）齐全且符合规定。</w:t>
      </w:r>
    </w:p>
    <w:p w14:paraId="3C789C12">
      <w:pPr>
        <w:keepNext w:val="0"/>
        <w:keepLines w:val="0"/>
        <w:pageBreakBefore w:val="0"/>
        <w:widowControl w:val="0"/>
        <w:wordWrap/>
        <w:topLinePunct w:val="0"/>
        <w:bidi w:val="0"/>
        <w:adjustRightInd w:val="0"/>
        <w:snapToGrid w:val="0"/>
        <w:spacing w:line="560" w:lineRule="exact"/>
        <w:ind w:firstLine="640" w:firstLineChars="200"/>
        <w:textAlignment w:val="auto"/>
        <w:outlineLvl w:val="0"/>
        <w:rPr>
          <w:rFonts w:hint="eastAsia" w:ascii="黑体" w:hAnsi="黑体" w:eastAsia="黑体" w:cs="黑体"/>
          <w:color w:val="auto"/>
          <w:sz w:val="32"/>
          <w:szCs w:val="32"/>
        </w:rPr>
      </w:pPr>
      <w:r>
        <w:rPr>
          <w:rFonts w:hint="eastAsia" w:ascii="黑体" w:hAnsi="黑体" w:eastAsia="黑体" w:cs="黑体"/>
          <w:color w:val="auto"/>
          <w:sz w:val="32"/>
          <w:szCs w:val="32"/>
        </w:rPr>
        <w:t>二、</w:t>
      </w:r>
      <w:r>
        <w:rPr>
          <w:rFonts w:hint="eastAsia" w:ascii="黑体" w:hAnsi="黑体" w:eastAsia="黑体" w:cs="黑体"/>
          <w:color w:val="auto"/>
          <w:sz w:val="32"/>
          <w:szCs w:val="32"/>
          <w:lang w:val="en-US" w:eastAsia="zh-CN"/>
        </w:rPr>
        <w:t>设定</w:t>
      </w:r>
      <w:r>
        <w:rPr>
          <w:rFonts w:hint="eastAsia" w:ascii="黑体" w:hAnsi="黑体" w:eastAsia="黑体" w:cs="黑体"/>
          <w:color w:val="auto"/>
          <w:sz w:val="32"/>
          <w:szCs w:val="32"/>
        </w:rPr>
        <w:t>依据</w:t>
      </w:r>
    </w:p>
    <w:p w14:paraId="0270E799">
      <w:pPr>
        <w:keepNext w:val="0"/>
        <w:keepLines w:val="0"/>
        <w:pageBreakBefore w:val="0"/>
        <w:widowControl w:val="0"/>
        <w:wordWrap/>
        <w:topLinePunct w:val="0"/>
        <w:bidi w:val="0"/>
        <w:adjustRightInd w:val="0"/>
        <w:snapToGrid w:val="0"/>
        <w:spacing w:line="560" w:lineRule="exact"/>
        <w:ind w:firstLine="640" w:firstLineChars="200"/>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中华人民共和国节约能源法》第十五条国家实行固定资产投资项目节能评估和审查制度。不符合强制性节能标准的项目，建设单位不得开工建设；已经建成的，不得投入生产、使用。政府投资项目不符合强制性节能标准的，依法负责项目审批的机关不得批准建设。具体办法由国务院管理节能工作的部门会同国务院有关部门制定。</w:t>
      </w:r>
    </w:p>
    <w:p w14:paraId="5360573E">
      <w:pPr>
        <w:keepNext w:val="0"/>
        <w:keepLines w:val="0"/>
        <w:pageBreakBefore w:val="0"/>
        <w:widowControl w:val="0"/>
        <w:wordWrap/>
        <w:topLinePunct w:val="0"/>
        <w:bidi w:val="0"/>
        <w:adjustRightInd w:val="0"/>
        <w:snapToGrid w:val="0"/>
        <w:spacing w:line="560" w:lineRule="exact"/>
        <w:ind w:firstLine="640" w:firstLineChars="200"/>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国务院关于加强节能工作的决定》（国发〔2006〕28号）第二十三条建立固定资产投资项目节能评估和审查制度。有关部门和地方人民政府要对固定资产投资项目（含新建、改建、扩建项目）进行节能评估和审查。</w:t>
      </w:r>
    </w:p>
    <w:p w14:paraId="206AC610">
      <w:pPr>
        <w:keepNext w:val="0"/>
        <w:keepLines w:val="0"/>
        <w:pageBreakBefore w:val="0"/>
        <w:widowControl w:val="0"/>
        <w:wordWrap/>
        <w:topLinePunct w:val="0"/>
        <w:bidi w:val="0"/>
        <w:adjustRightInd w:val="0"/>
        <w:snapToGrid w:val="0"/>
        <w:spacing w:line="560" w:lineRule="exact"/>
        <w:ind w:firstLine="640" w:firstLineChars="200"/>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固定资产投资项目节能审查和碳排放评价办法》（国家发展和改革委令2025年第31号）第三条固定资产投资项目节能审查意见是项目开工建设、竣工验收和运营管理的重要依据。政府投资项目，建设单位在报送项目可行性研究报告前，需取得节能审查机关出具的节能审查意见。企业投资项目，建设单位需在开工建设前取得节能审查机关出具的节能审查意见。未按本办法规定进行节能审查，或节能审查未通过的项目，建设单位不得开工建设，已经建成的不得投入生产、使用。第八条国家发展改革委核报国务院审批（核准）和国家发展改革委审批（核准）的固定资产投资项目，以及年综合能源消费量（建设地点、主要生产工艺和设备未改变的改建和技术改造项目按照建成投产后年综合能源消费增量计算，其他项目按照建成投产后年综合能源消费量计算，电力折算系数按当量值，本条下同）10000吨标准煤及以上（或年煤炭消费量10000吨及以上）的固定资产投资项目，除应由国家发展改革委审查的，其节能审查由省级节能审查机关负责。其他固定资产投资项目，其节能审查权限由省级节能审查机关依据实际情况自行决定，禁止将高耗能高排放项目节能审查权限下放至县级节能审查机关。对节能降碳相关指标进展滞后、专业力量不足、审查质量偏低的省级以下地区，省级节能审查机关应及时调整或暂停其节能审查权限。年综合能源消费量不满1000吨标准煤且年煤炭消费量不满1000吨的固定资产投资项目，涉及国家秘密（保密事项范围及密级应由具备定密权限的机关、单位确定）的固定资产投资项目以及用能工艺简单、节能潜力小的行业（具体行业目录由国家发展改革委制定公布并适时更新）的固定资产投资项目，可不单独编制节能报告。相关项目应按照相关节能标准、规范建设，节能审查机关对项目不再单独进行节能审查，不再出具节能审查意见。单个项目涉及两个及以上省级地区的，其节能审查工作由项目主体工程（或控制性工程）所在地省级节能审查机关牵头商其他地区省级节能审查机关研究确定后实施。打捆项目涉及两个及以上省级地区的，其节能审查工作分别由子项目所在省（区、市）相关节能审查机关实施。第九条国家发展改革委建立固定资产投资项目节能审查权限动态调整机制，结合节能降碳形势、行业发展情况等因素，对重点领域年综合能源消费量（电力折算系数按等价值或当量值，年综合能源消费量取高值）50万吨标准煤及以上（或年煤炭消费量50万吨及以上）项目实施节能审查。有关审查的行业范围、审查条件、工作程序等，由国家发展改革委另行制定。第十条国家发展改革委负责实施节能审查的固定资产投资项目，应同步开展碳排放评价。地方节能审查机关应结合本地实际，对于碳排放量较大且可能对本地区碳达峰形势、碳排放强度降低目标完成等产生不利影响的项目同步开展碳排放评价。对节能降碳指标严重滞后的省级地区，国家发展改革委视情暂停受理其节能审查和碳排放评价申请，暂停时段由国家发展改革委结合实际确定。</w:t>
      </w:r>
    </w:p>
    <w:p w14:paraId="7899B548">
      <w:pPr>
        <w:keepNext w:val="0"/>
        <w:keepLines w:val="0"/>
        <w:pageBreakBefore w:val="0"/>
        <w:widowControl w:val="0"/>
        <w:wordWrap/>
        <w:topLinePunct w:val="0"/>
        <w:bidi w:val="0"/>
        <w:adjustRightInd w:val="0"/>
        <w:snapToGrid w:val="0"/>
        <w:spacing w:line="560" w:lineRule="exact"/>
        <w:ind w:firstLine="640" w:firstLineChars="200"/>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云南省发展和改革委员会关于印发云南省固定资产投资项目节能审查和碳排放评价实施办法的通知》（云发改资环规〔2025〕3号）第九条根据固定资产投资项目建成投产后年综合能源消费量、煤炭消费量，云南省节能审查实行分级、分类管理。（一）国家发展改革委核报国务院审批（核准）和国家发展改革委审批（核准）的固定资产投资项目，以及年综合能源消费量（建设地点、主要生产工艺和设备未改变的改建和技术改造项目按照建成投产后年综合能源消费增量计算，其他项目按照建成投产后年综合能源消费量计算，电力折算系数按当量值，本条下同）10000吨标准煤及以上（或年煤炭消费量10000吨及以上）的固定资产投资项目，除应由国家发展改革委审查的，其节能审查由省发展改革委负责。（二）年综合能源消费量2000吨（含）到10000吨标准煤〔或年煤炭消费量2000吨（含）到10000吨〕的固定资产投资项目，其节能审查由州（市）发展改革部门负责。禁止将高耗能高排放项目节能审查权限下放至县级节能审查机关。（三）年综合能源消费量1000吨（含）到2000吨标准煤〔或年煤炭消费量1000吨（含）到2000吨〕的固定资产投资项目，由县级节能审查机关负责。（四）年综合能源消费量不满1000吨标准煤且年煤炭消费量不满1000吨的固定资产投资项目，涉及国家秘密（保密事项范围及密级应由具备定密权限的机关、单位确定）的固定资产投资项目以及用能工艺简单、节能潜力小的行业（具体行业目录按国家发展改革委相关规定执行）的固定资产投资项目，可不单独编制节能报告。相关项目应按照相关节能标准、规范建设，节能审查机关对项目不再单独进行节能审查，不再出具节能审查意见。（五）单个项目涉及两个及以上州（市）的，其节能审查工作由项目主体工程（或控制性工程）所在州（市）发展改革部门牵头商其他州（市）发展改革部门研究确定后实施。打捆项目涉及两个及以上州（市）的，其节能审查工作分别由子项目所在州（市）相关发展改革部门实施。项目涉及两个及以上县（市、区）参照执行。（六）对节能降碳相关指标进展严重滞后、专业力量不足、节能审查质量偏低的州（市），省发展改革委可调整其节能审查权限或暂停受理其节能审查和碳排放评价申请。第十条各级节能审查机关应结合本地实际，对于涉及煤炭消费或碳排放量较大且可能对本地区碳达峰形势、碳排放强度降低目标完成等产生不利影响的项目同步开展碳排放评价。</w:t>
      </w:r>
    </w:p>
    <w:p w14:paraId="6C9CD51D">
      <w:pPr>
        <w:keepNext w:val="0"/>
        <w:keepLines w:val="0"/>
        <w:pageBreakBefore w:val="0"/>
        <w:widowControl w:val="0"/>
        <w:wordWrap/>
        <w:topLinePunct w:val="0"/>
        <w:bidi w:val="0"/>
        <w:adjustRightInd w:val="0"/>
        <w:snapToGrid w:val="0"/>
        <w:spacing w:line="560" w:lineRule="exact"/>
        <w:ind w:firstLine="640" w:firstLineChars="200"/>
        <w:textAlignment w:val="auto"/>
        <w:outlineLvl w:val="0"/>
        <w:rPr>
          <w:rFonts w:hint="eastAsia" w:ascii="宋体" w:hAnsi="宋体"/>
          <w:color w:val="auto"/>
          <w:sz w:val="32"/>
          <w:szCs w:val="32"/>
        </w:rPr>
      </w:pPr>
      <w:r>
        <w:rPr>
          <w:rFonts w:hint="eastAsia" w:ascii="黑体" w:hAnsi="黑体" w:eastAsia="黑体"/>
          <w:color w:val="auto"/>
          <w:sz w:val="32"/>
          <w:szCs w:val="32"/>
        </w:rPr>
        <w:t>三、实施机关</w:t>
      </w:r>
    </w:p>
    <w:p w14:paraId="5955A918">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35A779BB">
      <w:pPr>
        <w:keepNext w:val="0"/>
        <w:keepLines w:val="0"/>
        <w:pageBreakBefore w:val="0"/>
        <w:widowControl w:val="0"/>
        <w:numPr>
          <w:ilvl w:val="0"/>
          <w:numId w:val="1"/>
        </w:numPr>
        <w:wordWrap/>
        <w:topLinePunct w:val="0"/>
        <w:bidi w:val="0"/>
        <w:adjustRightInd w:val="0"/>
        <w:snapToGrid w:val="0"/>
        <w:spacing w:line="560" w:lineRule="exact"/>
        <w:ind w:firstLine="640" w:firstLineChars="200"/>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许可条件</w:t>
      </w:r>
    </w:p>
    <w:p w14:paraId="6ACC874A">
      <w:pPr>
        <w:keepNext w:val="0"/>
        <w:keepLines w:val="0"/>
        <w:pageBreakBefore w:val="0"/>
        <w:widowControl w:val="0"/>
        <w:numPr>
          <w:ilvl w:val="0"/>
          <w:numId w:val="0"/>
        </w:numPr>
        <w:wordWrap/>
        <w:topLinePunct w:val="0"/>
        <w:bidi w:val="0"/>
        <w:adjustRightInd w:val="0"/>
        <w:snapToGrid w:val="0"/>
        <w:spacing w:line="560" w:lineRule="exact"/>
        <w:ind w:firstLine="640" w:firstLineChars="200"/>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2E5482E1">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年综合能源消费量1000吨（含）到2000吨标准煤〔或年煤炭消费量1000吨（含）到2000吨〕的固定资产投资项目的节能审查。</w:t>
      </w:r>
    </w:p>
    <w:p w14:paraId="38301D33">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2.符合经济安全、社会安定、生态安全等国家安全规定；</w:t>
      </w:r>
    </w:p>
    <w:p w14:paraId="3B130964">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3.符合相关发展建设规划、产业政策和技术标准；</w:t>
      </w:r>
    </w:p>
    <w:p w14:paraId="560C6A82">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4.符合节能有关法律法规、标准规范、政策；</w:t>
      </w:r>
    </w:p>
    <w:p w14:paraId="259429B2">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5.合理开发并有效利用资源；</w:t>
      </w:r>
    </w:p>
    <w:p w14:paraId="41918999">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6.不会对重大公共利益产生不良影响。</w:t>
      </w:r>
    </w:p>
    <w:p w14:paraId="1AC3C14F">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7.法律、行政法规规定的其他条件。</w:t>
      </w:r>
    </w:p>
    <w:p w14:paraId="7252F9B2">
      <w:pPr>
        <w:keepNext w:val="0"/>
        <w:keepLines w:val="0"/>
        <w:pageBreakBefore w:val="0"/>
        <w:widowControl w:val="0"/>
        <w:wordWrap/>
        <w:topLinePunct w:val="0"/>
        <w:bidi w:val="0"/>
        <w:adjustRightInd w:val="0"/>
        <w:snapToGrid w:val="0"/>
        <w:spacing w:line="560" w:lineRule="exact"/>
        <w:ind w:firstLine="643" w:firstLineChars="200"/>
        <w:textAlignment w:val="auto"/>
        <w:rPr>
          <w:rFonts w:hint="eastAsia" w:ascii="宋体" w:hAnsi="宋体"/>
          <w:b/>
          <w:color w:val="auto"/>
          <w:sz w:val="24"/>
          <w:highlight w:val="none"/>
        </w:rPr>
      </w:pPr>
      <w:r>
        <w:rPr>
          <w:rFonts w:hint="eastAsia" w:ascii="仿宋_GB2312" w:hAnsi="仿宋_GB2312" w:eastAsia="仿宋_GB2312" w:cs="仿宋_GB2312"/>
          <w:b/>
          <w:bCs w:val="0"/>
          <w:color w:val="auto"/>
          <w:sz w:val="32"/>
          <w:szCs w:val="32"/>
          <w:highlight w:val="none"/>
        </w:rPr>
        <w:t>（二）不予批准的情形（具有以下情形之一）：</w:t>
      </w:r>
    </w:p>
    <w:p w14:paraId="0D8A047B">
      <w:pPr>
        <w:keepNext w:val="0"/>
        <w:keepLines w:val="0"/>
        <w:pageBreakBefore w:val="0"/>
        <w:widowControl w:val="0"/>
        <w:wordWrap/>
        <w:topLinePunct w:val="0"/>
        <w:bidi w:val="0"/>
        <w:adjustRightInd w:val="0"/>
        <w:snapToGrid w:val="0"/>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1.项目所在地不能消纳该项目产生能耗的固定资产投资项目。</w:t>
      </w:r>
    </w:p>
    <w:p w14:paraId="5F815A68">
      <w:pPr>
        <w:keepNext w:val="0"/>
        <w:keepLines w:val="0"/>
        <w:pageBreakBefore w:val="0"/>
        <w:widowControl w:val="0"/>
        <w:wordWrap/>
        <w:topLinePunct w:val="0"/>
        <w:bidi w:val="0"/>
        <w:adjustRightInd w:val="0"/>
        <w:snapToGrid w:val="0"/>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2.危害经济安全、社会安全、生态安全等国家安全；</w:t>
      </w:r>
    </w:p>
    <w:p w14:paraId="48DB35B2">
      <w:pPr>
        <w:keepNext w:val="0"/>
        <w:keepLines w:val="0"/>
        <w:pageBreakBefore w:val="0"/>
        <w:widowControl w:val="0"/>
        <w:wordWrap/>
        <w:topLinePunct w:val="0"/>
        <w:bidi w:val="0"/>
        <w:adjustRightInd w:val="0"/>
        <w:snapToGrid w:val="0"/>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3.不符合相关发展建设规划、产业政策和技术标准；</w:t>
      </w:r>
    </w:p>
    <w:p w14:paraId="0F7F9A5C">
      <w:pPr>
        <w:keepNext w:val="0"/>
        <w:keepLines w:val="0"/>
        <w:pageBreakBefore w:val="0"/>
        <w:widowControl w:val="0"/>
        <w:wordWrap/>
        <w:topLinePunct w:val="0"/>
        <w:bidi w:val="0"/>
        <w:adjustRightInd w:val="0"/>
        <w:snapToGrid w:val="0"/>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4.对重大公共利益产生不利影响。</w:t>
      </w:r>
    </w:p>
    <w:p w14:paraId="6331A1F8">
      <w:pPr>
        <w:keepNext w:val="0"/>
        <w:keepLines w:val="0"/>
        <w:pageBreakBefore w:val="0"/>
        <w:widowControl w:val="0"/>
        <w:wordWrap/>
        <w:topLinePunct w:val="0"/>
        <w:bidi w:val="0"/>
        <w:adjustRightInd w:val="0"/>
        <w:snapToGrid w:val="0"/>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5.法律、法规规定的其他不予批准的情形。</w:t>
      </w:r>
    </w:p>
    <w:p w14:paraId="3FBC53AC">
      <w:pPr>
        <w:keepNext w:val="0"/>
        <w:keepLines w:val="0"/>
        <w:pageBreakBefore w:val="0"/>
        <w:widowControl w:val="0"/>
        <w:wordWrap/>
        <w:topLinePunct w:val="0"/>
        <w:bidi w:val="0"/>
        <w:adjustRightInd w:val="0"/>
        <w:snapToGrid w:val="0"/>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6.</w:t>
      </w:r>
      <w:r>
        <w:rPr>
          <w:rFonts w:hint="eastAsia" w:ascii="仿宋_GB2312" w:hAnsi="仿宋_GB2312" w:eastAsia="仿宋_GB2312" w:cs="仿宋_GB2312"/>
          <w:b/>
          <w:bCs/>
          <w:color w:val="auto"/>
          <w:sz w:val="32"/>
          <w:szCs w:val="32"/>
          <w:highlight w:val="none"/>
        </w:rPr>
        <w:t>项目擅自开工建设。</w:t>
      </w:r>
    </w:p>
    <w:p w14:paraId="45813AA8">
      <w:pPr>
        <w:keepNext w:val="0"/>
        <w:keepLines w:val="0"/>
        <w:pageBreakBefore w:val="0"/>
        <w:widowControl w:val="0"/>
        <w:wordWrap/>
        <w:topLinePunct w:val="0"/>
        <w:bidi w:val="0"/>
        <w:adjustRightInd w:val="0"/>
        <w:snapToGrid w:val="0"/>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7.</w:t>
      </w:r>
      <w:r>
        <w:rPr>
          <w:rFonts w:hint="eastAsia" w:ascii="仿宋_GB2312" w:hAnsi="仿宋_GB2312" w:eastAsia="仿宋_GB2312" w:cs="仿宋_GB2312"/>
          <w:b/>
          <w:bCs/>
          <w:color w:val="auto"/>
          <w:sz w:val="32"/>
          <w:szCs w:val="32"/>
          <w:highlight w:val="none"/>
        </w:rPr>
        <w:t>存在提供虚假材料等违规行为。</w:t>
      </w:r>
    </w:p>
    <w:p w14:paraId="28FC9CE2">
      <w:pPr>
        <w:keepNext w:val="0"/>
        <w:keepLines w:val="0"/>
        <w:pageBreakBefore w:val="0"/>
        <w:widowControl w:val="0"/>
        <w:wordWrap/>
        <w:topLinePunct w:val="0"/>
        <w:bidi w:val="0"/>
        <w:adjustRightInd w:val="0"/>
        <w:snapToGrid w:val="0"/>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8.</w:t>
      </w:r>
      <w:r>
        <w:rPr>
          <w:rFonts w:hint="eastAsia" w:ascii="仿宋_GB2312" w:hAnsi="仿宋_GB2312" w:eastAsia="仿宋_GB2312" w:cs="仿宋_GB2312"/>
          <w:b/>
          <w:bCs/>
          <w:color w:val="auto"/>
          <w:sz w:val="32"/>
          <w:szCs w:val="32"/>
          <w:highlight w:val="none"/>
        </w:rPr>
        <w:t>其他不符合国家和云南省相关规定的。</w:t>
      </w:r>
    </w:p>
    <w:p w14:paraId="20E9505B">
      <w:pPr>
        <w:keepNext w:val="0"/>
        <w:keepLines w:val="0"/>
        <w:pageBreakBefore w:val="0"/>
        <w:widowControl w:val="0"/>
        <w:wordWrap/>
        <w:topLinePunct w:val="0"/>
        <w:bidi w:val="0"/>
        <w:adjustRightInd w:val="0"/>
        <w:snapToGrid w:val="0"/>
        <w:spacing w:line="560" w:lineRule="exact"/>
        <w:ind w:firstLine="640" w:firstLineChars="200"/>
        <w:textAlignment w:val="auto"/>
        <w:outlineLvl w:val="0"/>
        <w:rPr>
          <w:rFonts w:ascii="黑体" w:hAnsi="黑体" w:eastAsia="黑体"/>
          <w:color w:val="auto"/>
          <w:sz w:val="32"/>
          <w:szCs w:val="32"/>
        </w:rPr>
      </w:pPr>
      <w:r>
        <w:rPr>
          <w:rFonts w:hint="eastAsia" w:ascii="黑体" w:hAnsi="黑体" w:eastAsia="黑体"/>
          <w:color w:val="auto"/>
          <w:sz w:val="32"/>
          <w:szCs w:val="32"/>
        </w:rPr>
        <w:t>五、许可数量</w:t>
      </w:r>
    </w:p>
    <w:p w14:paraId="7BBF224F">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无数量限制，符合条件即予许可。</w:t>
      </w:r>
    </w:p>
    <w:p w14:paraId="62F5D345">
      <w:pPr>
        <w:keepNext w:val="0"/>
        <w:keepLines w:val="0"/>
        <w:pageBreakBefore w:val="0"/>
        <w:widowControl w:val="0"/>
        <w:wordWrap/>
        <w:topLinePunct w:val="0"/>
        <w:bidi w:val="0"/>
        <w:adjustRightInd w:val="0"/>
        <w:snapToGrid w:val="0"/>
        <w:spacing w:line="560" w:lineRule="exact"/>
        <w:ind w:firstLine="640" w:firstLineChars="200"/>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698C7014">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受理形式：窗口和网上均可受理。 </w:t>
      </w:r>
    </w:p>
    <w:p w14:paraId="48A0C625">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受理地点：官渡区国投大厦4号楼</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 xml:space="preserve">服务中心窗口。 </w:t>
      </w:r>
    </w:p>
    <w:p w14:paraId="3E347BEF">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143E49C7">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59D17D1A">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 “云南省政务服务网 ”</w:t>
      </w:r>
    </w:p>
    <w:p w14:paraId="0FEB8F77">
      <w:pPr>
        <w:keepNext w:val="0"/>
        <w:keepLines w:val="0"/>
        <w:pageBreakBefore w:val="0"/>
        <w:widowControl w:val="0"/>
        <w:wordWrap/>
        <w:topLinePunct w:val="0"/>
        <w:bidi w:val="0"/>
        <w:adjustRightInd w:val="0"/>
        <w:snapToGrid w:val="0"/>
        <w:spacing w:line="560" w:lineRule="exact"/>
        <w:ind w:firstLine="640" w:firstLineChars="200"/>
        <w:textAlignment w:val="auto"/>
        <w:outlineLvl w:val="0"/>
        <w:rPr>
          <w:rFonts w:hint="eastAsia" w:ascii="宋体" w:hAnsi="宋体"/>
          <w:color w:val="auto"/>
          <w:sz w:val="32"/>
          <w:szCs w:val="32"/>
        </w:rPr>
      </w:pPr>
      <w:r>
        <w:rPr>
          <w:rFonts w:hint="eastAsia" w:ascii="黑体" w:hAnsi="黑体" w:eastAsia="黑体"/>
          <w:color w:val="auto"/>
          <w:sz w:val="32"/>
          <w:szCs w:val="32"/>
        </w:rPr>
        <w:t>七、申请材料</w:t>
      </w:r>
    </w:p>
    <w:p w14:paraId="7D16ACE4">
      <w:pPr>
        <w:keepNext w:val="0"/>
        <w:keepLines w:val="0"/>
        <w:pageBreakBefore w:val="0"/>
        <w:widowControl w:val="0"/>
        <w:wordWrap/>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固定资产投资项目节能审查申请材料目录</w:t>
      </w:r>
    </w:p>
    <w:tbl>
      <w:tblPr>
        <w:tblStyle w:val="12"/>
        <w:tblW w:w="0" w:type="auto"/>
        <w:jc w:val="center"/>
        <w:tblLayout w:type="fixed"/>
        <w:tblCellMar>
          <w:top w:w="0" w:type="dxa"/>
          <w:left w:w="0" w:type="dxa"/>
          <w:bottom w:w="0" w:type="dxa"/>
          <w:right w:w="0" w:type="dxa"/>
        </w:tblCellMar>
      </w:tblPr>
      <w:tblGrid>
        <w:gridCol w:w="709"/>
        <w:gridCol w:w="4511"/>
        <w:gridCol w:w="1275"/>
        <w:gridCol w:w="882"/>
        <w:gridCol w:w="1443"/>
      </w:tblGrid>
      <w:tr w14:paraId="4773958C">
        <w:tblPrEx>
          <w:tblCellMar>
            <w:top w:w="0" w:type="dxa"/>
            <w:left w:w="0" w:type="dxa"/>
            <w:bottom w:w="0" w:type="dxa"/>
            <w:right w:w="0" w:type="dxa"/>
          </w:tblCellMar>
        </w:tblPrEx>
        <w:trPr>
          <w:trHeight w:val="562" w:hRule="exact"/>
          <w:jc w:val="center"/>
        </w:trPr>
        <w:tc>
          <w:tcPr>
            <w:tcW w:w="709" w:type="dxa"/>
            <w:tcBorders>
              <w:top w:val="single" w:color="000000" w:sz="8" w:space="0"/>
              <w:left w:val="single" w:color="000000" w:sz="8" w:space="0"/>
              <w:bottom w:val="single" w:color="auto" w:sz="4" w:space="0"/>
              <w:right w:val="single" w:color="000000" w:sz="4" w:space="0"/>
            </w:tcBorders>
            <w:noWrap w:val="0"/>
            <w:vAlign w:val="center"/>
          </w:tcPr>
          <w:p w14:paraId="2EAA9FC0">
            <w:pPr>
              <w:pStyle w:val="25"/>
              <w:keepNext w:val="0"/>
              <w:keepLines w:val="0"/>
              <w:pageBreakBefore w:val="0"/>
              <w:widowControl w:val="0"/>
              <w:kinsoku w:val="0"/>
              <w:wordWrap/>
              <w:overflowPunct w:val="0"/>
              <w:topLinePunct w:val="0"/>
              <w:bidi w:val="0"/>
              <w:spacing w:line="5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6"/>
                <w:sz w:val="24"/>
                <w:szCs w:val="24"/>
              </w:rPr>
              <w:t>序</w:t>
            </w:r>
            <w:r>
              <w:rPr>
                <w:rFonts w:hint="eastAsia" w:ascii="仿宋_GB2312" w:hAnsi="仿宋_GB2312" w:eastAsia="仿宋_GB2312" w:cs="仿宋_GB2312"/>
                <w:color w:val="auto"/>
                <w:sz w:val="24"/>
                <w:szCs w:val="24"/>
              </w:rPr>
              <w:t>号</w:t>
            </w:r>
          </w:p>
        </w:tc>
        <w:tc>
          <w:tcPr>
            <w:tcW w:w="4511" w:type="dxa"/>
            <w:tcBorders>
              <w:top w:val="single" w:color="000000" w:sz="8" w:space="0"/>
              <w:left w:val="single" w:color="000000" w:sz="4" w:space="0"/>
              <w:bottom w:val="single" w:color="auto" w:sz="4" w:space="0"/>
              <w:right w:val="single" w:color="000000" w:sz="4" w:space="0"/>
            </w:tcBorders>
            <w:noWrap w:val="0"/>
            <w:vAlign w:val="center"/>
          </w:tcPr>
          <w:p w14:paraId="2591CC76">
            <w:pPr>
              <w:pStyle w:val="25"/>
              <w:keepNext w:val="0"/>
              <w:keepLines w:val="0"/>
              <w:pageBreakBefore w:val="0"/>
              <w:widowControl w:val="0"/>
              <w:kinsoku w:val="0"/>
              <w:wordWrap/>
              <w:overflowPunct w:val="0"/>
              <w:topLinePunct w:val="0"/>
              <w:bidi w:val="0"/>
              <w:spacing w:line="560" w:lineRule="exact"/>
              <w:ind w:left="0"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
                <w:sz w:val="24"/>
                <w:szCs w:val="24"/>
              </w:rPr>
              <w:t>材料</w:t>
            </w:r>
            <w:r>
              <w:rPr>
                <w:rFonts w:hint="eastAsia" w:ascii="仿宋_GB2312" w:hAnsi="仿宋_GB2312" w:eastAsia="仿宋_GB2312" w:cs="仿宋_GB2312"/>
                <w:color w:val="auto"/>
                <w:sz w:val="24"/>
                <w:szCs w:val="24"/>
              </w:rPr>
              <w:t>名称</w:t>
            </w:r>
          </w:p>
        </w:tc>
        <w:tc>
          <w:tcPr>
            <w:tcW w:w="1275" w:type="dxa"/>
            <w:tcBorders>
              <w:top w:val="single" w:color="000000" w:sz="8" w:space="0"/>
              <w:left w:val="single" w:color="000000" w:sz="4" w:space="0"/>
              <w:bottom w:val="single" w:color="auto" w:sz="4" w:space="0"/>
              <w:right w:val="single" w:color="000000" w:sz="4" w:space="0"/>
            </w:tcBorders>
            <w:noWrap w:val="0"/>
            <w:vAlign w:val="center"/>
          </w:tcPr>
          <w:p w14:paraId="13BE4200">
            <w:pPr>
              <w:pStyle w:val="25"/>
              <w:keepNext w:val="0"/>
              <w:keepLines w:val="0"/>
              <w:pageBreakBefore w:val="0"/>
              <w:widowControl w:val="0"/>
              <w:kinsoku w:val="0"/>
              <w:wordWrap/>
              <w:overflowPunct w:val="0"/>
              <w:topLinePunct w:val="0"/>
              <w:bidi w:val="0"/>
              <w:spacing w:line="5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
                <w:sz w:val="24"/>
                <w:szCs w:val="24"/>
              </w:rPr>
              <w:t>材料</w:t>
            </w:r>
            <w:r>
              <w:rPr>
                <w:rFonts w:hint="eastAsia" w:ascii="仿宋_GB2312" w:hAnsi="仿宋_GB2312" w:eastAsia="仿宋_GB2312" w:cs="仿宋_GB2312"/>
                <w:color w:val="auto"/>
                <w:sz w:val="24"/>
                <w:szCs w:val="24"/>
              </w:rPr>
              <w:t>形式</w:t>
            </w:r>
          </w:p>
        </w:tc>
        <w:tc>
          <w:tcPr>
            <w:tcW w:w="882" w:type="dxa"/>
            <w:tcBorders>
              <w:top w:val="single" w:color="000000" w:sz="8" w:space="0"/>
              <w:left w:val="single" w:color="000000" w:sz="4" w:space="0"/>
              <w:bottom w:val="single" w:color="auto" w:sz="4" w:space="0"/>
              <w:right w:val="single" w:color="000000" w:sz="4" w:space="0"/>
            </w:tcBorders>
            <w:noWrap w:val="0"/>
            <w:vAlign w:val="center"/>
          </w:tcPr>
          <w:p w14:paraId="5766F9C0">
            <w:pPr>
              <w:pStyle w:val="25"/>
              <w:keepNext w:val="0"/>
              <w:keepLines w:val="0"/>
              <w:pageBreakBefore w:val="0"/>
              <w:widowControl w:val="0"/>
              <w:kinsoku w:val="0"/>
              <w:wordWrap/>
              <w:overflowPunct w:val="0"/>
              <w:topLinePunct w:val="0"/>
              <w:bidi w:val="0"/>
              <w:spacing w:line="560" w:lineRule="exact"/>
              <w:ind w:left="0"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8"/>
                <w:sz w:val="24"/>
                <w:szCs w:val="24"/>
              </w:rPr>
              <w:t>份</w:t>
            </w:r>
            <w:r>
              <w:rPr>
                <w:rFonts w:hint="eastAsia" w:ascii="仿宋_GB2312" w:hAnsi="仿宋_GB2312" w:eastAsia="仿宋_GB2312" w:cs="仿宋_GB2312"/>
                <w:color w:val="auto"/>
                <w:sz w:val="24"/>
                <w:szCs w:val="24"/>
              </w:rPr>
              <w:t>数</w:t>
            </w:r>
          </w:p>
        </w:tc>
        <w:tc>
          <w:tcPr>
            <w:tcW w:w="1443" w:type="dxa"/>
            <w:tcBorders>
              <w:top w:val="single" w:color="000000" w:sz="8" w:space="0"/>
              <w:left w:val="single" w:color="000000" w:sz="4" w:space="0"/>
              <w:bottom w:val="single" w:color="auto" w:sz="4" w:space="0"/>
              <w:right w:val="single" w:color="000000" w:sz="8" w:space="0"/>
            </w:tcBorders>
            <w:noWrap w:val="0"/>
            <w:vAlign w:val="center"/>
          </w:tcPr>
          <w:p w14:paraId="1E0E5282">
            <w:pPr>
              <w:pStyle w:val="25"/>
              <w:keepNext w:val="0"/>
              <w:keepLines w:val="0"/>
              <w:pageBreakBefore w:val="0"/>
              <w:widowControl w:val="0"/>
              <w:kinsoku w:val="0"/>
              <w:wordWrap/>
              <w:overflowPunct w:val="0"/>
              <w:topLinePunct w:val="0"/>
              <w:bidi w:val="0"/>
              <w:spacing w:line="560" w:lineRule="exact"/>
              <w:ind w:left="0"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
                <w:sz w:val="24"/>
                <w:szCs w:val="24"/>
              </w:rPr>
              <w:t>其他</w:t>
            </w:r>
            <w:r>
              <w:rPr>
                <w:rFonts w:hint="eastAsia" w:ascii="仿宋_GB2312" w:hAnsi="仿宋_GB2312" w:eastAsia="仿宋_GB2312" w:cs="仿宋_GB2312"/>
                <w:color w:val="auto"/>
                <w:sz w:val="24"/>
                <w:szCs w:val="24"/>
              </w:rPr>
              <w:t>要求</w:t>
            </w:r>
          </w:p>
        </w:tc>
      </w:tr>
      <w:tr w14:paraId="44DDB780">
        <w:tblPrEx>
          <w:tblCellMar>
            <w:top w:w="0" w:type="dxa"/>
            <w:left w:w="0" w:type="dxa"/>
            <w:bottom w:w="0" w:type="dxa"/>
            <w:right w:w="0" w:type="dxa"/>
          </w:tblCellMar>
        </w:tblPrEx>
        <w:trPr>
          <w:trHeight w:val="1151"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58086564">
            <w:pPr>
              <w:pStyle w:val="25"/>
              <w:keepNext w:val="0"/>
              <w:keepLines w:val="0"/>
              <w:pageBreakBefore w:val="0"/>
              <w:widowControl w:val="0"/>
              <w:kinsoku w:val="0"/>
              <w:wordWrap/>
              <w:overflowPunct w:val="0"/>
              <w:topLinePunct w:val="0"/>
              <w:bidi w:val="0"/>
              <w:spacing w:line="560" w:lineRule="exact"/>
              <w:ind w:left="0" w:right="0" w:firstLine="480" w:firstLineChars="20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4511" w:type="dxa"/>
            <w:tcBorders>
              <w:top w:val="single" w:color="auto" w:sz="4" w:space="0"/>
              <w:left w:val="single" w:color="auto" w:sz="4" w:space="0"/>
              <w:bottom w:val="single" w:color="auto" w:sz="4" w:space="0"/>
              <w:right w:val="single" w:color="auto" w:sz="4" w:space="0"/>
            </w:tcBorders>
            <w:noWrap w:val="0"/>
            <w:vAlign w:val="center"/>
          </w:tcPr>
          <w:p w14:paraId="1BF19963">
            <w:pPr>
              <w:pStyle w:val="25"/>
              <w:keepNext w:val="0"/>
              <w:keepLines w:val="0"/>
              <w:pageBreakBefore w:val="0"/>
              <w:widowControl w:val="0"/>
              <w:kinsoku w:val="0"/>
              <w:wordWrap/>
              <w:overflowPunct w:val="0"/>
              <w:topLinePunct w:val="0"/>
              <w:bidi w:val="0"/>
              <w:spacing w:line="560" w:lineRule="exact"/>
              <w:ind w:left="0" w:firstLine="480" w:firstLineChars="200"/>
              <w:jc w:val="both"/>
              <w:textAlignment w:val="auto"/>
              <w:rPr>
                <w:rFonts w:hint="eastAsia" w:ascii="仿宋_GB2312" w:hAnsi="仿宋_GB2312" w:eastAsia="仿宋_GB2312" w:cs="仿宋_GB2312"/>
                <w:color w:val="auto"/>
                <w:sz w:val="24"/>
                <w:szCs w:val="24"/>
                <w:shd w:val="clear" w:color="auto" w:fill="FFFFFF"/>
              </w:rPr>
            </w:pPr>
            <w:r>
              <w:rPr>
                <w:rFonts w:hint="eastAsia" w:ascii="仿宋_GB2312" w:hAnsi="仿宋_GB2312" w:eastAsia="仿宋_GB2312" w:cs="仿宋_GB2312"/>
                <w:color w:val="auto"/>
                <w:sz w:val="24"/>
                <w:szCs w:val="24"/>
                <w:shd w:val="clear" w:color="auto" w:fill="FFFFFF"/>
              </w:rPr>
              <w:t>项目节能审查申请文件（含节能</w:t>
            </w:r>
            <w:r>
              <w:rPr>
                <w:rFonts w:hint="eastAsia" w:ascii="仿宋_GB2312" w:hAnsi="仿宋_GB2312" w:eastAsia="仿宋_GB2312" w:cs="仿宋_GB2312"/>
                <w:color w:val="auto"/>
                <w:sz w:val="24"/>
                <w:szCs w:val="24"/>
                <w:shd w:val="clear" w:color="auto" w:fill="FFFFFF"/>
                <w:lang w:val="en-US" w:eastAsia="zh-CN"/>
              </w:rPr>
              <w:t>审查</w:t>
            </w:r>
            <w:r>
              <w:rPr>
                <w:rFonts w:hint="eastAsia" w:ascii="仿宋_GB2312" w:hAnsi="仿宋_GB2312" w:eastAsia="仿宋_GB2312" w:cs="仿宋_GB2312"/>
                <w:color w:val="auto"/>
                <w:sz w:val="24"/>
                <w:szCs w:val="24"/>
                <w:shd w:val="clear" w:color="auto" w:fill="FFFFFF"/>
              </w:rPr>
              <w:t>请示、</w:t>
            </w:r>
            <w:r>
              <w:rPr>
                <w:rFonts w:hint="eastAsia" w:ascii="仿宋_GB2312" w:hAnsi="仿宋_GB2312" w:eastAsia="仿宋_GB2312" w:cs="仿宋_GB2312"/>
                <w:i w:val="0"/>
                <w:iCs w:val="0"/>
                <w:caps w:val="0"/>
                <w:color w:val="auto"/>
                <w:spacing w:val="0"/>
                <w:sz w:val="24"/>
                <w:szCs w:val="24"/>
                <w:shd w:val="clear" w:color="auto" w:fill="auto"/>
              </w:rPr>
              <w:t>项目建设单位出具的关于相关报送材料真实性、合法性和完整性的</w:t>
            </w:r>
            <w:r>
              <w:rPr>
                <w:rFonts w:hint="eastAsia" w:ascii="仿宋_GB2312" w:hAnsi="仿宋_GB2312" w:eastAsia="仿宋_GB2312" w:cs="仿宋_GB2312"/>
                <w:color w:val="auto"/>
                <w:sz w:val="24"/>
                <w:szCs w:val="24"/>
                <w:shd w:val="clear" w:color="auto" w:fill="FFFFFF"/>
              </w:rPr>
              <w:t>承诺书）</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3CA4AC2D">
            <w:pPr>
              <w:pStyle w:val="25"/>
              <w:keepNext w:val="0"/>
              <w:keepLines w:val="0"/>
              <w:pageBreakBefore w:val="0"/>
              <w:widowControl w:val="0"/>
              <w:kinsoku w:val="0"/>
              <w:wordWrap/>
              <w:overflowPunct w:val="0"/>
              <w:topLinePunct w:val="0"/>
              <w:bidi w:val="0"/>
              <w:spacing w:line="560" w:lineRule="exact"/>
              <w:ind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882" w:type="dxa"/>
            <w:tcBorders>
              <w:top w:val="single" w:color="auto" w:sz="4" w:space="0"/>
              <w:left w:val="single" w:color="auto" w:sz="4" w:space="0"/>
              <w:bottom w:val="single" w:color="auto" w:sz="4" w:space="0"/>
              <w:right w:val="single" w:color="auto" w:sz="4" w:space="0"/>
            </w:tcBorders>
            <w:noWrap w:val="0"/>
            <w:vAlign w:val="center"/>
          </w:tcPr>
          <w:p w14:paraId="34E69862">
            <w:pPr>
              <w:pStyle w:val="25"/>
              <w:keepNext w:val="0"/>
              <w:keepLines w:val="0"/>
              <w:pageBreakBefore w:val="0"/>
              <w:widowControl w:val="0"/>
              <w:kinsoku w:val="0"/>
              <w:wordWrap/>
              <w:overflowPunct w:val="0"/>
              <w:topLinePunct w:val="0"/>
              <w:bidi w:val="0"/>
              <w:spacing w:line="560" w:lineRule="exact"/>
              <w:ind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443" w:type="dxa"/>
            <w:vMerge w:val="restart"/>
            <w:tcBorders>
              <w:top w:val="single" w:color="auto" w:sz="4" w:space="0"/>
              <w:left w:val="single" w:color="auto" w:sz="4" w:space="0"/>
              <w:bottom w:val="single" w:color="auto" w:sz="4" w:space="0"/>
              <w:right w:val="single" w:color="auto" w:sz="4" w:space="0"/>
            </w:tcBorders>
            <w:noWrap w:val="0"/>
            <w:vAlign w:val="center"/>
          </w:tcPr>
          <w:p w14:paraId="238C686D">
            <w:pPr>
              <w:pStyle w:val="25"/>
              <w:keepNext w:val="0"/>
              <w:keepLines w:val="0"/>
              <w:pageBreakBefore w:val="0"/>
              <w:widowControl w:val="0"/>
              <w:kinsoku w:val="0"/>
              <w:wordWrap/>
              <w:overflowPunct w:val="0"/>
              <w:topLinePunct w:val="0"/>
              <w:bidi w:val="0"/>
              <w:spacing w:before="0" w:line="560" w:lineRule="exact"/>
              <w:ind w:left="0" w:right="0" w:firstLine="480" w:firstLineChars="200"/>
              <w:jc w:val="both"/>
              <w:textAlignment w:val="auto"/>
              <w:rPr>
                <w:rFonts w:hint="eastAsia" w:ascii="仿宋_GB2312" w:hAnsi="仿宋_GB2312" w:eastAsia="仿宋_GB2312" w:cs="仿宋_GB2312"/>
                <w:color w:val="auto"/>
                <w:sz w:val="24"/>
                <w:szCs w:val="24"/>
              </w:rPr>
            </w:pPr>
          </w:p>
        </w:tc>
      </w:tr>
      <w:tr w14:paraId="3B0521EA">
        <w:tblPrEx>
          <w:tblCellMar>
            <w:top w:w="0" w:type="dxa"/>
            <w:left w:w="0" w:type="dxa"/>
            <w:bottom w:w="0" w:type="dxa"/>
            <w:right w:w="0" w:type="dxa"/>
          </w:tblCellMar>
        </w:tblPrEx>
        <w:trPr>
          <w:trHeight w:val="1227"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0CCD9305">
            <w:pPr>
              <w:pStyle w:val="25"/>
              <w:keepNext w:val="0"/>
              <w:keepLines w:val="0"/>
              <w:pageBreakBefore w:val="0"/>
              <w:widowControl w:val="0"/>
              <w:kinsoku w:val="0"/>
              <w:wordWrap/>
              <w:overflowPunct w:val="0"/>
              <w:topLinePunct w:val="0"/>
              <w:bidi w:val="0"/>
              <w:spacing w:before="0" w:line="560" w:lineRule="exact"/>
              <w:ind w:firstLine="480" w:firstLineChars="20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p>
        </w:tc>
        <w:tc>
          <w:tcPr>
            <w:tcW w:w="4511" w:type="dxa"/>
            <w:tcBorders>
              <w:top w:val="single" w:color="auto" w:sz="4" w:space="0"/>
              <w:left w:val="single" w:color="auto" w:sz="4" w:space="0"/>
              <w:bottom w:val="single" w:color="auto" w:sz="4" w:space="0"/>
              <w:right w:val="single" w:color="auto" w:sz="4" w:space="0"/>
            </w:tcBorders>
            <w:noWrap w:val="0"/>
            <w:vAlign w:val="center"/>
          </w:tcPr>
          <w:p w14:paraId="2EEBD2BA">
            <w:pPr>
              <w:pStyle w:val="25"/>
              <w:keepNext w:val="0"/>
              <w:keepLines w:val="0"/>
              <w:pageBreakBefore w:val="0"/>
              <w:widowControl w:val="0"/>
              <w:kinsoku w:val="0"/>
              <w:wordWrap/>
              <w:overflowPunct w:val="0"/>
              <w:topLinePunct w:val="0"/>
              <w:bidi w:val="0"/>
              <w:spacing w:line="560" w:lineRule="exact"/>
              <w:ind w:left="0" w:firstLine="480" w:firstLineChars="200"/>
              <w:jc w:val="both"/>
              <w:textAlignment w:val="auto"/>
              <w:rPr>
                <w:rFonts w:hint="eastAsia" w:ascii="仿宋_GB2312" w:hAnsi="仿宋_GB2312" w:eastAsia="仿宋_GB2312" w:cs="仿宋_GB2312"/>
                <w:color w:val="auto"/>
                <w:sz w:val="24"/>
                <w:szCs w:val="24"/>
                <w:shd w:val="clear" w:color="auto" w:fill="FFFFFF"/>
              </w:rPr>
            </w:pPr>
            <w:r>
              <w:rPr>
                <w:rFonts w:hint="eastAsia" w:ascii="仿宋_GB2312" w:hAnsi="仿宋_GB2312" w:eastAsia="仿宋_GB2312" w:cs="仿宋_GB2312"/>
                <w:color w:val="auto"/>
                <w:sz w:val="24"/>
                <w:szCs w:val="24"/>
                <w:shd w:val="clear" w:color="auto" w:fill="FFFFFF"/>
              </w:rPr>
              <w:t>项目节能报告（需在封面加盖建设单位、编制单位双章，报告中含机构审查意见、备案类项目附项目备案证）</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939EF39">
            <w:pPr>
              <w:pStyle w:val="25"/>
              <w:keepNext w:val="0"/>
              <w:keepLines w:val="0"/>
              <w:pageBreakBefore w:val="0"/>
              <w:widowControl w:val="0"/>
              <w:kinsoku w:val="0"/>
              <w:wordWrap/>
              <w:overflowPunct w:val="0"/>
              <w:topLinePunct w:val="0"/>
              <w:bidi w:val="0"/>
              <w:spacing w:line="560" w:lineRule="exact"/>
              <w:ind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882" w:type="dxa"/>
            <w:tcBorders>
              <w:top w:val="single" w:color="auto" w:sz="4" w:space="0"/>
              <w:left w:val="single" w:color="auto" w:sz="4" w:space="0"/>
              <w:bottom w:val="single" w:color="auto" w:sz="4" w:space="0"/>
              <w:right w:val="single" w:color="auto" w:sz="4" w:space="0"/>
            </w:tcBorders>
            <w:noWrap w:val="0"/>
            <w:vAlign w:val="center"/>
          </w:tcPr>
          <w:p w14:paraId="01510ED4">
            <w:pPr>
              <w:pStyle w:val="25"/>
              <w:keepNext w:val="0"/>
              <w:keepLines w:val="0"/>
              <w:pageBreakBefore w:val="0"/>
              <w:widowControl w:val="0"/>
              <w:kinsoku w:val="0"/>
              <w:wordWrap/>
              <w:overflowPunct w:val="0"/>
              <w:topLinePunct w:val="0"/>
              <w:bidi w:val="0"/>
              <w:spacing w:line="560" w:lineRule="exact"/>
              <w:ind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443" w:type="dxa"/>
            <w:vMerge w:val="continue"/>
            <w:tcBorders>
              <w:top w:val="single" w:color="auto" w:sz="4" w:space="0"/>
              <w:left w:val="single" w:color="auto" w:sz="4" w:space="0"/>
              <w:bottom w:val="single" w:color="auto" w:sz="4" w:space="0"/>
              <w:right w:val="single" w:color="auto" w:sz="4" w:space="0"/>
            </w:tcBorders>
            <w:noWrap w:val="0"/>
            <w:vAlign w:val="center"/>
          </w:tcPr>
          <w:p w14:paraId="31E14CB6">
            <w:pPr>
              <w:pStyle w:val="25"/>
              <w:keepNext w:val="0"/>
              <w:keepLines w:val="0"/>
              <w:pageBreakBefore w:val="0"/>
              <w:widowControl w:val="0"/>
              <w:kinsoku w:val="0"/>
              <w:wordWrap/>
              <w:overflowPunct w:val="0"/>
              <w:topLinePunct w:val="0"/>
              <w:bidi w:val="0"/>
              <w:spacing w:line="560" w:lineRule="exact"/>
              <w:ind w:left="0" w:firstLine="480" w:firstLineChars="200"/>
              <w:jc w:val="both"/>
              <w:textAlignment w:val="auto"/>
              <w:rPr>
                <w:color w:val="auto"/>
              </w:rPr>
            </w:pPr>
          </w:p>
        </w:tc>
      </w:tr>
      <w:tr w14:paraId="0D3CA5A9">
        <w:tblPrEx>
          <w:tblCellMar>
            <w:top w:w="0" w:type="dxa"/>
            <w:left w:w="0" w:type="dxa"/>
            <w:bottom w:w="0" w:type="dxa"/>
            <w:right w:w="0" w:type="dxa"/>
          </w:tblCellMar>
        </w:tblPrEx>
        <w:trPr>
          <w:trHeight w:val="1749"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4A3C9CE8">
            <w:pPr>
              <w:pStyle w:val="25"/>
              <w:keepNext w:val="0"/>
              <w:keepLines w:val="0"/>
              <w:pageBreakBefore w:val="0"/>
              <w:widowControl w:val="0"/>
              <w:kinsoku w:val="0"/>
              <w:wordWrap/>
              <w:overflowPunct w:val="0"/>
              <w:topLinePunct w:val="0"/>
              <w:bidi w:val="0"/>
              <w:spacing w:line="560" w:lineRule="exact"/>
              <w:ind w:firstLine="480" w:firstLineChars="20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4511" w:type="dxa"/>
            <w:tcBorders>
              <w:top w:val="single" w:color="auto" w:sz="4" w:space="0"/>
              <w:left w:val="single" w:color="auto" w:sz="4" w:space="0"/>
              <w:bottom w:val="single" w:color="auto" w:sz="4" w:space="0"/>
              <w:right w:val="single" w:color="auto" w:sz="4" w:space="0"/>
            </w:tcBorders>
            <w:noWrap w:val="0"/>
            <w:vAlign w:val="center"/>
          </w:tcPr>
          <w:p w14:paraId="7C9B2097">
            <w:pPr>
              <w:pStyle w:val="25"/>
              <w:keepNext w:val="0"/>
              <w:keepLines w:val="0"/>
              <w:pageBreakBefore w:val="0"/>
              <w:widowControl w:val="0"/>
              <w:kinsoku w:val="0"/>
              <w:wordWrap/>
              <w:overflowPunct w:val="0"/>
              <w:topLinePunct w:val="0"/>
              <w:bidi w:val="0"/>
              <w:spacing w:line="560" w:lineRule="exact"/>
              <w:ind w:left="0" w:firstLine="480" w:firstLineChars="200"/>
              <w:jc w:val="both"/>
              <w:textAlignment w:val="auto"/>
              <w:rPr>
                <w:rFonts w:hint="eastAsia" w:ascii="仿宋_GB2312" w:hAnsi="仿宋_GB2312" w:eastAsia="仿宋_GB2312" w:cs="仿宋_GB2312"/>
                <w:color w:val="auto"/>
                <w:sz w:val="24"/>
                <w:szCs w:val="24"/>
                <w:shd w:val="clear" w:color="auto" w:fill="FFFFFF"/>
              </w:rPr>
            </w:pPr>
            <w:r>
              <w:rPr>
                <w:rFonts w:hint="eastAsia" w:ascii="仿宋_GB2312" w:hAnsi="仿宋_GB2312" w:eastAsia="仿宋_GB2312" w:cs="仿宋_GB2312"/>
                <w:color w:val="auto"/>
                <w:sz w:val="24"/>
                <w:szCs w:val="24"/>
                <w:shd w:val="clear" w:color="auto" w:fill="FFFFFF"/>
              </w:rPr>
              <w:t>项目可行性研究报告（需在封面加盖建设单位、编制单位双章）</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9B7225C">
            <w:pPr>
              <w:pStyle w:val="25"/>
              <w:keepNext w:val="0"/>
              <w:keepLines w:val="0"/>
              <w:pageBreakBefore w:val="0"/>
              <w:widowControl w:val="0"/>
              <w:kinsoku w:val="0"/>
              <w:wordWrap/>
              <w:overflowPunct w:val="0"/>
              <w:topLinePunct w:val="0"/>
              <w:bidi w:val="0"/>
              <w:spacing w:line="560" w:lineRule="exact"/>
              <w:ind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882" w:type="dxa"/>
            <w:tcBorders>
              <w:top w:val="single" w:color="auto" w:sz="4" w:space="0"/>
              <w:left w:val="single" w:color="auto" w:sz="4" w:space="0"/>
              <w:bottom w:val="single" w:color="auto" w:sz="4" w:space="0"/>
              <w:right w:val="single" w:color="auto" w:sz="4" w:space="0"/>
            </w:tcBorders>
            <w:noWrap w:val="0"/>
            <w:vAlign w:val="center"/>
          </w:tcPr>
          <w:p w14:paraId="56666271">
            <w:pPr>
              <w:pStyle w:val="25"/>
              <w:keepNext w:val="0"/>
              <w:keepLines w:val="0"/>
              <w:pageBreakBefore w:val="0"/>
              <w:widowControl w:val="0"/>
              <w:kinsoku w:val="0"/>
              <w:wordWrap/>
              <w:overflowPunct w:val="0"/>
              <w:topLinePunct w:val="0"/>
              <w:bidi w:val="0"/>
              <w:spacing w:line="560" w:lineRule="exact"/>
              <w:ind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443" w:type="dxa"/>
            <w:vMerge w:val="continue"/>
            <w:tcBorders>
              <w:top w:val="single" w:color="auto" w:sz="4" w:space="0"/>
              <w:left w:val="single" w:color="auto" w:sz="4" w:space="0"/>
              <w:bottom w:val="single" w:color="auto" w:sz="4" w:space="0"/>
              <w:right w:val="single" w:color="auto" w:sz="4" w:space="0"/>
            </w:tcBorders>
            <w:noWrap w:val="0"/>
            <w:vAlign w:val="center"/>
          </w:tcPr>
          <w:p w14:paraId="399DCCC5">
            <w:pPr>
              <w:pStyle w:val="25"/>
              <w:keepNext w:val="0"/>
              <w:keepLines w:val="0"/>
              <w:pageBreakBefore w:val="0"/>
              <w:widowControl w:val="0"/>
              <w:kinsoku w:val="0"/>
              <w:wordWrap/>
              <w:overflowPunct w:val="0"/>
              <w:topLinePunct w:val="0"/>
              <w:bidi w:val="0"/>
              <w:spacing w:line="560" w:lineRule="exact"/>
              <w:ind w:left="0" w:firstLine="480" w:firstLineChars="200"/>
              <w:jc w:val="both"/>
              <w:textAlignment w:val="auto"/>
              <w:rPr>
                <w:color w:val="auto"/>
              </w:rPr>
            </w:pPr>
          </w:p>
        </w:tc>
      </w:tr>
    </w:tbl>
    <w:p w14:paraId="7C4918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olor w:val="auto"/>
          <w:sz w:val="32"/>
          <w:szCs w:val="32"/>
        </w:rPr>
      </w:pPr>
      <w:r>
        <w:rPr>
          <w:rFonts w:hint="eastAsia" w:ascii="黑体" w:hAnsi="黑体" w:eastAsia="黑体"/>
          <w:color w:val="auto"/>
          <w:sz w:val="32"/>
          <w:szCs w:val="32"/>
        </w:rPr>
        <w:t>八、办结时限</w:t>
      </w:r>
    </w:p>
    <w:p w14:paraId="1A7D828E">
      <w:pPr>
        <w:keepNext w:val="0"/>
        <w:keepLines w:val="0"/>
        <w:pageBreakBefore w:val="0"/>
        <w:widowControl w:val="0"/>
        <w:wordWrap/>
        <w:topLinePunct w:val="0"/>
        <w:bidi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5A5719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法定办理时限：20个工作日。</w:t>
      </w:r>
    </w:p>
    <w:p w14:paraId="03A4DC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个工作日（不含实地勘查、意见征询、论证评审、组织听证时间）</w:t>
      </w:r>
      <w:r>
        <w:rPr>
          <w:rFonts w:hint="eastAsia" w:ascii="仿宋_GB2312" w:hAnsi="仿宋_GB2312" w:eastAsia="仿宋_GB2312" w:cs="仿宋_GB2312"/>
          <w:color w:val="auto"/>
          <w:sz w:val="32"/>
          <w:szCs w:val="32"/>
          <w:lang w:eastAsia="zh-CN"/>
        </w:rPr>
        <w:t>。</w:t>
      </w:r>
    </w:p>
    <w:p w14:paraId="4429A4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宋体" w:hAnsi="宋体"/>
          <w:color w:val="auto"/>
          <w:sz w:val="32"/>
          <w:szCs w:val="32"/>
        </w:rPr>
      </w:pPr>
      <w:r>
        <w:rPr>
          <w:rFonts w:hint="eastAsia" w:ascii="黑体" w:hAnsi="黑体" w:eastAsia="黑体"/>
          <w:color w:val="auto"/>
          <w:sz w:val="32"/>
          <w:szCs w:val="32"/>
        </w:rPr>
        <w:t>九、许可收费及依据</w:t>
      </w:r>
    </w:p>
    <w:p w14:paraId="033472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olor w:val="auto"/>
          <w:sz w:val="24"/>
        </w:rPr>
      </w:pPr>
      <w:r>
        <w:rPr>
          <w:rFonts w:hint="eastAsia" w:ascii="仿宋_GB2312" w:hAnsi="仿宋_GB2312" w:eastAsia="仿宋_GB2312" w:cs="仿宋_GB2312"/>
          <w:color w:val="auto"/>
          <w:sz w:val="32"/>
          <w:szCs w:val="32"/>
        </w:rPr>
        <w:t>本许可事项不收费。</w:t>
      </w:r>
    </w:p>
    <w:p w14:paraId="290FDB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0E80DC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方正楷体_GBK" w:hAnsi="方正楷体_GBK" w:eastAsia="方正楷体_GBK" w:cs="方正楷体_GBK"/>
          <w:b/>
          <w:color w:val="auto"/>
          <w:sz w:val="24"/>
        </w:rPr>
      </w:pPr>
      <w:r>
        <w:rPr>
          <w:rFonts w:hint="eastAsia" w:ascii="方正楷体_GBK" w:hAnsi="方正楷体_GBK" w:eastAsia="方正楷体_GBK" w:cs="方正楷体_GBK"/>
          <w:b w:val="0"/>
          <w:bCs/>
          <w:color w:val="auto"/>
          <w:sz w:val="32"/>
          <w:szCs w:val="32"/>
        </w:rPr>
        <w:t>（一）申请</w:t>
      </w:r>
      <w:r>
        <w:rPr>
          <w:rFonts w:hint="eastAsia" w:ascii="方正楷体_GBK" w:hAnsi="方正楷体_GBK" w:eastAsia="方正楷体_GBK" w:cs="方正楷体_GBK"/>
          <w:b/>
          <w:color w:val="auto"/>
          <w:sz w:val="24"/>
        </w:rPr>
        <w:t xml:space="preserve"> </w:t>
      </w:r>
    </w:p>
    <w:p w14:paraId="3FD068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661781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（1）窗口提交 </w:t>
      </w:r>
    </w:p>
    <w:p w14:paraId="58C403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7A7FD3AB">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4D4BDD1A">
      <w:pPr>
        <w:keepNext w:val="0"/>
        <w:keepLines w:val="0"/>
        <w:pageBreakBefore w:val="0"/>
        <w:widowControl w:val="0"/>
        <w:wordWrap/>
        <w:topLinePunct w:val="0"/>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（2）网络提交 </w:t>
      </w:r>
    </w:p>
    <w:p w14:paraId="0E42C18D">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 “云南省政务服务网 ”</w:t>
      </w:r>
    </w:p>
    <w:p w14:paraId="179384FB">
      <w:pPr>
        <w:keepNext w:val="0"/>
        <w:keepLines w:val="0"/>
        <w:pageBreakBefore w:val="0"/>
        <w:widowControl w:val="0"/>
        <w:wordWrap/>
        <w:topLinePunct w:val="0"/>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2.提交时间：</w:t>
      </w:r>
    </w:p>
    <w:p w14:paraId="76F2DCA2">
      <w:pPr>
        <w:keepNext w:val="0"/>
        <w:keepLines w:val="0"/>
        <w:pageBreakBefore w:val="0"/>
        <w:widowControl w:val="0"/>
        <w:wordWrap/>
        <w:topLinePunct w:val="0"/>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窗口提交：星期一至星期五上午9:00～12:00，下午13:00～17:00（法定节假日除外）。 </w:t>
      </w:r>
    </w:p>
    <w:p w14:paraId="04B55E9A">
      <w:pPr>
        <w:keepNext w:val="0"/>
        <w:keepLines w:val="0"/>
        <w:pageBreakBefore w:val="0"/>
        <w:widowControl w:val="0"/>
        <w:wordWrap/>
        <w:topLinePunct w:val="0"/>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网络提交：时间不限。</w:t>
      </w:r>
    </w:p>
    <w:p w14:paraId="5DA61278">
      <w:pPr>
        <w:keepNext w:val="0"/>
        <w:keepLines w:val="0"/>
        <w:pageBreakBefore w:val="0"/>
        <w:widowControl w:val="0"/>
        <w:wordWrap/>
        <w:topLinePunct w:val="0"/>
        <w:bidi w:val="0"/>
        <w:spacing w:line="560" w:lineRule="exact"/>
        <w:ind w:firstLine="640" w:firstLineChars="200"/>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（二）受理</w:t>
      </w:r>
    </w:p>
    <w:p w14:paraId="6688C0B9">
      <w:pPr>
        <w:keepNext w:val="0"/>
        <w:keepLines w:val="0"/>
        <w:pageBreakBefore w:val="0"/>
        <w:widowControl w:val="0"/>
        <w:wordWrap/>
        <w:topLinePunct w:val="0"/>
        <w:bidi w:val="0"/>
        <w:spacing w:line="560" w:lineRule="exact"/>
        <w:ind w:firstLine="640" w:firstLineChars="200"/>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309C106D">
      <w:pPr>
        <w:keepNext w:val="0"/>
        <w:keepLines w:val="0"/>
        <w:pageBreakBefore w:val="0"/>
        <w:widowControl w:val="0"/>
        <w:wordWrap/>
        <w:topLinePunct w:val="0"/>
        <w:bidi w:val="0"/>
        <w:spacing w:line="560" w:lineRule="exact"/>
        <w:ind w:firstLine="640" w:firstLineChars="200"/>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（三）审核</w:t>
      </w:r>
    </w:p>
    <w:p w14:paraId="1D2BEEE5">
      <w:pPr>
        <w:keepNext w:val="0"/>
        <w:keepLines w:val="0"/>
        <w:pageBreakBefore w:val="0"/>
        <w:widowControl w:val="0"/>
        <w:wordWrap/>
        <w:topLinePunct w:val="0"/>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官渡区行政审批局对申请材料进行形式审查，</w:t>
      </w:r>
      <w:r>
        <w:rPr>
          <w:rFonts w:hint="eastAsia" w:ascii="仿宋_GB2312" w:hAnsi="仿宋_GB2312" w:eastAsia="仿宋_GB2312" w:cs="仿宋_GB2312"/>
          <w:b w:val="0"/>
          <w:bCs/>
          <w:color w:val="auto"/>
          <w:sz w:val="32"/>
          <w:szCs w:val="32"/>
          <w:lang w:val="en-US" w:eastAsia="zh-CN"/>
        </w:rPr>
        <w:t>符合法定形式及要求，符合相应技术标准，且</w:t>
      </w:r>
      <w:r>
        <w:rPr>
          <w:rFonts w:hint="default" w:ascii="Times New Roman" w:hAnsi="Times New Roman" w:eastAsia="仿宋_GB2312" w:cs="Times New Roman"/>
          <w:b w:val="0"/>
          <w:bCs/>
          <w:color w:val="auto"/>
          <w:sz w:val="32"/>
          <w:szCs w:val="32"/>
        </w:rPr>
        <w:t>有特别程序的</w:t>
      </w:r>
      <w:r>
        <w:rPr>
          <w:rFonts w:hint="eastAsia"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向申请人下发特别程序告知书。官渡区行政审批局依据有关法律、法规和技术规范组织审查，委托机构组织专家进行技术评审，审查前向建设单位发出通知告知申请人技术评审时间、地点、参会单位，召开技术评审会，申请人按通知要求做好配合工作。</w:t>
      </w:r>
    </w:p>
    <w:p w14:paraId="15AC9923">
      <w:pPr>
        <w:keepNext w:val="0"/>
        <w:keepLines w:val="0"/>
        <w:pageBreakBefore w:val="0"/>
        <w:widowControl w:val="0"/>
        <w:wordWrap/>
        <w:topLinePunct w:val="0"/>
        <w:bidi w:val="0"/>
        <w:spacing w:line="560" w:lineRule="exact"/>
        <w:ind w:firstLine="640" w:firstLineChars="200"/>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（四）许可决定及送达方式</w:t>
      </w:r>
    </w:p>
    <w:p w14:paraId="19CC5963">
      <w:pPr>
        <w:keepNext w:val="0"/>
        <w:keepLines w:val="0"/>
        <w:pageBreakBefore w:val="0"/>
        <w:widowControl w:val="0"/>
        <w:wordWrap/>
        <w:topLinePunct w:val="0"/>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6DADA292">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default" w:ascii="Times New Roman" w:hAnsi="Times New Roman" w:eastAsia="仿宋_GB2312" w:cs="Times New Roman"/>
          <w:b w:val="0"/>
          <w:bCs/>
          <w:color w:val="auto"/>
          <w:sz w:val="32"/>
          <w:szCs w:val="32"/>
          <w:lang w:val="en-US" w:eastAsia="zh-CN"/>
        </w:rPr>
        <w:t>关于XX项目</w:t>
      </w:r>
      <w:r>
        <w:rPr>
          <w:rFonts w:hint="eastAsia" w:eastAsia="仿宋_GB2312" w:cs="Times New Roman"/>
          <w:b w:val="0"/>
          <w:bCs/>
          <w:color w:val="auto"/>
          <w:sz w:val="32"/>
          <w:szCs w:val="32"/>
          <w:lang w:val="en-US" w:eastAsia="zh-CN"/>
        </w:rPr>
        <w:t>节能报告的审查意见</w:t>
      </w:r>
    </w:p>
    <w:p w14:paraId="7D32C091">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7B48F933">
      <w:pPr>
        <w:keepNext w:val="0"/>
        <w:keepLines w:val="0"/>
        <w:pageBreakBefore w:val="0"/>
        <w:widowControl w:val="0"/>
        <w:wordWrap/>
        <w:topLinePunct w:val="0"/>
        <w:bidi w:val="0"/>
        <w:spacing w:line="560" w:lineRule="exact"/>
        <w:ind w:firstLine="640" w:firstLineChars="200"/>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1AB6C6D5">
      <w:pPr>
        <w:keepNext w:val="0"/>
        <w:keepLines w:val="0"/>
        <w:pageBreakBefore w:val="0"/>
        <w:widowControl w:val="0"/>
        <w:wordWrap/>
        <w:topLinePunct w:val="0"/>
        <w:bidi w:val="0"/>
        <w:spacing w:line="560" w:lineRule="exact"/>
        <w:ind w:firstLine="640" w:firstLineChars="200"/>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（一）咨询</w:t>
      </w:r>
    </w:p>
    <w:p w14:paraId="6C9A02CA">
      <w:pPr>
        <w:keepNext w:val="0"/>
        <w:keepLines w:val="0"/>
        <w:pageBreakBefore w:val="0"/>
        <w:widowControl w:val="0"/>
        <w:wordWrap/>
        <w:topLinePunct w:val="0"/>
        <w:bidi w:val="0"/>
        <w:spacing w:line="560" w:lineRule="exact"/>
        <w:ind w:firstLine="640" w:firstLineChars="200"/>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0A12CF0B">
      <w:pPr>
        <w:keepNext w:val="0"/>
        <w:keepLines w:val="0"/>
        <w:pageBreakBefore w:val="0"/>
        <w:widowControl w:val="0"/>
        <w:wordWrap/>
        <w:topLinePunct w:val="0"/>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030FBDAE">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4FAE7373">
      <w:pPr>
        <w:keepNext w:val="0"/>
        <w:keepLines w:val="0"/>
        <w:pageBreakBefore w:val="0"/>
        <w:widowControl w:val="0"/>
        <w:wordWrap/>
        <w:topLinePunct w:val="0"/>
        <w:bidi w:val="0"/>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765AB371">
      <w:pPr>
        <w:keepNext w:val="0"/>
        <w:keepLines w:val="0"/>
        <w:pageBreakBefore w:val="0"/>
        <w:widowControl w:val="0"/>
        <w:wordWrap/>
        <w:topLinePunct w:val="0"/>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p>
    <w:p w14:paraId="1E0D7248">
      <w:pPr>
        <w:keepNext w:val="0"/>
        <w:keepLines w:val="0"/>
        <w:pageBreakBefore w:val="0"/>
        <w:widowControl w:val="0"/>
        <w:wordWrap/>
        <w:topLinePunct w:val="0"/>
        <w:bidi w:val="0"/>
        <w:spacing w:line="560" w:lineRule="exact"/>
        <w:ind w:firstLine="640" w:firstLineChars="200"/>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2.咨询回复</w:t>
      </w:r>
    </w:p>
    <w:p w14:paraId="7F8E496C">
      <w:pPr>
        <w:keepNext w:val="0"/>
        <w:keepLines w:val="0"/>
        <w:pageBreakBefore w:val="0"/>
        <w:widowControl w:val="0"/>
        <w:wordWrap/>
        <w:topLinePunct w:val="0"/>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回复方式：窗口回复、电话回复、网络回复。</w:t>
      </w:r>
    </w:p>
    <w:p w14:paraId="59C395C4">
      <w:pPr>
        <w:keepNext w:val="0"/>
        <w:keepLines w:val="0"/>
        <w:pageBreakBefore w:val="0"/>
        <w:widowControl w:val="0"/>
        <w:wordWrap/>
        <w:topLinePunct w:val="0"/>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回复机构：昆明市官渡区行政审批局。</w:t>
      </w:r>
    </w:p>
    <w:p w14:paraId="3634A1CE">
      <w:pPr>
        <w:keepNext w:val="0"/>
        <w:keepLines w:val="0"/>
        <w:pageBreakBefore w:val="0"/>
        <w:widowControl w:val="0"/>
        <w:wordWrap/>
        <w:topLinePunct w:val="0"/>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回复时限：窗口咨询和电话咨询当场回复；网络咨询自收到咨询件后3个工作日内回复。</w:t>
      </w:r>
    </w:p>
    <w:p w14:paraId="31ABB441">
      <w:pPr>
        <w:keepNext w:val="0"/>
        <w:keepLines w:val="0"/>
        <w:pageBreakBefore w:val="0"/>
        <w:widowControl w:val="0"/>
        <w:wordWrap/>
        <w:topLinePunct w:val="0"/>
        <w:bidi w:val="0"/>
        <w:spacing w:line="560" w:lineRule="exact"/>
        <w:ind w:firstLine="640" w:firstLineChars="200"/>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46B683D5">
      <w:pPr>
        <w:keepNext w:val="0"/>
        <w:keepLines w:val="0"/>
        <w:pageBreakBefore w:val="0"/>
        <w:widowControl w:val="0"/>
        <w:wordWrap/>
        <w:topLinePunct w:val="0"/>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7CBAEAEA">
      <w:pPr>
        <w:keepNext w:val="0"/>
        <w:keepLines w:val="0"/>
        <w:pageBreakBefore w:val="0"/>
        <w:widowControl w:val="0"/>
        <w:wordWrap/>
        <w:topLinePunct w:val="0"/>
        <w:bidi w:val="0"/>
        <w:spacing w:line="560" w:lineRule="exact"/>
        <w:ind w:firstLine="640" w:firstLineChars="200"/>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60DE3B62">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135178E4">
      <w:pPr>
        <w:keepNext w:val="0"/>
        <w:keepLines w:val="0"/>
        <w:pageBreakBefore w:val="0"/>
        <w:widowControl w:val="0"/>
        <w:wordWrap/>
        <w:topLinePunct w:val="0"/>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6190385</w:t>
      </w:r>
    </w:p>
    <w:p w14:paraId="20DCA92C">
      <w:pPr>
        <w:keepNext w:val="0"/>
        <w:keepLines w:val="0"/>
        <w:pageBreakBefore w:val="0"/>
        <w:widowControl w:val="0"/>
        <w:wordWrap/>
        <w:topLinePunct w:val="0"/>
        <w:bidi w:val="0"/>
        <w:spacing w:line="560" w:lineRule="exact"/>
        <w:ind w:firstLine="640" w:firstLineChars="200"/>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网上投诉：http://zwfw.yn.gov.cn/</w:t>
      </w:r>
    </w:p>
    <w:p w14:paraId="32D05F8D">
      <w:pPr>
        <w:keepNext w:val="0"/>
        <w:keepLines w:val="0"/>
        <w:pageBreakBefore w:val="0"/>
        <w:widowControl w:val="0"/>
        <w:wordWrap/>
        <w:topLinePunct w:val="0"/>
        <w:bidi w:val="0"/>
        <w:spacing w:line="560" w:lineRule="exact"/>
        <w:ind w:firstLine="640" w:firstLineChars="200"/>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60251A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公民、法人或者其他组织认为具体行政行为侵犯其合法权益的，可以自知道该具体行政行为之日起六十日内向官渡区人民政府提出行政复议，或应当自知道或应当知道作出行政行为之日起六个月内依法向有管辖权的人民法院提起行政诉讼。</w:t>
      </w:r>
    </w:p>
    <w:p w14:paraId="324F0B11">
      <w:pPr>
        <w:keepNext w:val="0"/>
        <w:keepLines w:val="0"/>
        <w:pageBreakBefore w:val="0"/>
        <w:widowControl w:val="0"/>
        <w:wordWrap/>
        <w:topLinePunct w:val="0"/>
        <w:bidi w:val="0"/>
        <w:spacing w:line="560" w:lineRule="exact"/>
        <w:ind w:firstLine="560" w:firstLineChars="200"/>
        <w:textAlignment w:val="auto"/>
        <w:outlineLvl w:val="0"/>
        <w:rPr>
          <w:rFonts w:hint="eastAsia" w:ascii="黑体" w:hAnsi="黑体" w:eastAsia="黑体"/>
          <w:color w:val="auto"/>
          <w:sz w:val="28"/>
          <w:szCs w:val="28"/>
        </w:rPr>
      </w:pPr>
    </w:p>
    <w:p w14:paraId="71093AE5">
      <w:pPr>
        <w:keepNext w:val="0"/>
        <w:keepLines w:val="0"/>
        <w:pageBreakBefore w:val="0"/>
        <w:widowControl w:val="0"/>
        <w:wordWrap/>
        <w:topLinePunct w:val="0"/>
        <w:bidi w:val="0"/>
        <w:spacing w:line="560" w:lineRule="exact"/>
        <w:ind w:firstLine="560" w:firstLineChars="200"/>
        <w:textAlignment w:val="auto"/>
        <w:outlineLvl w:val="0"/>
        <w:rPr>
          <w:rFonts w:hint="eastAsia" w:ascii="黑体" w:hAnsi="黑体" w:eastAsia="黑体"/>
          <w:color w:val="auto"/>
          <w:sz w:val="28"/>
          <w:szCs w:val="28"/>
        </w:rPr>
      </w:pPr>
    </w:p>
    <w:p w14:paraId="69E38537">
      <w:pPr>
        <w:keepNext w:val="0"/>
        <w:keepLines w:val="0"/>
        <w:pageBreakBefore w:val="0"/>
        <w:widowControl w:val="0"/>
        <w:kinsoku w:val="0"/>
        <w:wordWrap/>
        <w:overflowPunct w:val="0"/>
        <w:topLinePunct w:val="0"/>
        <w:bidi w:val="0"/>
        <w:spacing w:line="560" w:lineRule="exact"/>
        <w:ind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附件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行政许可事项办件流程图</w:t>
      </w:r>
    </w:p>
    <w:p w14:paraId="57FC954F">
      <w:pPr>
        <w:keepNext w:val="0"/>
        <w:keepLines w:val="0"/>
        <w:pageBreakBefore w:val="0"/>
        <w:widowControl w:val="0"/>
        <w:kinsoku w:val="0"/>
        <w:wordWrap/>
        <w:overflowPunct w:val="0"/>
        <w:topLinePunct w:val="0"/>
        <w:bidi w:val="0"/>
        <w:spacing w:line="560" w:lineRule="exact"/>
        <w:ind w:firstLine="560" w:firstLineChars="200"/>
        <w:textAlignment w:val="auto"/>
        <w:rPr>
          <w:rFonts w:hint="eastAsia" w:ascii="黑体" w:hAnsi="黑体" w:eastAsia="黑体"/>
          <w:color w:val="auto"/>
          <w:sz w:val="28"/>
          <w:szCs w:val="28"/>
        </w:rPr>
      </w:pPr>
    </w:p>
    <w:p w14:paraId="540FF752">
      <w:pPr>
        <w:keepNext w:val="0"/>
        <w:keepLines w:val="0"/>
        <w:pageBreakBefore w:val="0"/>
        <w:widowControl w:val="0"/>
        <w:kinsoku w:val="0"/>
        <w:wordWrap/>
        <w:overflowPunct w:val="0"/>
        <w:topLinePunct w:val="0"/>
        <w:bidi w:val="0"/>
        <w:spacing w:line="480" w:lineRule="exact"/>
        <w:textAlignment w:val="auto"/>
        <w:rPr>
          <w:rFonts w:hint="eastAsia" w:ascii="黑体" w:hAnsi="黑体" w:eastAsia="黑体"/>
          <w:color w:val="auto"/>
          <w:sz w:val="28"/>
          <w:szCs w:val="28"/>
        </w:rPr>
      </w:pPr>
      <w:r>
        <w:rPr>
          <w:rFonts w:hint="eastAsia" w:ascii="黑体" w:hAnsi="黑体" w:eastAsia="黑体" w:cs="Times New Roman"/>
          <w:b w:val="0"/>
          <w:bCs w:val="0"/>
          <w:sz w:val="28"/>
          <w:szCs w:val="28"/>
          <w:lang w:val="en-US" w:eastAsia="zh-CN"/>
        </w:rPr>
        <w:drawing>
          <wp:anchor distT="0" distB="0" distL="114300" distR="114300" simplePos="0" relativeHeight="251662336" behindDoc="0" locked="0" layoutInCell="1" allowOverlap="1">
            <wp:simplePos x="0" y="0"/>
            <wp:positionH relativeFrom="column">
              <wp:posOffset>-266700</wp:posOffset>
            </wp:positionH>
            <wp:positionV relativeFrom="paragraph">
              <wp:posOffset>561975</wp:posOffset>
            </wp:positionV>
            <wp:extent cx="5918200" cy="701992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6"/>
                    <a:stretch>
                      <a:fillRect/>
                    </a:stretch>
                  </pic:blipFill>
                  <pic:spPr>
                    <a:xfrm>
                      <a:off x="0" y="0"/>
                      <a:ext cx="5918200" cy="7019925"/>
                    </a:xfrm>
                    <a:prstGeom prst="rect">
                      <a:avLst/>
                    </a:prstGeom>
                    <a:noFill/>
                    <a:ln>
                      <a:noFill/>
                    </a:ln>
                  </pic:spPr>
                </pic:pic>
              </a:graphicData>
            </a:graphic>
          </wp:anchor>
        </w:drawing>
      </w:r>
      <w:r>
        <w:rPr>
          <w:rFonts w:hint="eastAsia" w:ascii="黑体" w:hAnsi="黑体" w:eastAsia="黑体"/>
          <w:sz w:val="28"/>
          <w:szCs w:val="28"/>
        </w:rPr>
        <w:t>附件</w:t>
      </w:r>
      <w:r>
        <w:rPr>
          <w:rFonts w:hint="eastAsia" w:ascii="黑体" w:hAnsi="黑体" w:eastAsia="黑体"/>
          <w:color w:val="auto"/>
          <w:sz w:val="28"/>
          <w:szCs w:val="28"/>
          <w:lang w:eastAsia="zh-CN"/>
        </w:rPr>
        <w:t>：</w:t>
      </w:r>
      <w:bookmarkStart w:id="0" w:name="_GoBack"/>
      <w:bookmarkEnd w:id="0"/>
      <w:r>
        <w:rPr>
          <w:rFonts w:hint="eastAsia" w:ascii="黑体" w:hAnsi="黑体" w:eastAsia="黑体"/>
          <w:sz w:val="28"/>
          <w:szCs w:val="28"/>
          <w:lang w:val="en-US" w:eastAsia="zh-CN"/>
        </w:rPr>
        <w:t>行政许可事项办件流程图</w:t>
      </w:r>
    </w:p>
    <w:p w14:paraId="5E1D009C">
      <w:pPr>
        <w:keepNext w:val="0"/>
        <w:keepLines w:val="0"/>
        <w:pageBreakBefore w:val="0"/>
        <w:widowControl w:val="0"/>
        <w:kinsoku w:val="0"/>
        <w:wordWrap/>
        <w:overflowPunct w:val="0"/>
        <w:topLinePunct w:val="0"/>
        <w:bidi w:val="0"/>
        <w:spacing w:line="480" w:lineRule="exact"/>
        <w:textAlignment w:val="auto"/>
        <w:rPr>
          <w:rFonts w:hint="eastAsia" w:ascii="黑体" w:hAnsi="黑体" w:eastAsia="黑体"/>
          <w:color w:val="auto"/>
          <w:sz w:val="28"/>
          <w:szCs w:val="28"/>
        </w:rPr>
      </w:pPr>
    </w:p>
    <w:p w14:paraId="07B41724">
      <w:pPr>
        <w:keepNext w:val="0"/>
        <w:keepLines w:val="0"/>
        <w:pageBreakBefore w:val="0"/>
        <w:widowControl w:val="0"/>
        <w:wordWrap/>
        <w:topLinePunct w:val="0"/>
        <w:bidi w:val="0"/>
        <w:spacing w:line="480" w:lineRule="exact"/>
        <w:textAlignment w:val="auto"/>
        <w:rPr>
          <w:rFonts w:hint="eastAsia" w:ascii="宋体" w:hAnsi="宋体"/>
          <w:color w:val="auto"/>
          <w:sz w:val="24"/>
        </w:rPr>
      </w:pPr>
    </w:p>
    <w:sectPr>
      <w:footerReference r:id="rId3" w:type="default"/>
      <w:footerReference r:id="rId4" w:type="even"/>
      <w:pgSz w:w="11906" w:h="16838"/>
      <w:pgMar w:top="1701" w:right="1389" w:bottom="1587" w:left="1389" w:header="851" w:footer="851" w:gutter="0"/>
      <w:pgNumType w:fmt="decimal" w:start="1"/>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5B747">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50C3C0">
                          <w:pPr>
                            <w:pStyle w:val="7"/>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450C3C0">
                    <w:pPr>
                      <w:pStyle w:val="7"/>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DFD13">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8E566F">
                          <w:pPr>
                            <w:pStyle w:val="7"/>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48E566F">
                    <w:pPr>
                      <w:pStyle w:val="7"/>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3A1540"/>
    <w:multiLevelType w:val="singleLevel"/>
    <w:tmpl w:val="C73A1540"/>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5C56"/>
    <w:rsid w:val="00045DA0"/>
    <w:rsid w:val="00065C07"/>
    <w:rsid w:val="00075347"/>
    <w:rsid w:val="001147F7"/>
    <w:rsid w:val="001308E5"/>
    <w:rsid w:val="00133B2A"/>
    <w:rsid w:val="00153FF8"/>
    <w:rsid w:val="00165892"/>
    <w:rsid w:val="00167297"/>
    <w:rsid w:val="001831D1"/>
    <w:rsid w:val="001A043E"/>
    <w:rsid w:val="001D1619"/>
    <w:rsid w:val="001D4771"/>
    <w:rsid w:val="00202998"/>
    <w:rsid w:val="0020446E"/>
    <w:rsid w:val="00220F82"/>
    <w:rsid w:val="00232957"/>
    <w:rsid w:val="0024296B"/>
    <w:rsid w:val="00247856"/>
    <w:rsid w:val="002724C4"/>
    <w:rsid w:val="002874EA"/>
    <w:rsid w:val="002877D4"/>
    <w:rsid w:val="002A3093"/>
    <w:rsid w:val="002C0416"/>
    <w:rsid w:val="002D3363"/>
    <w:rsid w:val="002E377B"/>
    <w:rsid w:val="002F0277"/>
    <w:rsid w:val="0030235A"/>
    <w:rsid w:val="00331D65"/>
    <w:rsid w:val="003564D9"/>
    <w:rsid w:val="003631C5"/>
    <w:rsid w:val="00367D45"/>
    <w:rsid w:val="00374820"/>
    <w:rsid w:val="00380B62"/>
    <w:rsid w:val="003A2A69"/>
    <w:rsid w:val="003C7B8B"/>
    <w:rsid w:val="00414666"/>
    <w:rsid w:val="004206C4"/>
    <w:rsid w:val="00421E9D"/>
    <w:rsid w:val="00487204"/>
    <w:rsid w:val="004A0470"/>
    <w:rsid w:val="004B00E0"/>
    <w:rsid w:val="004D1429"/>
    <w:rsid w:val="004E06F4"/>
    <w:rsid w:val="004E251A"/>
    <w:rsid w:val="004E62E2"/>
    <w:rsid w:val="004F7CC6"/>
    <w:rsid w:val="00502F03"/>
    <w:rsid w:val="00513B10"/>
    <w:rsid w:val="00513C0B"/>
    <w:rsid w:val="00520801"/>
    <w:rsid w:val="00530B51"/>
    <w:rsid w:val="0053527D"/>
    <w:rsid w:val="00535557"/>
    <w:rsid w:val="00536975"/>
    <w:rsid w:val="0054029A"/>
    <w:rsid w:val="005413CD"/>
    <w:rsid w:val="0054444A"/>
    <w:rsid w:val="00546F0B"/>
    <w:rsid w:val="00556064"/>
    <w:rsid w:val="00564B0A"/>
    <w:rsid w:val="00584177"/>
    <w:rsid w:val="005C773B"/>
    <w:rsid w:val="005D3437"/>
    <w:rsid w:val="005E31B8"/>
    <w:rsid w:val="005E65AA"/>
    <w:rsid w:val="00611D7E"/>
    <w:rsid w:val="00612B21"/>
    <w:rsid w:val="0064468B"/>
    <w:rsid w:val="00675ED5"/>
    <w:rsid w:val="00677B91"/>
    <w:rsid w:val="006871D7"/>
    <w:rsid w:val="006961FF"/>
    <w:rsid w:val="006A7ED2"/>
    <w:rsid w:val="006B13ED"/>
    <w:rsid w:val="006C1BD5"/>
    <w:rsid w:val="006C4E6C"/>
    <w:rsid w:val="006D21B2"/>
    <w:rsid w:val="006D576B"/>
    <w:rsid w:val="007138DB"/>
    <w:rsid w:val="007168AB"/>
    <w:rsid w:val="00735E1B"/>
    <w:rsid w:val="00752323"/>
    <w:rsid w:val="007754D5"/>
    <w:rsid w:val="007762B5"/>
    <w:rsid w:val="00782701"/>
    <w:rsid w:val="00786094"/>
    <w:rsid w:val="00794492"/>
    <w:rsid w:val="007A1F07"/>
    <w:rsid w:val="007B0CDE"/>
    <w:rsid w:val="007B359B"/>
    <w:rsid w:val="007D5C50"/>
    <w:rsid w:val="007E5E6F"/>
    <w:rsid w:val="0080774A"/>
    <w:rsid w:val="00813C42"/>
    <w:rsid w:val="0083582A"/>
    <w:rsid w:val="00843AC2"/>
    <w:rsid w:val="00854B81"/>
    <w:rsid w:val="00865989"/>
    <w:rsid w:val="00874B00"/>
    <w:rsid w:val="00882720"/>
    <w:rsid w:val="008902E1"/>
    <w:rsid w:val="00897857"/>
    <w:rsid w:val="008A3691"/>
    <w:rsid w:val="008B7F14"/>
    <w:rsid w:val="008D37A2"/>
    <w:rsid w:val="008D4FF7"/>
    <w:rsid w:val="008F0A0C"/>
    <w:rsid w:val="00904063"/>
    <w:rsid w:val="00910316"/>
    <w:rsid w:val="00911EED"/>
    <w:rsid w:val="00922DFC"/>
    <w:rsid w:val="00933320"/>
    <w:rsid w:val="00935A8A"/>
    <w:rsid w:val="00946906"/>
    <w:rsid w:val="0095789E"/>
    <w:rsid w:val="00957D6A"/>
    <w:rsid w:val="00963B5C"/>
    <w:rsid w:val="009702DC"/>
    <w:rsid w:val="00990470"/>
    <w:rsid w:val="00995B4D"/>
    <w:rsid w:val="009B4D3C"/>
    <w:rsid w:val="009D4079"/>
    <w:rsid w:val="009D4B63"/>
    <w:rsid w:val="009D7177"/>
    <w:rsid w:val="009E2F66"/>
    <w:rsid w:val="009F3874"/>
    <w:rsid w:val="009F610C"/>
    <w:rsid w:val="00A000CA"/>
    <w:rsid w:val="00A247F4"/>
    <w:rsid w:val="00A30C5F"/>
    <w:rsid w:val="00A40505"/>
    <w:rsid w:val="00A4291E"/>
    <w:rsid w:val="00A55770"/>
    <w:rsid w:val="00A607C7"/>
    <w:rsid w:val="00A83B55"/>
    <w:rsid w:val="00A9396A"/>
    <w:rsid w:val="00A94BAC"/>
    <w:rsid w:val="00AA1460"/>
    <w:rsid w:val="00AC59B0"/>
    <w:rsid w:val="00AD2BBB"/>
    <w:rsid w:val="00AD5302"/>
    <w:rsid w:val="00AD6E42"/>
    <w:rsid w:val="00AE66C0"/>
    <w:rsid w:val="00B023D6"/>
    <w:rsid w:val="00B209D2"/>
    <w:rsid w:val="00B23E39"/>
    <w:rsid w:val="00B27C91"/>
    <w:rsid w:val="00B46D94"/>
    <w:rsid w:val="00B61964"/>
    <w:rsid w:val="00B765C5"/>
    <w:rsid w:val="00B97AFE"/>
    <w:rsid w:val="00BB75F4"/>
    <w:rsid w:val="00BD3962"/>
    <w:rsid w:val="00BE5A30"/>
    <w:rsid w:val="00BF0244"/>
    <w:rsid w:val="00C001CD"/>
    <w:rsid w:val="00C04504"/>
    <w:rsid w:val="00C14AAA"/>
    <w:rsid w:val="00C1612E"/>
    <w:rsid w:val="00C36931"/>
    <w:rsid w:val="00C438E8"/>
    <w:rsid w:val="00C520CA"/>
    <w:rsid w:val="00C52E78"/>
    <w:rsid w:val="00C7286D"/>
    <w:rsid w:val="00C729E6"/>
    <w:rsid w:val="00C7788C"/>
    <w:rsid w:val="00C96ECC"/>
    <w:rsid w:val="00CF2F41"/>
    <w:rsid w:val="00D14D5D"/>
    <w:rsid w:val="00D515C9"/>
    <w:rsid w:val="00D6713D"/>
    <w:rsid w:val="00D767FB"/>
    <w:rsid w:val="00D8175A"/>
    <w:rsid w:val="00DA4A90"/>
    <w:rsid w:val="00DC7F2E"/>
    <w:rsid w:val="00DD1EB1"/>
    <w:rsid w:val="00DF518E"/>
    <w:rsid w:val="00DF7469"/>
    <w:rsid w:val="00E505A5"/>
    <w:rsid w:val="00E552DB"/>
    <w:rsid w:val="00E6289D"/>
    <w:rsid w:val="00E65F77"/>
    <w:rsid w:val="00EC0308"/>
    <w:rsid w:val="00EC5BEC"/>
    <w:rsid w:val="00EC77F9"/>
    <w:rsid w:val="00F03334"/>
    <w:rsid w:val="00F10C33"/>
    <w:rsid w:val="00F15755"/>
    <w:rsid w:val="00F30B5B"/>
    <w:rsid w:val="00F32F4C"/>
    <w:rsid w:val="00F3419D"/>
    <w:rsid w:val="00F51AE2"/>
    <w:rsid w:val="00F74929"/>
    <w:rsid w:val="00F97634"/>
    <w:rsid w:val="00F97A36"/>
    <w:rsid w:val="00FA11CF"/>
    <w:rsid w:val="00FC315D"/>
    <w:rsid w:val="0172609F"/>
    <w:rsid w:val="032F58CA"/>
    <w:rsid w:val="042E0960"/>
    <w:rsid w:val="06322E76"/>
    <w:rsid w:val="07454014"/>
    <w:rsid w:val="0B0B7079"/>
    <w:rsid w:val="0C7B6D08"/>
    <w:rsid w:val="0CAE1471"/>
    <w:rsid w:val="0F2F4146"/>
    <w:rsid w:val="0FC8328E"/>
    <w:rsid w:val="0FE103EA"/>
    <w:rsid w:val="10D4067E"/>
    <w:rsid w:val="123C69C8"/>
    <w:rsid w:val="137D1F17"/>
    <w:rsid w:val="14045C17"/>
    <w:rsid w:val="14683309"/>
    <w:rsid w:val="1772798B"/>
    <w:rsid w:val="19FA20D5"/>
    <w:rsid w:val="1AA37333"/>
    <w:rsid w:val="1F422CCE"/>
    <w:rsid w:val="1F867FD1"/>
    <w:rsid w:val="218A59BD"/>
    <w:rsid w:val="22F676D6"/>
    <w:rsid w:val="255C5B62"/>
    <w:rsid w:val="25651CD6"/>
    <w:rsid w:val="2D071286"/>
    <w:rsid w:val="2F2C4261"/>
    <w:rsid w:val="32435F99"/>
    <w:rsid w:val="34BA3619"/>
    <w:rsid w:val="360F44A7"/>
    <w:rsid w:val="36977DE8"/>
    <w:rsid w:val="3810372D"/>
    <w:rsid w:val="386171B0"/>
    <w:rsid w:val="38831B13"/>
    <w:rsid w:val="3A1D4458"/>
    <w:rsid w:val="3C1D5746"/>
    <w:rsid w:val="403413BE"/>
    <w:rsid w:val="42CC625A"/>
    <w:rsid w:val="43A77516"/>
    <w:rsid w:val="447415F5"/>
    <w:rsid w:val="4616430F"/>
    <w:rsid w:val="468C2685"/>
    <w:rsid w:val="47012D81"/>
    <w:rsid w:val="47DF5A9F"/>
    <w:rsid w:val="48262CED"/>
    <w:rsid w:val="483A2D0B"/>
    <w:rsid w:val="4AAE1B0B"/>
    <w:rsid w:val="4AD87AC0"/>
    <w:rsid w:val="4B191E69"/>
    <w:rsid w:val="4B737508"/>
    <w:rsid w:val="4C08617B"/>
    <w:rsid w:val="4DC90F0E"/>
    <w:rsid w:val="4F2E5F75"/>
    <w:rsid w:val="55A63240"/>
    <w:rsid w:val="55ED51CC"/>
    <w:rsid w:val="56E55696"/>
    <w:rsid w:val="572A269B"/>
    <w:rsid w:val="58270AB3"/>
    <w:rsid w:val="58744274"/>
    <w:rsid w:val="589478B9"/>
    <w:rsid w:val="58FD5116"/>
    <w:rsid w:val="59451CAF"/>
    <w:rsid w:val="5A6B5026"/>
    <w:rsid w:val="5A760E74"/>
    <w:rsid w:val="5B9E700B"/>
    <w:rsid w:val="5BD45EC3"/>
    <w:rsid w:val="5C1B45EE"/>
    <w:rsid w:val="5D1252CA"/>
    <w:rsid w:val="601D2709"/>
    <w:rsid w:val="60473770"/>
    <w:rsid w:val="60690F55"/>
    <w:rsid w:val="6187483B"/>
    <w:rsid w:val="61904FFE"/>
    <w:rsid w:val="624C073D"/>
    <w:rsid w:val="64FD3EA3"/>
    <w:rsid w:val="684C51B0"/>
    <w:rsid w:val="68CF5BDF"/>
    <w:rsid w:val="69613BF1"/>
    <w:rsid w:val="6A1919BD"/>
    <w:rsid w:val="6BD60DE5"/>
    <w:rsid w:val="6D96514F"/>
    <w:rsid w:val="705F52A1"/>
    <w:rsid w:val="71EA56AF"/>
    <w:rsid w:val="73636AF0"/>
    <w:rsid w:val="73D37366"/>
    <w:rsid w:val="76050398"/>
    <w:rsid w:val="762921D6"/>
    <w:rsid w:val="768511C8"/>
    <w:rsid w:val="7934185D"/>
    <w:rsid w:val="7A364BF2"/>
    <w:rsid w:val="7ABC2003"/>
    <w:rsid w:val="7C8C27AE"/>
    <w:rsid w:val="7F6C0C7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qFormat/>
    <w:uiPriority w:val="0"/>
  </w:style>
  <w:style w:type="table" w:default="1" w:styleId="12">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afterLines="0"/>
    </w:pPr>
  </w:style>
  <w:style w:type="paragraph" w:styleId="3">
    <w:name w:val="Document Map"/>
    <w:basedOn w:val="1"/>
    <w:qFormat/>
    <w:uiPriority w:val="0"/>
    <w:pPr>
      <w:shd w:val="clear" w:color="auto" w:fill="000080"/>
    </w:pPr>
  </w:style>
  <w:style w:type="paragraph" w:styleId="4">
    <w:name w:val="annotation text"/>
    <w:qFormat/>
    <w:uiPriority w:val="0"/>
    <w:rPr>
      <w:rFonts w:ascii="Times New Roman" w:hAnsi="Times New Roman" w:eastAsia="宋体" w:cs="Times New Roman"/>
      <w:lang w:val="en-US" w:eastAsia="zh-CN" w:bidi="ar-SA"/>
    </w:rPr>
  </w:style>
  <w:style w:type="paragraph" w:styleId="5">
    <w:name w:val="Body Text Indent"/>
    <w:basedOn w:val="1"/>
    <w:qFormat/>
    <w:uiPriority w:val="0"/>
    <w:pPr>
      <w:spacing w:after="120" w:afterLines="0"/>
      <w:ind w:left="420" w:leftChars="200"/>
    </w:pPr>
  </w:style>
  <w:style w:type="paragraph" w:styleId="6">
    <w:name w:val="Balloon Text"/>
    <w:basedOn w:val="1"/>
    <w:link w:val="18"/>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uiPriority w:val="0"/>
    <w:pPr>
      <w:spacing w:after="120" w:afterLines="0"/>
      <w:ind w:left="420" w:leftChars="200"/>
    </w:pPr>
    <w:rPr>
      <w:sz w:val="16"/>
      <w:szCs w:val="16"/>
    </w:rPr>
  </w:style>
  <w:style w:type="paragraph" w:styleId="10">
    <w:name w:val="Body Text 2"/>
    <w:basedOn w:val="1"/>
    <w:uiPriority w:val="0"/>
    <w:pPr>
      <w:spacing w:after="120" w:afterLines="0" w:line="480" w:lineRule="auto"/>
    </w:pPr>
  </w:style>
  <w:style w:type="paragraph" w:styleId="11">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qFormat/>
    <w:uiPriority w:val="0"/>
    <w:rPr>
      <w:b/>
      <w:bCs/>
    </w:rPr>
  </w:style>
  <w:style w:type="character" w:styleId="16">
    <w:name w:val="page number"/>
    <w:basedOn w:val="14"/>
    <w:qFormat/>
    <w:uiPriority w:val="0"/>
  </w:style>
  <w:style w:type="character" w:styleId="17">
    <w:name w:val="Hyperlink"/>
    <w:qFormat/>
    <w:uiPriority w:val="0"/>
    <w:rPr>
      <w:color w:val="0000FF"/>
      <w:u w:val="single"/>
    </w:rPr>
  </w:style>
  <w:style w:type="character" w:customStyle="1" w:styleId="18">
    <w:name w:val="批注框文本 Char"/>
    <w:link w:val="6"/>
    <w:qFormat/>
    <w:uiPriority w:val="0"/>
    <w:rPr>
      <w:kern w:val="2"/>
      <w:sz w:val="18"/>
      <w:szCs w:val="18"/>
    </w:rPr>
  </w:style>
  <w:style w:type="character" w:customStyle="1" w:styleId="19">
    <w:name w:val="段 Char Char"/>
    <w:link w:val="20"/>
    <w:qFormat/>
    <w:uiPriority w:val="0"/>
    <w:rPr>
      <w:rFonts w:ascii="宋体"/>
      <w:sz w:val="21"/>
      <w:lang w:val="en-US" w:eastAsia="zh-CN" w:bidi="ar-SA"/>
    </w:rPr>
  </w:style>
  <w:style w:type="paragraph" w:customStyle="1" w:styleId="20">
    <w:name w:val="段"/>
    <w:link w:val="19"/>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1">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22">
    <w:name w:val=" Char Char Char1 Char Char Char Char Char Char Char Char Char Char Char Char Char"/>
    <w:basedOn w:val="1"/>
    <w:qFormat/>
    <w:uiPriority w:val="0"/>
  </w:style>
  <w:style w:type="paragraph" w:customStyle="1" w:styleId="23">
    <w:name w:val=" Char Char1 Char Char Char Char"/>
    <w:basedOn w:val="1"/>
    <w:qFormat/>
    <w:uiPriority w:val="0"/>
    <w:pPr>
      <w:widowControl/>
      <w:spacing w:after="160" w:afterLines="0" w:line="240" w:lineRule="exact"/>
      <w:jc w:val="left"/>
    </w:pPr>
  </w:style>
  <w:style w:type="paragraph" w:customStyle="1" w:styleId="24">
    <w:name w:val="要求"/>
    <w:basedOn w:val="20"/>
    <w:qFormat/>
    <w:uiPriority w:val="0"/>
    <w:pPr>
      <w:adjustRightInd w:val="0"/>
      <w:snapToGrid w:val="0"/>
      <w:ind w:left="200" w:leftChars="200" w:firstLine="200"/>
    </w:pPr>
  </w:style>
  <w:style w:type="paragraph" w:customStyle="1" w:styleId="25">
    <w:name w:val="Table Paragraph"/>
    <w:basedOn w:val="1"/>
    <w:qFormat/>
    <w:uiPriority w:val="0"/>
    <w:pPr>
      <w:autoSpaceDE w:val="0"/>
      <w:autoSpaceDN w:val="0"/>
      <w:adjustRightInd w:val="0"/>
      <w:jc w:val="left"/>
    </w:pPr>
    <w:rPr>
      <w:kern w:val="0"/>
      <w:sz w:val="24"/>
    </w:rPr>
  </w:style>
  <w:style w:type="paragraph" w:customStyle="1" w:styleId="26">
    <w:name w:val="p0"/>
    <w:basedOn w:val="1"/>
    <w:qFormat/>
    <w:uiPriority w:val="0"/>
    <w:pPr>
      <w:widowControl/>
    </w:pPr>
    <w:rPr>
      <w:kern w:val="0"/>
      <w:szCs w:val="21"/>
    </w:rPr>
  </w:style>
  <w:style w:type="paragraph" w:customStyle="1" w:styleId="27">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styleId="28">
    <w:name w:val="List Paragraph"/>
    <w:basedOn w:val="1"/>
    <w:qFormat/>
    <w:uiPriority w:val="34"/>
    <w:pPr>
      <w:ind w:firstLine="420" w:firstLineChars="200"/>
    </w:pPr>
    <w:rPr>
      <w:rFonts w:ascii="Calibri" w:hAnsi="Calibri" w:eastAsia="宋体" w:cs="Times New Roman"/>
      <w:szCs w:val="22"/>
    </w:rPr>
  </w:style>
  <w:style w:type="paragraph" w:customStyle="1" w:styleId="29">
    <w:name w:val="Char Char1 Char Char Char Char"/>
    <w:basedOn w:val="1"/>
    <w:qFormat/>
    <w:uiPriority w:val="0"/>
    <w:pPr>
      <w:widowControl/>
      <w:spacing w:after="160" w:afterLines="0" w:line="240" w:lineRule="exact"/>
      <w:jc w:val="left"/>
    </w:pPr>
  </w:style>
  <w:style w:type="paragraph" w:customStyle="1" w:styleId="30">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1">
    <w:name w:val="示例×："/>
    <w:basedOn w:val="1"/>
    <w:qFormat/>
    <w:uiPriority w:val="0"/>
    <w:pPr>
      <w:widowControl/>
      <w:ind w:left="205" w:firstLine="363"/>
    </w:pPr>
    <w:rPr>
      <w:rFonts w:ascii="宋体"/>
      <w:kern w:val="0"/>
      <w:sz w:val="18"/>
      <w:szCs w:val="18"/>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microsoft.com/office/2006/relationships/keyMapCustomizations" Target="customizations.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7590</Words>
  <Characters>8247</Characters>
  <Lines>28</Lines>
  <Paragraphs>8</Paragraphs>
  <TotalTime>6</TotalTime>
  <ScaleCrop>false</ScaleCrop>
  <LinksUpToDate>false</LinksUpToDate>
  <CharactersWithSpaces>8377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2019-05-14T07:43:00Z</dcterms:created>
  <dc:creator>bys09</dc:creator>
  <cp:lastModifiedBy>区政务服务管理局）【收文员】（行政审批局、公共资源交易管理局）</cp:lastModifiedBy>
  <cp:lastPrinted>2026-10-22T07:41:00Z</cp:lastPrinted>
  <dcterms:modified xsi:type="dcterms:W3CDTF">2026-10-23T01:52:20Z</dcterms:modified>
  <dc:title>制造计量器具许可</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D17548CC407C4C1C989C7C61F7A9EC6A</vt:lpwstr>
  </property>
  <property fmtid="{D5CDD505-2E9C-101B-9397-08002B2CF9AE}" pid="4" name="KSOTemplateDocerSaveRecord">
    <vt:lpwstr>eyJoZGlkIjoiMjdkYzk3MjQ4NzlkY2IyNTgyZTU4MjQ5MjhmMjFmNjIifQ==</vt:lpwstr>
  </property>
</Properties>
</file>