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158C7">
      <w:pPr>
        <w:keepNext w:val="0"/>
        <w:keepLines w:val="0"/>
        <w:pageBreakBefore w:val="0"/>
        <w:kinsoku/>
        <w:overflowPunct/>
        <w:topLinePunct w:val="0"/>
        <w:autoSpaceDE/>
        <w:autoSpaceDN/>
        <w:bidi w:val="0"/>
        <w:adjustRightInd/>
        <w:jc w:val="center"/>
        <w:textAlignment w:val="auto"/>
        <w:outlineLvl w:val="0"/>
        <w:rPr>
          <w:rFonts w:hint="default" w:ascii="Times New Roman" w:hAnsi="Times New Roman" w:eastAsia="方正小标宋简体" w:cs="Times New Roman"/>
          <w:i w:val="0"/>
          <w:iCs w:val="0"/>
          <w:caps w:val="0"/>
          <w:color w:val="333333"/>
          <w:spacing w:val="0"/>
          <w:kern w:val="0"/>
          <w:sz w:val="30"/>
          <w:szCs w:val="30"/>
          <w:shd w:val="clear" w:fill="FFFFFF"/>
          <w:lang w:val="en-US" w:eastAsia="zh-CN" w:bidi="ar"/>
        </w:rPr>
      </w:pPr>
      <w:r>
        <w:rPr>
          <w:rFonts w:hint="default" w:ascii="Times New Roman" w:hAnsi="Times New Roman" w:eastAsia="方正小标宋简体" w:cs="Times New Roman"/>
          <w:i w:val="0"/>
          <w:iCs w:val="0"/>
          <w:caps w:val="0"/>
          <w:color w:val="333333"/>
          <w:spacing w:val="0"/>
          <w:kern w:val="0"/>
          <w:sz w:val="30"/>
          <w:szCs w:val="30"/>
          <w:shd w:val="clear" w:fill="FFFFFF"/>
          <w:lang w:val="zh-CN" w:eastAsia="zh-CN" w:bidi="ar"/>
        </w:rPr>
        <w:t>官渡区官渡街道社区卫生服务中心</w:t>
      </w:r>
      <w:r>
        <w:rPr>
          <w:rFonts w:hint="default" w:ascii="Times New Roman" w:hAnsi="Times New Roman" w:eastAsia="方正小标宋简体" w:cs="Times New Roman"/>
          <w:i w:val="0"/>
          <w:iCs w:val="0"/>
          <w:caps w:val="0"/>
          <w:color w:val="333333"/>
          <w:spacing w:val="0"/>
          <w:kern w:val="0"/>
          <w:sz w:val="30"/>
          <w:szCs w:val="30"/>
          <w:shd w:val="clear" w:fill="FFFFFF"/>
          <w:lang w:val="en-US" w:eastAsia="zh-CN" w:bidi="ar"/>
        </w:rPr>
        <w:t>2025年度部门决算</w:t>
      </w:r>
    </w:p>
    <w:p w14:paraId="7A7E7662">
      <w:pPr>
        <w:keepNext w:val="0"/>
        <w:keepLines w:val="0"/>
        <w:pageBreakBefore w:val="0"/>
        <w:kinsoku/>
        <w:overflowPunct/>
        <w:topLinePunct w:val="0"/>
        <w:autoSpaceDE/>
        <w:autoSpaceDN/>
        <w:bidi w:val="0"/>
        <w:adjustRightInd/>
        <w:jc w:val="center"/>
        <w:textAlignment w:val="auto"/>
        <w:outlineLvl w:val="0"/>
        <w:rPr>
          <w:rFonts w:hint="default" w:ascii="Times New Roman" w:hAnsi="Times New Roman" w:eastAsia="方正小标宋简体" w:cs="Times New Roman"/>
          <w:i w:val="0"/>
          <w:iCs w:val="0"/>
          <w:caps w:val="0"/>
          <w:color w:val="333333"/>
          <w:spacing w:val="0"/>
          <w:kern w:val="0"/>
          <w:sz w:val="30"/>
          <w:szCs w:val="30"/>
          <w:shd w:val="clear" w:fill="FFFFFF"/>
          <w:lang w:val="en-US" w:eastAsia="zh-CN" w:bidi="ar"/>
        </w:rPr>
      </w:pPr>
      <w:r>
        <w:rPr>
          <w:rFonts w:hint="default" w:ascii="Times New Roman" w:hAnsi="Times New Roman" w:eastAsia="方正小标宋简体" w:cs="Times New Roman"/>
          <w:i w:val="0"/>
          <w:iCs w:val="0"/>
          <w:caps w:val="0"/>
          <w:color w:val="333333"/>
          <w:spacing w:val="0"/>
          <w:kern w:val="0"/>
          <w:sz w:val="30"/>
          <w:szCs w:val="30"/>
          <w:shd w:val="clear" w:fill="FFFFFF"/>
          <w:lang w:val="en-US" w:eastAsia="zh-CN" w:bidi="ar"/>
        </w:rPr>
        <w:t>目录</w:t>
      </w:r>
    </w:p>
    <w:p w14:paraId="561E8170">
      <w:pPr>
        <w:keepNext w:val="0"/>
        <w:keepLines w:val="0"/>
        <w:pageBreakBefore w:val="0"/>
        <w:kinsoku/>
        <w:overflowPunct/>
        <w:topLinePunct w:val="0"/>
        <w:autoSpaceDE/>
        <w:autoSpaceDN/>
        <w:bidi w:val="0"/>
        <w:adjustRightInd/>
        <w:jc w:val="both"/>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第一部分  </w:t>
      </w:r>
      <w:r>
        <w:rPr>
          <w:rFonts w:hint="default" w:ascii="Times New Roman" w:hAnsi="Times New Roman" w:eastAsia="黑体" w:cs="Times New Roman"/>
          <w:sz w:val="30"/>
          <w:szCs w:val="30"/>
          <w:highlight w:val="none"/>
          <w:lang w:eastAsia="zh-CN"/>
        </w:rPr>
        <w:t>单位</w:t>
      </w:r>
      <w:r>
        <w:rPr>
          <w:rFonts w:hint="default" w:ascii="Times New Roman" w:hAnsi="Times New Roman" w:eastAsia="黑体" w:cs="Times New Roman"/>
          <w:sz w:val="30"/>
          <w:szCs w:val="30"/>
          <w:highlight w:val="none"/>
        </w:rPr>
        <w:t>概况</w:t>
      </w:r>
    </w:p>
    <w:p w14:paraId="0EA28D6C">
      <w:pPr>
        <w:keepNext w:val="0"/>
        <w:keepLines w:val="0"/>
        <w:pageBreakBefore w:val="0"/>
        <w:kinsoku/>
        <w:overflowPunct/>
        <w:topLinePunct w:val="0"/>
        <w:autoSpaceDE/>
        <w:autoSpaceDN/>
        <w:bidi w:val="0"/>
        <w:adjustRightInd/>
        <w:spacing w:line="240" w:lineRule="atLeast"/>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rPr>
        <w:t>一、主要职</w:t>
      </w:r>
      <w:r>
        <w:rPr>
          <w:rFonts w:hint="default" w:ascii="Times New Roman" w:hAnsi="Times New Roman" w:eastAsia="楷体" w:cs="Times New Roman"/>
          <w:sz w:val="30"/>
          <w:szCs w:val="30"/>
          <w:highlight w:val="none"/>
          <w:lang w:eastAsia="zh-CN"/>
        </w:rPr>
        <w:t>责</w:t>
      </w:r>
    </w:p>
    <w:p w14:paraId="68927087">
      <w:pPr>
        <w:keepNext w:val="0"/>
        <w:keepLines w:val="0"/>
        <w:pageBreakBefore w:val="0"/>
        <w:kinsoku/>
        <w:overflowPunct/>
        <w:topLinePunct w:val="0"/>
        <w:autoSpaceDE/>
        <w:autoSpaceDN/>
        <w:bidi w:val="0"/>
        <w:adjustRightInd/>
        <w:spacing w:line="240" w:lineRule="atLeast"/>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rPr>
        <w:t>二、</w:t>
      </w:r>
      <w:r>
        <w:rPr>
          <w:rFonts w:hint="default" w:ascii="Times New Roman" w:hAnsi="Times New Roman" w:eastAsia="楷体" w:cs="Times New Roman"/>
          <w:sz w:val="30"/>
          <w:szCs w:val="30"/>
          <w:highlight w:val="none"/>
          <w:lang w:eastAsia="zh-CN"/>
        </w:rPr>
        <w:t>基本情况</w:t>
      </w:r>
    </w:p>
    <w:p w14:paraId="24223D92">
      <w:pPr>
        <w:keepNext w:val="0"/>
        <w:keepLines w:val="0"/>
        <w:pageBreakBefore w:val="0"/>
        <w:kinsoku/>
        <w:overflowPunct/>
        <w:topLinePunct w:val="0"/>
        <w:autoSpaceDE/>
        <w:autoSpaceDN/>
        <w:bidi w:val="0"/>
        <w:adjustRightInd/>
        <w:spacing w:line="240" w:lineRule="atLeast"/>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lang w:eastAsia="zh-CN"/>
        </w:rPr>
        <w:t>三、重点工作概述</w:t>
      </w:r>
    </w:p>
    <w:p w14:paraId="3273F420">
      <w:pPr>
        <w:keepNext w:val="0"/>
        <w:keepLines w:val="0"/>
        <w:pageBreakBefore w:val="0"/>
        <w:kinsoku/>
        <w:overflowPunct/>
        <w:topLinePunct w:val="0"/>
        <w:autoSpaceDE/>
        <w:autoSpaceDN/>
        <w:bidi w:val="0"/>
        <w:adjustRightInd/>
        <w:jc w:val="both"/>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第二部分  </w:t>
      </w:r>
      <w:r>
        <w:rPr>
          <w:rFonts w:hint="default" w:ascii="Times New Roman" w:hAnsi="Times New Roman" w:eastAsia="黑体" w:cs="Times New Roman"/>
          <w:sz w:val="30"/>
          <w:szCs w:val="30"/>
          <w:highlight w:val="none"/>
          <w:lang w:val="en-US" w:eastAsia="zh-CN"/>
        </w:rPr>
        <w:t>2025年度</w:t>
      </w:r>
      <w:r>
        <w:rPr>
          <w:rFonts w:hint="default" w:ascii="Times New Roman" w:hAnsi="Times New Roman" w:eastAsia="黑体" w:cs="Times New Roman"/>
          <w:sz w:val="30"/>
          <w:szCs w:val="30"/>
          <w:highlight w:val="none"/>
        </w:rPr>
        <w:t>部门决算表</w:t>
      </w:r>
    </w:p>
    <w:p w14:paraId="6DA43246">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一、收入支出决算表</w:t>
      </w:r>
    </w:p>
    <w:p w14:paraId="2F80D0CC">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二、收入决算表</w:t>
      </w:r>
    </w:p>
    <w:p w14:paraId="50F1C4F7">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三、支出决算表</w:t>
      </w:r>
    </w:p>
    <w:p w14:paraId="2E67D9F1">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四、财政拨款收入支出决算表</w:t>
      </w:r>
    </w:p>
    <w:p w14:paraId="3625F970">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五、一般公共预算财政拨款收入支出决算表</w:t>
      </w:r>
    </w:p>
    <w:p w14:paraId="609213EE">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六、一般公共预算财政拨款基本支出决算表</w:t>
      </w:r>
    </w:p>
    <w:p w14:paraId="6AF5A5E5">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rPr>
        <w:t>七、</w:t>
      </w:r>
      <w:r>
        <w:rPr>
          <w:rFonts w:hint="default" w:ascii="Times New Roman" w:hAnsi="Times New Roman" w:eastAsia="楷体" w:cs="Times New Roman"/>
          <w:sz w:val="30"/>
          <w:szCs w:val="30"/>
          <w:highlight w:val="none"/>
          <w:lang w:eastAsia="zh-CN"/>
        </w:rPr>
        <w:t>一般公共预算财政拨款项目支出决算表</w:t>
      </w:r>
    </w:p>
    <w:p w14:paraId="096D3F13">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lang w:eastAsia="zh-CN"/>
        </w:rPr>
        <w:t>八</w:t>
      </w:r>
      <w:r>
        <w:rPr>
          <w:rFonts w:hint="default" w:ascii="Times New Roman" w:hAnsi="Times New Roman" w:eastAsia="楷体" w:cs="Times New Roman"/>
          <w:sz w:val="30"/>
          <w:szCs w:val="30"/>
          <w:highlight w:val="none"/>
        </w:rPr>
        <w:t>、政府性基金预算财政拨款收入支出决算表</w:t>
      </w:r>
    </w:p>
    <w:p w14:paraId="2969F622">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val="en-US" w:eastAsia="zh-CN"/>
        </w:rPr>
      </w:pPr>
      <w:r>
        <w:rPr>
          <w:rFonts w:hint="default" w:ascii="Times New Roman" w:hAnsi="Times New Roman" w:eastAsia="楷体" w:cs="Times New Roman"/>
          <w:sz w:val="30"/>
          <w:szCs w:val="30"/>
          <w:highlight w:val="none"/>
          <w:lang w:val="en-US" w:eastAsia="zh-CN"/>
        </w:rPr>
        <w:t>九、国有资本经营预算财政拨款收入支出决算表</w:t>
      </w:r>
    </w:p>
    <w:p w14:paraId="7FFBDF98">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lang w:eastAsia="zh-CN"/>
        </w:rPr>
        <w:t>十</w:t>
      </w:r>
      <w:r>
        <w:rPr>
          <w:rFonts w:hint="default" w:ascii="Times New Roman" w:hAnsi="Times New Roman" w:eastAsia="楷体" w:cs="Times New Roman"/>
          <w:sz w:val="30"/>
          <w:szCs w:val="30"/>
          <w:highlight w:val="none"/>
        </w:rPr>
        <w:t>、</w:t>
      </w:r>
      <w:r>
        <w:rPr>
          <w:rFonts w:hint="default" w:ascii="Times New Roman" w:hAnsi="Times New Roman" w:eastAsia="楷体" w:cs="Times New Roman"/>
          <w:sz w:val="30"/>
          <w:szCs w:val="30"/>
          <w:highlight w:val="none"/>
          <w:lang w:eastAsia="zh-CN"/>
        </w:rPr>
        <w:t>财政拨款</w:t>
      </w:r>
      <w:r>
        <w:rPr>
          <w:rFonts w:hint="default" w:ascii="Times New Roman" w:hAnsi="Times New Roman" w:eastAsia="楷体" w:cs="Times New Roman"/>
          <w:sz w:val="30"/>
          <w:szCs w:val="30"/>
          <w:highlight w:val="none"/>
        </w:rPr>
        <w:t>“三公”经费、行政参公单位机关运行经费情况表</w:t>
      </w:r>
    </w:p>
    <w:p w14:paraId="013787BC">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val="en-US" w:eastAsia="zh-CN"/>
        </w:rPr>
      </w:pPr>
      <w:r>
        <w:rPr>
          <w:rFonts w:hint="default" w:ascii="Times New Roman" w:hAnsi="Times New Roman" w:eastAsia="楷体" w:cs="Times New Roman"/>
          <w:sz w:val="30"/>
          <w:szCs w:val="30"/>
          <w:highlight w:val="none"/>
          <w:lang w:val="en-US" w:eastAsia="zh-CN"/>
        </w:rPr>
        <w:t>十一、一般公共预算财政拨款“三公”经费情况表</w:t>
      </w:r>
    </w:p>
    <w:p w14:paraId="5DB7B8D3">
      <w:pPr>
        <w:jc w:val="left"/>
        <w:outlineLvl w:val="1"/>
        <w:rPr>
          <w:rFonts w:hint="default" w:ascii="Times New Roman" w:hAnsi="Times New Roman" w:eastAsia="楷体" w:cs="Times New Roman"/>
          <w:sz w:val="30"/>
          <w:szCs w:val="30"/>
          <w:lang w:eastAsia="zh-CN"/>
        </w:rPr>
      </w:pPr>
      <w:r>
        <w:rPr>
          <w:rFonts w:hint="default" w:ascii="Times New Roman" w:hAnsi="Times New Roman" w:eastAsia="楷体" w:cs="Times New Roman"/>
          <w:sz w:val="30"/>
          <w:szCs w:val="30"/>
          <w:lang w:eastAsia="zh-CN"/>
        </w:rPr>
        <w:t>十二、国有资产使用情况表</w:t>
      </w:r>
    </w:p>
    <w:p w14:paraId="2ECB338B">
      <w:pPr>
        <w:jc w:val="left"/>
        <w:outlineLvl w:val="1"/>
        <w:rPr>
          <w:rFonts w:hint="default" w:ascii="Times New Roman" w:hAnsi="Times New Roman" w:eastAsia="楷体" w:cs="Times New Roman"/>
          <w:sz w:val="30"/>
          <w:szCs w:val="30"/>
          <w:lang w:eastAsia="zh-CN"/>
        </w:rPr>
      </w:pPr>
      <w:r>
        <w:rPr>
          <w:rFonts w:hint="default" w:ascii="Times New Roman" w:hAnsi="Times New Roman" w:eastAsia="楷体" w:cs="Times New Roman"/>
          <w:sz w:val="30"/>
          <w:szCs w:val="30"/>
          <w:lang w:eastAsia="zh-CN"/>
        </w:rPr>
        <w:t>十三、部门整体支出绩效自评情况</w:t>
      </w:r>
    </w:p>
    <w:p w14:paraId="41A2A210">
      <w:pPr>
        <w:jc w:val="left"/>
        <w:outlineLvl w:val="1"/>
        <w:rPr>
          <w:rFonts w:hint="default" w:ascii="Times New Roman" w:hAnsi="Times New Roman" w:eastAsia="楷体" w:cs="Times New Roman"/>
          <w:sz w:val="30"/>
          <w:szCs w:val="30"/>
          <w:lang w:eastAsia="zh-CN"/>
        </w:rPr>
      </w:pPr>
      <w:r>
        <w:rPr>
          <w:rFonts w:hint="default" w:ascii="Times New Roman" w:hAnsi="Times New Roman" w:eastAsia="楷体" w:cs="Times New Roman"/>
          <w:sz w:val="30"/>
          <w:szCs w:val="30"/>
          <w:lang w:eastAsia="zh-CN"/>
        </w:rPr>
        <w:t>十四、部门整体支出绩效自评表</w:t>
      </w:r>
    </w:p>
    <w:p w14:paraId="1E359C98">
      <w:pPr>
        <w:jc w:val="left"/>
        <w:outlineLvl w:val="1"/>
        <w:rPr>
          <w:rFonts w:hint="default" w:ascii="Times New Roman" w:hAnsi="Times New Roman" w:eastAsia="楷体" w:cs="Times New Roman"/>
          <w:sz w:val="30"/>
          <w:szCs w:val="30"/>
          <w:lang w:eastAsia="zh-CN"/>
        </w:rPr>
      </w:pPr>
      <w:r>
        <w:rPr>
          <w:rFonts w:hint="default" w:ascii="Times New Roman" w:hAnsi="Times New Roman" w:eastAsia="楷体" w:cs="Times New Roman"/>
          <w:sz w:val="30"/>
          <w:szCs w:val="30"/>
          <w:lang w:eastAsia="zh-CN"/>
        </w:rPr>
        <w:t>十五、项目支出绩效自评表</w:t>
      </w:r>
    </w:p>
    <w:p w14:paraId="7C066E37">
      <w:pPr>
        <w:keepNext w:val="0"/>
        <w:keepLines w:val="0"/>
        <w:pageBreakBefore w:val="0"/>
        <w:kinsoku/>
        <w:overflowPunct/>
        <w:topLinePunct w:val="0"/>
        <w:autoSpaceDE/>
        <w:autoSpaceDN/>
        <w:bidi w:val="0"/>
        <w:adjustRightInd/>
        <w:jc w:val="both"/>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第三部</w:t>
      </w:r>
      <w:r>
        <w:rPr>
          <w:rFonts w:hint="default" w:ascii="Times New Roman" w:hAnsi="Times New Roman" w:eastAsia="黑体" w:cs="Times New Roman"/>
          <w:sz w:val="30"/>
          <w:szCs w:val="30"/>
          <w:highlight w:val="none"/>
          <w:lang w:eastAsia="zh-CN"/>
        </w:rPr>
        <w:t>分</w:t>
      </w:r>
      <w:r>
        <w:rPr>
          <w:rFonts w:hint="default" w:ascii="Times New Roman" w:hAnsi="Times New Roman" w:eastAsia="黑体" w:cs="Times New Roman"/>
          <w:sz w:val="30"/>
          <w:szCs w:val="30"/>
          <w:highlight w:val="none"/>
        </w:rPr>
        <w:t xml:space="preserve">  </w:t>
      </w:r>
      <w:r>
        <w:rPr>
          <w:rFonts w:hint="default" w:ascii="Times New Roman" w:hAnsi="Times New Roman" w:eastAsia="黑体" w:cs="Times New Roman"/>
          <w:sz w:val="30"/>
          <w:szCs w:val="30"/>
          <w:highlight w:val="none"/>
          <w:lang w:val="en-US" w:eastAsia="zh-CN"/>
        </w:rPr>
        <w:t>2025年度</w:t>
      </w:r>
      <w:r>
        <w:rPr>
          <w:rFonts w:hint="default" w:ascii="Times New Roman" w:hAnsi="Times New Roman" w:eastAsia="黑体" w:cs="Times New Roman"/>
          <w:sz w:val="30"/>
          <w:szCs w:val="30"/>
          <w:highlight w:val="none"/>
        </w:rPr>
        <w:t>部门决算情况说明</w:t>
      </w:r>
    </w:p>
    <w:p w14:paraId="4B784295">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一、收入决算情况说明</w:t>
      </w:r>
    </w:p>
    <w:p w14:paraId="77A736AB">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二、支出决算情况说明</w:t>
      </w:r>
    </w:p>
    <w:p w14:paraId="3B00EF2A">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三、一般公共预算财政拨款支出决算情况说明</w:t>
      </w:r>
    </w:p>
    <w:p w14:paraId="55906993">
      <w:pPr>
        <w:keepNext w:val="0"/>
        <w:keepLines w:val="0"/>
        <w:pageBreakBefore w:val="0"/>
        <w:widowControl/>
        <w:kinsoku/>
        <w:overflowPunct/>
        <w:topLinePunct w:val="0"/>
        <w:autoSpaceDE/>
        <w:autoSpaceDN/>
        <w:bidi w:val="0"/>
        <w:adjustRightInd/>
        <w:snapToGrid w:val="0"/>
        <w:spacing w:before="100" w:after="100" w:line="360" w:lineRule="auto"/>
        <w:jc w:val="both"/>
        <w:textAlignment w:val="auto"/>
        <w:outlineLvl w:val="1"/>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四、财政拨款“三公”经费支出决算情况说明</w:t>
      </w:r>
    </w:p>
    <w:p w14:paraId="4DAF8AD5">
      <w:pPr>
        <w:keepNext w:val="0"/>
        <w:keepLines w:val="0"/>
        <w:pageBreakBefore w:val="0"/>
        <w:widowControl/>
        <w:kinsoku/>
        <w:overflowPunct/>
        <w:topLinePunct w:val="0"/>
        <w:autoSpaceDE/>
        <w:autoSpaceDN/>
        <w:bidi w:val="0"/>
        <w:adjustRightInd/>
        <w:snapToGrid w:val="0"/>
        <w:spacing w:before="100" w:after="100" w:line="360" w:lineRule="auto"/>
        <w:jc w:val="both"/>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lang w:eastAsia="zh-CN"/>
        </w:rPr>
        <w:t>第四部分</w:t>
      </w:r>
      <w:r>
        <w:rPr>
          <w:rFonts w:hint="default" w:ascii="Times New Roman" w:hAnsi="Times New Roman" w:eastAsia="楷体" w:cs="Times New Roman"/>
          <w:sz w:val="30"/>
          <w:szCs w:val="30"/>
          <w:highlight w:val="none"/>
          <w:lang w:val="en-US" w:eastAsia="zh-CN"/>
        </w:rPr>
        <w:t xml:space="preserve">  </w:t>
      </w:r>
      <w:r>
        <w:rPr>
          <w:rFonts w:hint="default" w:ascii="Times New Roman" w:hAnsi="Times New Roman" w:eastAsia="黑体" w:cs="Times New Roman"/>
          <w:sz w:val="30"/>
          <w:szCs w:val="30"/>
          <w:highlight w:val="none"/>
        </w:rPr>
        <w:t>其他重要事项及相关口径情况说明</w:t>
      </w:r>
    </w:p>
    <w:p w14:paraId="782C30A0">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lang w:eastAsia="zh-CN"/>
        </w:rPr>
        <w:t>一、</w:t>
      </w:r>
      <w:r>
        <w:rPr>
          <w:rFonts w:hint="default" w:ascii="Times New Roman" w:hAnsi="Times New Roman" w:eastAsia="楷体" w:cs="Times New Roman"/>
          <w:sz w:val="30"/>
          <w:szCs w:val="30"/>
          <w:highlight w:val="none"/>
        </w:rPr>
        <w:t>机关运行经费支出情况</w:t>
      </w:r>
    </w:p>
    <w:p w14:paraId="6059E693">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lang w:eastAsia="zh-CN"/>
        </w:rPr>
        <w:t>二、</w:t>
      </w:r>
      <w:r>
        <w:rPr>
          <w:rFonts w:hint="default" w:ascii="Times New Roman" w:hAnsi="Times New Roman" w:eastAsia="楷体" w:cs="Times New Roman"/>
          <w:sz w:val="30"/>
          <w:szCs w:val="30"/>
          <w:highlight w:val="none"/>
        </w:rPr>
        <w:t>国有资产占用情况</w:t>
      </w:r>
    </w:p>
    <w:p w14:paraId="3427355C">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lang w:eastAsia="zh-CN"/>
        </w:rPr>
        <w:t>三、</w:t>
      </w:r>
      <w:r>
        <w:rPr>
          <w:rFonts w:hint="default" w:ascii="Times New Roman" w:hAnsi="Times New Roman" w:eastAsia="楷体" w:cs="Times New Roman"/>
          <w:sz w:val="30"/>
          <w:szCs w:val="30"/>
          <w:highlight w:val="none"/>
        </w:rPr>
        <w:t>政府采购支出情况</w:t>
      </w:r>
    </w:p>
    <w:p w14:paraId="2C05B194">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val="en-US" w:eastAsia="zh-CN"/>
        </w:rPr>
      </w:pPr>
      <w:r>
        <w:rPr>
          <w:rFonts w:hint="default" w:ascii="Times New Roman" w:hAnsi="Times New Roman" w:eastAsia="楷体" w:cs="Times New Roman"/>
          <w:sz w:val="30"/>
          <w:szCs w:val="30"/>
          <w:highlight w:val="none"/>
          <w:lang w:eastAsia="zh-CN"/>
        </w:rPr>
        <w:t>四、</w:t>
      </w:r>
      <w:r>
        <w:rPr>
          <w:rFonts w:hint="default" w:ascii="Times New Roman" w:hAnsi="Times New Roman" w:eastAsia="楷体" w:cs="Times New Roman"/>
          <w:sz w:val="30"/>
          <w:szCs w:val="30"/>
          <w:highlight w:val="none"/>
          <w:lang w:val="en-US" w:eastAsia="zh-CN"/>
        </w:rPr>
        <w:t>单位绩效自评情况</w:t>
      </w:r>
    </w:p>
    <w:p w14:paraId="4A4EEB33">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val="en-US" w:eastAsia="zh-CN"/>
        </w:rPr>
      </w:pPr>
      <w:r>
        <w:rPr>
          <w:rFonts w:hint="default" w:ascii="Times New Roman" w:hAnsi="Times New Roman" w:eastAsia="楷体" w:cs="Times New Roman"/>
          <w:sz w:val="30"/>
          <w:szCs w:val="30"/>
          <w:highlight w:val="none"/>
          <w:lang w:eastAsia="zh-CN"/>
        </w:rPr>
        <w:t>五、</w:t>
      </w:r>
      <w:r>
        <w:rPr>
          <w:rFonts w:hint="default" w:ascii="Times New Roman" w:hAnsi="Times New Roman" w:eastAsia="楷体" w:cs="Times New Roman"/>
          <w:sz w:val="30"/>
          <w:szCs w:val="30"/>
          <w:highlight w:val="none"/>
          <w:lang w:val="en-US" w:eastAsia="zh-CN"/>
        </w:rPr>
        <w:t>其他重要事项情况说明</w:t>
      </w:r>
    </w:p>
    <w:p w14:paraId="6D1EDCA4">
      <w:pPr>
        <w:keepNext w:val="0"/>
        <w:keepLines w:val="0"/>
        <w:pageBreakBefore w:val="0"/>
        <w:kinsoku/>
        <w:overflowPunct/>
        <w:topLinePunct w:val="0"/>
        <w:autoSpaceDE/>
        <w:autoSpaceDN/>
        <w:bidi w:val="0"/>
        <w:adjustRightInd/>
        <w:jc w:val="both"/>
        <w:textAlignment w:val="auto"/>
        <w:outlineLvl w:val="1"/>
        <w:rPr>
          <w:rFonts w:hint="default" w:ascii="Times New Roman" w:hAnsi="Times New Roman" w:eastAsia="楷体" w:cs="Times New Roman"/>
          <w:sz w:val="30"/>
          <w:szCs w:val="30"/>
          <w:highlight w:val="none"/>
          <w:lang w:val="en-US" w:eastAsia="zh-CN"/>
        </w:rPr>
      </w:pPr>
      <w:r>
        <w:rPr>
          <w:rFonts w:hint="default" w:ascii="Times New Roman" w:hAnsi="Times New Roman" w:eastAsia="楷体" w:cs="Times New Roman"/>
          <w:sz w:val="30"/>
          <w:szCs w:val="30"/>
          <w:highlight w:val="none"/>
          <w:lang w:val="en-US" w:eastAsia="zh-CN"/>
        </w:rPr>
        <w:t>六、相关口径说明</w:t>
      </w:r>
    </w:p>
    <w:p w14:paraId="09ACA9C6">
      <w:pPr>
        <w:keepNext w:val="0"/>
        <w:keepLines w:val="0"/>
        <w:pageBreakBefore w:val="0"/>
        <w:widowControl/>
        <w:kinsoku/>
        <w:overflowPunct/>
        <w:topLinePunct w:val="0"/>
        <w:autoSpaceDE/>
        <w:autoSpaceDN/>
        <w:bidi w:val="0"/>
        <w:adjustRightInd/>
        <w:snapToGrid w:val="0"/>
        <w:spacing w:before="100" w:after="100" w:line="360" w:lineRule="auto"/>
        <w:jc w:val="both"/>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第</w:t>
      </w:r>
      <w:r>
        <w:rPr>
          <w:rFonts w:hint="default" w:ascii="Times New Roman" w:hAnsi="Times New Roman" w:eastAsia="黑体" w:cs="Times New Roman"/>
          <w:sz w:val="30"/>
          <w:szCs w:val="30"/>
          <w:highlight w:val="none"/>
          <w:lang w:eastAsia="zh-CN"/>
        </w:rPr>
        <w:t>五</w:t>
      </w:r>
      <w:r>
        <w:rPr>
          <w:rFonts w:hint="default" w:ascii="Times New Roman" w:hAnsi="Times New Roman" w:eastAsia="黑体" w:cs="Times New Roman"/>
          <w:sz w:val="30"/>
          <w:szCs w:val="30"/>
          <w:highlight w:val="none"/>
        </w:rPr>
        <w:t>部分  名词解释</w:t>
      </w:r>
    </w:p>
    <w:p w14:paraId="3061E482">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4CFD413A">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42A17351">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5D2A04FD">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5683E83D">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7772F897">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32AB5843">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67291C34">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45BE9A34">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6BFF264D">
      <w:pPr>
        <w:keepNext w:val="0"/>
        <w:keepLines w:val="0"/>
        <w:pageBreakBefore w:val="0"/>
        <w:kinsoku/>
        <w:overflowPunct/>
        <w:topLinePunct w:val="0"/>
        <w:autoSpaceDE/>
        <w:autoSpaceDN/>
        <w:bidi w:val="0"/>
        <w:adjustRightInd/>
        <w:jc w:val="both"/>
        <w:textAlignment w:val="auto"/>
        <w:rPr>
          <w:rFonts w:hint="default" w:ascii="Times New Roman" w:hAnsi="Times New Roman" w:eastAsia="黑体" w:cs="Times New Roman"/>
          <w:sz w:val="30"/>
          <w:szCs w:val="30"/>
          <w:highlight w:val="none"/>
        </w:rPr>
      </w:pPr>
    </w:p>
    <w:p w14:paraId="0B99AB31">
      <w:pPr>
        <w:keepNext w:val="0"/>
        <w:keepLines w:val="0"/>
        <w:pageBreakBefore w:val="0"/>
        <w:kinsoku/>
        <w:overflowPunct/>
        <w:topLinePunct w:val="0"/>
        <w:autoSpaceDE/>
        <w:autoSpaceDN/>
        <w:bidi w:val="0"/>
        <w:adjustRightInd/>
        <w:jc w:val="center"/>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第一部分  </w:t>
      </w:r>
      <w:r>
        <w:rPr>
          <w:rFonts w:hint="default" w:ascii="Times New Roman" w:hAnsi="Times New Roman" w:eastAsia="黑体" w:cs="Times New Roman"/>
          <w:sz w:val="30"/>
          <w:szCs w:val="30"/>
          <w:highlight w:val="none"/>
          <w:lang w:eastAsia="zh-CN"/>
        </w:rPr>
        <w:t>单位</w:t>
      </w:r>
      <w:r>
        <w:rPr>
          <w:rFonts w:hint="default" w:ascii="Times New Roman" w:hAnsi="Times New Roman" w:eastAsia="黑体" w:cs="Times New Roman"/>
          <w:sz w:val="30"/>
          <w:szCs w:val="30"/>
          <w:highlight w:val="none"/>
        </w:rPr>
        <w:t>概况</w:t>
      </w:r>
    </w:p>
    <w:p w14:paraId="57B40FDC">
      <w:pPr>
        <w:keepNext w:val="0"/>
        <w:keepLines w:val="0"/>
        <w:pageBreakBefore w:val="0"/>
        <w:kinsoku/>
        <w:overflowPunct/>
        <w:topLinePunct w:val="0"/>
        <w:autoSpaceDE/>
        <w:autoSpaceDN/>
        <w:bidi w:val="0"/>
        <w:adjustRightInd/>
        <w:spacing w:line="600" w:lineRule="exact"/>
        <w:ind w:firstLine="600" w:firstLineChars="200"/>
        <w:jc w:val="both"/>
        <w:textAlignment w:val="auto"/>
        <w:outlineLvl w:val="1"/>
        <w:rPr>
          <w:rFonts w:hint="default" w:ascii="Times New Roman" w:hAnsi="Times New Roman" w:eastAsia="黑体" w:cs="Times New Roman"/>
          <w:sz w:val="30"/>
          <w:szCs w:val="30"/>
          <w:highlight w:val="none"/>
          <w:lang w:eastAsia="zh-CN"/>
        </w:rPr>
      </w:pPr>
      <w:r>
        <w:rPr>
          <w:rFonts w:hint="default" w:ascii="Times New Roman" w:hAnsi="Times New Roman" w:eastAsia="黑体" w:cs="Times New Roman"/>
          <w:sz w:val="30"/>
          <w:szCs w:val="30"/>
          <w:highlight w:val="none"/>
        </w:rPr>
        <w:t>一、主要</w:t>
      </w:r>
      <w:r>
        <w:rPr>
          <w:rFonts w:hint="default" w:ascii="Times New Roman" w:hAnsi="Times New Roman" w:eastAsia="黑体" w:cs="Times New Roman"/>
          <w:sz w:val="30"/>
          <w:szCs w:val="30"/>
          <w:highlight w:val="none"/>
          <w:lang w:eastAsia="zh-CN"/>
        </w:rPr>
        <w:t>职责</w:t>
      </w:r>
    </w:p>
    <w:p w14:paraId="7B2DEE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highlight w:val="none"/>
          <w:lang w:val="en-US" w:eastAsia="zh-CN" w:bidi="ar-SA"/>
        </w:rPr>
      </w:pPr>
      <w:r>
        <w:rPr>
          <w:rFonts w:hint="default" w:ascii="Times New Roman" w:hAnsi="Times New Roman" w:eastAsia="楷体" w:cs="Times New Roman"/>
          <w:kern w:val="2"/>
          <w:sz w:val="30"/>
          <w:szCs w:val="30"/>
          <w:highlight w:val="none"/>
          <w:lang w:val="en-US" w:eastAsia="zh-CN" w:bidi="ar-SA"/>
        </w:rPr>
        <w:t>（一）主要职能</w:t>
      </w:r>
    </w:p>
    <w:p w14:paraId="7DD9882B">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1.开展以社区为范围、以家庭为单位、以妇女、儿童、老年人、慢性病人、残疾人、低收入居民为重点</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以解决社区主要卫生问题</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以满足基本医疗卫生服务需求为目的</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融六种服务为一体的基层卫生服务。</w:t>
      </w:r>
    </w:p>
    <w:p w14:paraId="75FA5C15">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2.做好社区预防工作。社区预防主要包括疾病预防、传染病管理、卫生监督管理、饮用水安全、慢性病管理等。</w:t>
      </w:r>
    </w:p>
    <w:p w14:paraId="18325EF7">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3.做好社区医疗工作。社区医疗主要包括社区常见病和多发病的诊断与治疗</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是社区卫生服务的主要内容。在提供医疗服务的同时</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社区卫生机构还应同上级医疗机构建立双向转诊制度。</w:t>
      </w:r>
    </w:p>
    <w:p w14:paraId="78DA8005">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4.做好社区保健工作。社区保健主要包括妇女、儿童、老年人和残疾人的健康保健</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以及针对不同人群的生理、心理特点实施有针对性的健康保健措施。</w:t>
      </w:r>
    </w:p>
    <w:p w14:paraId="0AC9FA12">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5.做好社区康复工作。社区康复涵盖急性病发作期的身体、心理和社会功能的恢复过程。</w:t>
      </w:r>
    </w:p>
    <w:p w14:paraId="7C9D68DE">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6.做好社区健康教育工作。健康教育可以针对个体</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也可以针对群体</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包括卫生知识的宣传教育</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普及日常生活卫生与疾病预防知识</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帮助居民建立健康的行为和生活方式。</w:t>
      </w:r>
    </w:p>
    <w:p w14:paraId="4C2EADA9">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7.做好社区计划生育技术服务工作。计划生育技术服务主要包括优生优育的宣传咨询、技术指导以及出生缺陷监测等。</w:t>
      </w:r>
    </w:p>
    <w:p w14:paraId="32CA135B">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8.完成上级部门交办的其它工作。</w:t>
      </w:r>
    </w:p>
    <w:p w14:paraId="094F7CA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highlight w:val="none"/>
          <w:lang w:val="en-US" w:eastAsia="zh-CN" w:bidi="ar-SA"/>
        </w:rPr>
      </w:pPr>
      <w:r>
        <w:rPr>
          <w:rFonts w:hint="default" w:ascii="Times New Roman" w:hAnsi="Times New Roman" w:eastAsia="楷体" w:cs="Times New Roman"/>
          <w:kern w:val="2"/>
          <w:sz w:val="30"/>
          <w:szCs w:val="30"/>
          <w:highlight w:val="none"/>
          <w:lang w:val="en-US" w:eastAsia="zh-CN" w:bidi="ar-SA"/>
        </w:rPr>
        <w:t>（二）2025年度重点工作任务概述</w:t>
      </w:r>
    </w:p>
    <w:p w14:paraId="4DC178E7">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（1）加强中心标准化建设、规范化管理</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实现提质增效</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提高中心综合能力</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达到门诊人次在2024年基础上有所增加</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门急诊收入增加。</w:t>
      </w:r>
    </w:p>
    <w:p w14:paraId="2D6DD95C">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（2）全面落实基本公共卫生服务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指标达到规定要求。</w:t>
      </w:r>
    </w:p>
    <w:p w14:paraId="6EED1157">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（3）切实加强管理</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完善绩效分配机制</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坚持多劳多得、优绩优酬</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收入分配重点向关键岗位、业务骨干和作出突出贡献的人员倾斜。财务管理规范</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基本公共卫生经费严格专款专用</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确保全年实现收支有结余。</w:t>
      </w:r>
    </w:p>
    <w:p w14:paraId="3C6A8BE4">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（4）开展“进一步改善医疗服务行动计划”；落实《医疗质量管理办法》</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加强医疗废弃物管理</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实施国家基本药物制度。</w:t>
      </w:r>
    </w:p>
    <w:p w14:paraId="4DB9DCA9">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（5）完成防治艾滋病工作任务。</w:t>
      </w:r>
    </w:p>
    <w:p w14:paraId="5EFF5FFE">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（6）开展中医药服务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发挥中医药服务在社区卫生服务的作用。</w:t>
      </w:r>
    </w:p>
    <w:p w14:paraId="5961FFDA">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（7）推进家庭责任医师团队服务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完成签约任务；负责对辖区内社区卫生服务机构实施中心、站一体化管理。</w:t>
      </w:r>
    </w:p>
    <w:p w14:paraId="05BFC0B8">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（8）组织开展60岁以上老年人免费体检。</w:t>
      </w:r>
    </w:p>
    <w:p w14:paraId="10B3D001">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（9）严格按照相关规定规范药品、材料采购行为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全面取消药品、材料加成。</w:t>
      </w:r>
    </w:p>
    <w:p w14:paraId="23D84514">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（10）深入推进基层医疗卫生机构综合改革</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推动分级诊疗。</w:t>
      </w:r>
    </w:p>
    <w:p w14:paraId="18EAB92D">
      <w:pPr>
        <w:keepNext w:val="0"/>
        <w:keepLines w:val="0"/>
        <w:pageBreakBefore w:val="0"/>
        <w:kinsoku/>
        <w:overflowPunct/>
        <w:topLinePunct w:val="0"/>
        <w:autoSpaceDE/>
        <w:autoSpaceDN/>
        <w:bidi w:val="0"/>
        <w:adjustRightInd/>
        <w:spacing w:line="600" w:lineRule="exact"/>
        <w:ind w:firstLine="600" w:firstLineChars="200"/>
        <w:jc w:val="both"/>
        <w:textAlignment w:val="auto"/>
        <w:outlineLvl w:val="1"/>
        <w:rPr>
          <w:rFonts w:hint="default" w:ascii="Times New Roman" w:hAnsi="Times New Roman" w:eastAsia="黑体" w:cs="Times New Roman"/>
          <w:sz w:val="30"/>
          <w:szCs w:val="30"/>
          <w:highlight w:val="none"/>
          <w:lang w:val="en-US" w:eastAsia="zh-CN"/>
        </w:rPr>
      </w:pPr>
      <w:r>
        <w:rPr>
          <w:rFonts w:hint="default" w:ascii="Times New Roman" w:hAnsi="Times New Roman" w:eastAsia="黑体" w:cs="Times New Roman"/>
          <w:sz w:val="30"/>
          <w:szCs w:val="30"/>
          <w:highlight w:val="none"/>
          <w:lang w:val="en-US" w:eastAsia="zh-CN"/>
        </w:rPr>
        <w:t>二、单位基本情况</w:t>
      </w:r>
    </w:p>
    <w:p w14:paraId="75E738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highlight w:val="none"/>
          <w:lang w:val="en-US" w:eastAsia="zh-CN" w:bidi="ar-SA"/>
        </w:rPr>
      </w:pPr>
      <w:r>
        <w:rPr>
          <w:rFonts w:hint="default" w:ascii="Times New Roman" w:hAnsi="Times New Roman" w:eastAsia="楷体" w:cs="Times New Roman"/>
          <w:kern w:val="2"/>
          <w:sz w:val="30"/>
          <w:szCs w:val="30"/>
          <w:highlight w:val="none"/>
          <w:lang w:val="en-US" w:eastAsia="zh-CN" w:bidi="ar-SA"/>
        </w:rPr>
        <w:t>（一）机构设置情况</w:t>
      </w:r>
    </w:p>
    <w:p w14:paraId="5E7C59B4">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我单位共设置15个内设机构</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包括：行政办公室、党支部办公室、财务科、采购中心、医务科、护理部、总务科、全科外科、全科中西医科、公卫科、妇产科、口腔科、检验科、影像科、药剂科。</w:t>
      </w:r>
    </w:p>
    <w:p w14:paraId="6D342857">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我单位为基层预算单位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无下属单位。</w:t>
      </w:r>
    </w:p>
    <w:p w14:paraId="2D631A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highlight w:val="none"/>
          <w:lang w:val="en-US" w:eastAsia="zh-CN" w:bidi="ar-SA"/>
        </w:rPr>
      </w:pPr>
      <w:r>
        <w:rPr>
          <w:rFonts w:hint="default" w:ascii="Times New Roman" w:hAnsi="Times New Roman" w:eastAsia="楷体" w:cs="Times New Roman"/>
          <w:kern w:val="2"/>
          <w:sz w:val="30"/>
          <w:szCs w:val="30"/>
          <w:highlight w:val="none"/>
          <w:lang w:val="en-US" w:eastAsia="zh-CN" w:bidi="ar-SA"/>
        </w:rPr>
        <w:t>（二）决算单位构成</w:t>
      </w:r>
    </w:p>
    <w:p w14:paraId="00515F43">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官渡区官渡街道社区卫生服务中心作为二级预算单位纳入昆明市官渡区卫生健康局2025年度部门决算编报范围</w:t>
      </w:r>
    </w:p>
    <w:p w14:paraId="1795F8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highlight w:val="none"/>
          <w:lang w:val="en-US" w:eastAsia="zh-CN" w:bidi="ar-SA"/>
        </w:rPr>
      </w:pPr>
      <w:r>
        <w:rPr>
          <w:rFonts w:hint="default" w:ascii="Times New Roman" w:hAnsi="Times New Roman" w:eastAsia="楷体" w:cs="Times New Roman"/>
          <w:kern w:val="2"/>
          <w:sz w:val="30"/>
          <w:szCs w:val="30"/>
          <w:highlight w:val="none"/>
          <w:lang w:val="en-US" w:eastAsia="zh-CN" w:bidi="ar-SA"/>
        </w:rPr>
        <w:t>（三）单位人员和车辆的编制及实有情况</w:t>
      </w:r>
    </w:p>
    <w:p w14:paraId="3D126A72">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官渡区官渡街道社区卫生服务中心2025年末实有人员编制82人。其中：行政编制0人（含行政工勤编制0人）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事业编制82人（含参公管理事业编制0人）；在职在编实有行政人员0人（含行政工勤人员0人）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参照公务员法管理事业人员0人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非参公管理事业人员70人。</w:t>
      </w:r>
    </w:p>
    <w:p w14:paraId="1E442567">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年末尚未移交养老保险基金发放养老金的离退休人员共计0人（离休0人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退休0人）。年末由养老保险基金发放养老金的离退休人员29人（离休0人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退休29人）。</w:t>
      </w:r>
    </w:p>
    <w:p w14:paraId="7CF82FE8">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年末其他人员48人。包括财政拨款开支经费的人员0人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经费自理人员48人。</w:t>
      </w:r>
    </w:p>
    <w:p w14:paraId="10D28290">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车辆编制2辆</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在编实有车辆2辆。</w:t>
      </w:r>
    </w:p>
    <w:p w14:paraId="43D86B00">
      <w:pPr>
        <w:keepNext w:val="0"/>
        <w:keepLines w:val="0"/>
        <w:pageBreakBefore w:val="0"/>
        <w:kinsoku/>
        <w:overflowPunct/>
        <w:topLinePunct w:val="0"/>
        <w:autoSpaceDE/>
        <w:autoSpaceDN/>
        <w:bidi w:val="0"/>
        <w:adjustRightInd/>
        <w:spacing w:line="600" w:lineRule="exact"/>
        <w:ind w:firstLine="600" w:firstLineChars="200"/>
        <w:jc w:val="both"/>
        <w:textAlignment w:val="auto"/>
        <w:outlineLvl w:val="1"/>
        <w:rPr>
          <w:rFonts w:hint="default" w:ascii="Times New Roman" w:hAnsi="Times New Roman" w:eastAsia="黑体" w:cs="Times New Roman"/>
          <w:sz w:val="30"/>
          <w:szCs w:val="30"/>
          <w:highlight w:val="none"/>
          <w:lang w:val="en-US" w:eastAsia="zh-CN"/>
        </w:rPr>
      </w:pPr>
      <w:r>
        <w:rPr>
          <w:rFonts w:hint="default" w:ascii="Times New Roman" w:hAnsi="Times New Roman" w:eastAsia="黑体" w:cs="Times New Roman"/>
          <w:sz w:val="30"/>
          <w:szCs w:val="30"/>
          <w:highlight w:val="none"/>
          <w:lang w:val="en-US" w:eastAsia="zh-CN"/>
        </w:rPr>
        <w:t>三、重点工作概述</w:t>
      </w:r>
    </w:p>
    <w:p w14:paraId="63A855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sz w:val="30"/>
          <w:szCs w:val="30"/>
          <w:highlight w:val="none"/>
          <w:lang w:val="en-US" w:eastAsia="zh-CN"/>
        </w:rPr>
      </w:pPr>
      <w:r>
        <w:rPr>
          <w:rFonts w:hint="default" w:ascii="Times New Roman" w:hAnsi="Times New Roman" w:eastAsia="楷体" w:cs="Times New Roman"/>
          <w:kern w:val="2"/>
          <w:sz w:val="30"/>
          <w:szCs w:val="30"/>
          <w:highlight w:val="none"/>
          <w:lang w:val="en-US" w:eastAsia="zh-CN" w:bidi="ar-SA"/>
        </w:rPr>
        <w:t>（一）</w:t>
      </w:r>
      <w:r>
        <w:rPr>
          <w:rFonts w:hint="default" w:ascii="Times New Roman" w:hAnsi="Times New Roman" w:eastAsia="楷体" w:cs="Times New Roman"/>
          <w:sz w:val="30"/>
          <w:szCs w:val="30"/>
          <w:highlight w:val="none"/>
          <w:lang w:val="en-US" w:eastAsia="zh-CN"/>
        </w:rPr>
        <w:t>开设中医体重管理门诊</w:t>
      </w:r>
    </w:p>
    <w:p w14:paraId="4B4763F6">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为积极响应国家卫健委“体重管理年”3年行动号召</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中心于2025年4月开设中医体重管理门诊</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结合中医传统疗法与现代健康管理理念</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通过开展针灸埋线、穴位贴敷、中药热敷、中药饮片、养生茶饮等医疗技术服务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为超重、肥胖及亚健康人群提供科学、个性化的体重管理服务。截止目前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中医体重管理门诊诊疗人次64人次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收入11400元。</w:t>
      </w:r>
    </w:p>
    <w:p w14:paraId="5E148D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lang w:val="en-US" w:eastAsia="zh-CN" w:bidi="ar-SA"/>
        </w:rPr>
      </w:pPr>
      <w:r>
        <w:rPr>
          <w:rFonts w:hint="default" w:ascii="Times New Roman" w:hAnsi="Times New Roman" w:eastAsia="楷体" w:cs="Times New Roman"/>
          <w:kern w:val="2"/>
          <w:sz w:val="30"/>
          <w:szCs w:val="30"/>
          <w:lang w:val="en-US" w:eastAsia="zh-CN" w:bidi="ar-SA"/>
        </w:rPr>
        <w:t>（二）开设疼痛门诊</w:t>
      </w:r>
    </w:p>
    <w:p w14:paraId="300FC09D">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楷体" w:cs="Times New Roman"/>
          <w:sz w:val="30"/>
          <w:szCs w:val="30"/>
          <w:lang w:eastAsia="zh-CN"/>
        </w:rPr>
      </w:pPr>
      <w:r>
        <w:rPr>
          <w:rFonts w:hint="default" w:ascii="Times New Roman" w:hAnsi="Times New Roman" w:eastAsia="仿宋_GB2312" w:cs="Times New Roman"/>
          <w:sz w:val="30"/>
          <w:szCs w:val="30"/>
          <w:lang w:val="en-US" w:eastAsia="zh-CN"/>
        </w:rPr>
        <w:t>中心聚焦群众健康需求</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创新服务模式</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中心于2025年5月开设疼痛门诊</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有效解决辖区居民颈肩腰腿痛、关节炎、神经痛等常见疼痛问题。疼痛门诊融合中医辨证施治与现代医学诊疗技术</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通过放射性冲击波治疗、膝关节玻璃酸钠注射、康复手法以及肩关节手法复位等综合手段</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显著提升疼痛管理效果</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患者满意度达95%以上。此举不仅填补了社区疼痛专科服务的空白</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更成为辖区特色医疗品牌</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助力健康社区建设</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目前群众反响较好。截止目前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疼痛门诊诊疗人次626人次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收入62800元。</w:t>
      </w:r>
    </w:p>
    <w:p w14:paraId="0AFB25BA">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sz w:val="30"/>
          <w:szCs w:val="30"/>
          <w:lang w:val="en-US" w:eastAsia="zh-CN"/>
        </w:rPr>
      </w:pPr>
      <w:r>
        <w:rPr>
          <w:rFonts w:hint="default" w:ascii="Times New Roman" w:hAnsi="Times New Roman" w:eastAsia="楷体" w:cs="Times New Roman"/>
          <w:sz w:val="30"/>
          <w:szCs w:val="30"/>
          <w:lang w:eastAsia="zh-CN"/>
        </w:rPr>
        <w:t>（</w:t>
      </w:r>
      <w:r>
        <w:rPr>
          <w:rFonts w:hint="default" w:ascii="Times New Roman" w:hAnsi="Times New Roman" w:eastAsia="楷体" w:cs="Times New Roman"/>
          <w:sz w:val="30"/>
          <w:szCs w:val="30"/>
          <w:lang w:val="en-US" w:eastAsia="zh-CN"/>
        </w:rPr>
        <w:t>三</w:t>
      </w:r>
      <w:r>
        <w:rPr>
          <w:rFonts w:hint="default" w:ascii="Times New Roman" w:hAnsi="Times New Roman" w:eastAsia="楷体" w:cs="Times New Roman"/>
          <w:sz w:val="30"/>
          <w:szCs w:val="30"/>
          <w:lang w:eastAsia="zh-CN"/>
        </w:rPr>
        <w:t>）</w:t>
      </w:r>
      <w:r>
        <w:rPr>
          <w:rFonts w:hint="default" w:ascii="Times New Roman" w:hAnsi="Times New Roman" w:eastAsia="楷体" w:cs="Times New Roman"/>
          <w:sz w:val="30"/>
          <w:szCs w:val="30"/>
          <w:lang w:val="en-US" w:eastAsia="zh-CN"/>
        </w:rPr>
        <w:t>无人机外送检验</w:t>
      </w:r>
    </w:p>
    <w:p w14:paraId="212759E2">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为提升区域医疗检测效率</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探索低空经济创新场景应用</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2025年4月中心成功完成无人机送检全流程测试并正式投入运营</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利用低空优势将样本运输路径优化至22公里</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单程运输时间缩短至30分钟。通过低空航线规划</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无人机沿预设路径直飞检测机构</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有效规避地面交通拥堵</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同时减少样本转运中的二次污染风险。截止目前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中心无人机送检105次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共计送检6001件标本。</w:t>
      </w:r>
    </w:p>
    <w:p w14:paraId="18BC88D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lang w:val="en-US" w:eastAsia="zh-CN" w:bidi="ar-SA"/>
        </w:rPr>
      </w:pPr>
      <w:r>
        <w:rPr>
          <w:rFonts w:hint="default" w:ascii="Times New Roman" w:hAnsi="Times New Roman" w:eastAsia="楷体" w:cs="Times New Roman"/>
          <w:kern w:val="2"/>
          <w:sz w:val="30"/>
          <w:szCs w:val="30"/>
          <w:lang w:val="en-US" w:eastAsia="zh-CN" w:bidi="ar-SA"/>
        </w:rPr>
        <w:t>（四）开展中药配方颗粒调剂服务</w:t>
      </w:r>
    </w:p>
    <w:p w14:paraId="4F394BEA">
      <w:pPr>
        <w:keepNext w:val="0"/>
        <w:keepLines w:val="0"/>
        <w:pageBreakBefore w:val="0"/>
        <w:widowControl w:val="0"/>
        <w:kinsoku/>
        <w:wordWrap/>
        <w:overflowPunct/>
        <w:topLinePunct w:val="0"/>
        <w:autoSpaceDE/>
        <w:autoSpaceDN/>
        <w:bidi w:val="0"/>
        <w:adjustRightInd/>
        <w:snapToGrid/>
        <w:spacing w:after="0" w:line="560" w:lineRule="exact"/>
        <w:ind w:left="0"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中心创新开展中药配方颗粒调剂服务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该服务突破传统中药煎煮局限</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采用现代化制药工艺将中药饮片转化为即冲即服的颗粒剂</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既保留传统药效</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又实现便捷用药。医生根据患者体质辨证施治</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提供个性化组方服务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尤其满足上班族、老年患者等群体的用药需求。此外</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中心同步开展用药指导、疗效跟踪等配套服务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此项服务不仅提升了中医药服务可及性</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更推动了“治未病”理念的普及</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成为中心中医药特色建设的重要成果。截止目前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中药配方颗粒调剂服务163人次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中药配方颗粒收入16047.29元。</w:t>
      </w:r>
    </w:p>
    <w:p w14:paraId="13FDF2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lang w:val="en-US" w:eastAsia="zh-CN" w:bidi="ar-SA"/>
        </w:rPr>
      </w:pPr>
      <w:r>
        <w:rPr>
          <w:rFonts w:hint="default" w:ascii="Times New Roman" w:hAnsi="Times New Roman" w:eastAsia="楷体" w:cs="Times New Roman"/>
          <w:kern w:val="2"/>
          <w:sz w:val="30"/>
          <w:szCs w:val="30"/>
          <w:lang w:val="en-US" w:eastAsia="zh-CN" w:bidi="ar-SA"/>
        </w:rPr>
        <w:t>（五）开展中医康复能力提升项目建设</w:t>
      </w:r>
    </w:p>
    <w:p w14:paraId="5810F297">
      <w:pPr>
        <w:keepNext w:val="0"/>
        <w:keepLines w:val="0"/>
        <w:pageBreakBefore w:val="0"/>
        <w:widowControl w:val="0"/>
        <w:kinsoku/>
        <w:wordWrap/>
        <w:overflowPunct/>
        <w:topLinePunct w:val="0"/>
        <w:autoSpaceDE/>
        <w:autoSpaceDN/>
        <w:bidi w:val="0"/>
        <w:adjustRightInd/>
        <w:snapToGrid/>
        <w:spacing w:after="0" w:line="560" w:lineRule="exact"/>
        <w:ind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根据昆明市卫健委 昆明市财政局《关于转发&lt;云南省卫生健康委 云南省财政厅关于120个重点中心乡镇卫生院提质建设项目实施方案等7个项目实施方案&gt;的通知》要求</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2025年中心积极开展中医康复能力提升项目建设</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依托中心成立的“官渡区名老中医馆”以及“魏鹏飞全国基层名老中医药专家传承工作室-二级工作站”</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中心进行了中医药文化角宣传建设</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积极开展中药熏洗、预防感冒香薰包、防蚊香包、安神香包、中药祛痘和美白面膜粉、耳穴压豆、穴位贴敷、中药涂擦、针灸埋线减肥、拔罐、中频、中药茶饮、推拿</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以及皮肤各类膏剂、油剂、酊剂、穴位注射等中医特色适宜技术37项。</w:t>
      </w:r>
    </w:p>
    <w:p w14:paraId="3C6D8F1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楷体" w:cs="Times New Roman"/>
          <w:kern w:val="2"/>
          <w:sz w:val="30"/>
          <w:szCs w:val="30"/>
          <w:lang w:val="en-US" w:eastAsia="zh-CN" w:bidi="ar-SA"/>
        </w:rPr>
      </w:pPr>
      <w:r>
        <w:rPr>
          <w:rFonts w:hint="default" w:ascii="Times New Roman" w:hAnsi="Times New Roman" w:eastAsia="楷体" w:cs="Times New Roman"/>
          <w:kern w:val="2"/>
          <w:sz w:val="30"/>
          <w:szCs w:val="30"/>
          <w:lang w:val="en-US" w:eastAsia="zh-CN" w:bidi="ar-SA"/>
        </w:rPr>
        <w:t>基层规范化培训实践基地及带教工作</w:t>
      </w:r>
    </w:p>
    <w:p w14:paraId="508DF9AA">
      <w:pPr>
        <w:keepNext w:val="0"/>
        <w:keepLines w:val="0"/>
        <w:pageBreakBefore w:val="0"/>
        <w:widowControl w:val="0"/>
        <w:kinsoku/>
        <w:wordWrap/>
        <w:overflowPunct/>
        <w:topLinePunct w:val="0"/>
        <w:autoSpaceDE/>
        <w:autoSpaceDN/>
        <w:bidi w:val="0"/>
        <w:adjustRightInd/>
        <w:snapToGrid/>
        <w:spacing w:after="0" w:line="560" w:lineRule="exact"/>
        <w:ind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中心2015年挂牌云南中医学院官渡社区实践教学基地</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成为云南省首个建立在社区的教学基地</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2016年5月成为昆明医科大学第一附属医院住院医师规范化培训实践基地</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2017年12月成为云南省中医院住院医师规范化培训实践基地</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2018年10月成为昆明市中医医院中医全科医师规范化培训基层实践基地</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2019年成为云南省唯一一家中国社区卫生协会培训基地</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2021年成为玉溪市中医院住院医师规范化培训实践基地。截至目前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累计培养全科规培医师254名</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带教实习生286人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形成了案例教学、情景模拟等多元化培养体系</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通过教学指导督查</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开展联合教学活动</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共同提升教学质量</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助力医教研协同发展。（四）家医团队进社区工作</w:t>
      </w:r>
    </w:p>
    <w:p w14:paraId="72647B24">
      <w:pPr>
        <w:keepNext w:val="0"/>
        <w:keepLines w:val="0"/>
        <w:pageBreakBefore w:val="0"/>
        <w:widowControl w:val="0"/>
        <w:kinsoku/>
        <w:wordWrap/>
        <w:overflowPunct/>
        <w:topLinePunct w:val="0"/>
        <w:autoSpaceDE/>
        <w:autoSpaceDN/>
        <w:bidi w:val="0"/>
        <w:adjustRightInd/>
        <w:snapToGrid/>
        <w:spacing w:after="0" w:line="560" w:lineRule="exact"/>
        <w:ind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为贯彻落实省、市卫生健康委员会关于做好家庭签约、巡回医疗和派驻服务工作的通知精神</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着力提升基层防病治病和健康管理服务能力</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推进巡回医疗和派驻工作落细落实</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充分发挥基层医师“健康守门人”的作用</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以便辖区居民在社区即可享受到便捷、优质的医疗服务</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根据《官渡街道社区卫生服务中心家庭医生签约工作方案》、《官渡街道社区卫生服务中心关于开展巡回医疗和派驻工作标准化建设的实施方案》文件要求</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中心组建了11个家庭医生团队每月定期到社区开展测血压、测血糖、家庭医生签约、健康咨询、建档、老年人体检预约、上级专家就诊预约、中心特色科室介绍、医保政策宣传等服务内容。</w:t>
      </w:r>
    </w:p>
    <w:p w14:paraId="538F2BCF">
      <w:pPr>
        <w:keepNext w:val="0"/>
        <w:keepLines w:val="0"/>
        <w:pageBreakBefore w:val="0"/>
        <w:widowControl w:val="0"/>
        <w:kinsoku/>
        <w:wordWrap/>
        <w:overflowPunct/>
        <w:topLinePunct w:val="0"/>
        <w:autoSpaceDE/>
        <w:autoSpaceDN/>
        <w:bidi w:val="0"/>
        <w:adjustRightInd/>
        <w:snapToGrid/>
        <w:spacing w:after="0" w:line="560" w:lineRule="exact"/>
        <w:ind w:firstLine="600" w:firstLineChars="200"/>
        <w:jc w:val="both"/>
        <w:textAlignment w:val="auto"/>
        <w:rPr>
          <w:rFonts w:hint="default" w:ascii="Times New Roman" w:hAnsi="Times New Roman" w:eastAsia="仿宋_GB2312" w:cs="Times New Roman"/>
          <w:sz w:val="30"/>
          <w:szCs w:val="30"/>
          <w:lang w:val="en-US" w:eastAsia="zh-CN"/>
        </w:rPr>
      </w:pPr>
    </w:p>
    <w:p w14:paraId="6E08D500">
      <w:pPr>
        <w:keepNext w:val="0"/>
        <w:keepLines w:val="0"/>
        <w:pageBreakBefore w:val="0"/>
        <w:kinsoku/>
        <w:overflowPunct/>
        <w:topLinePunct w:val="0"/>
        <w:autoSpaceDE/>
        <w:autoSpaceDN/>
        <w:bidi w:val="0"/>
        <w:adjustRightInd/>
        <w:jc w:val="center"/>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第二部分  </w:t>
      </w:r>
      <w:r>
        <w:rPr>
          <w:rFonts w:hint="default" w:ascii="Times New Roman" w:hAnsi="Times New Roman" w:eastAsia="黑体" w:cs="Times New Roman"/>
          <w:sz w:val="30"/>
          <w:szCs w:val="30"/>
          <w:highlight w:val="none"/>
          <w:lang w:val="en-US" w:eastAsia="zh-CN"/>
        </w:rPr>
        <w:t>2025年度</w:t>
      </w:r>
      <w:r>
        <w:rPr>
          <w:rFonts w:hint="default" w:ascii="Times New Roman" w:hAnsi="Times New Roman" w:eastAsia="黑体" w:cs="Times New Roman"/>
          <w:sz w:val="30"/>
          <w:szCs w:val="30"/>
          <w:highlight w:val="none"/>
        </w:rPr>
        <w:t>部门决算表</w:t>
      </w:r>
    </w:p>
    <w:p w14:paraId="73E05468">
      <w:pPr>
        <w:keepNext w:val="0"/>
        <w:keepLines w:val="0"/>
        <w:pageBreakBefore w:val="0"/>
        <w:widowControl w:val="0"/>
        <w:kinsoku/>
        <w:wordWrap/>
        <w:overflowPunct/>
        <w:topLinePunct w:val="0"/>
        <w:autoSpaceDE/>
        <w:autoSpaceDN/>
        <w:bidi w:val="0"/>
        <w:adjustRightInd/>
        <w:snapToGrid/>
        <w:spacing w:after="0" w:line="560" w:lineRule="exact"/>
        <w:ind w:firstLine="600" w:firstLineChars="200"/>
        <w:jc w:val="center"/>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（详见附件）</w:t>
      </w:r>
    </w:p>
    <w:p w14:paraId="47280DE0">
      <w:pPr>
        <w:keepNext w:val="0"/>
        <w:keepLines w:val="0"/>
        <w:pageBreakBefore w:val="0"/>
        <w:widowControl w:val="0"/>
        <w:kinsoku/>
        <w:wordWrap/>
        <w:overflowPunct/>
        <w:topLinePunct w:val="0"/>
        <w:autoSpaceDE/>
        <w:autoSpaceDN/>
        <w:bidi w:val="0"/>
        <w:adjustRightInd/>
        <w:snapToGrid/>
        <w:spacing w:after="0" w:line="560" w:lineRule="exact"/>
        <w:ind w:firstLine="600" w:firstLineChars="200"/>
        <w:jc w:val="both"/>
        <w:textAlignment w:val="auto"/>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官渡区官渡街道社区卫生服务中心没有政府性基金收入</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也没有使用政府性基金安排的支出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故本表无数据；官渡区官渡街道社区卫生服务中心没有国有资本经营收入</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也没有使用国有资本经营安排的支出</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val="en-US" w:eastAsia="zh-CN"/>
        </w:rPr>
        <w:t>故本表无数据。</w:t>
      </w:r>
    </w:p>
    <w:p w14:paraId="12F9288B">
      <w:pPr>
        <w:keepNext w:val="0"/>
        <w:keepLines w:val="0"/>
        <w:pageBreakBefore w:val="0"/>
        <w:kinsoku/>
        <w:overflowPunct/>
        <w:topLinePunct w:val="0"/>
        <w:autoSpaceDE/>
        <w:autoSpaceDN/>
        <w:bidi w:val="0"/>
        <w:adjustRightInd/>
        <w:ind w:firstLine="1500" w:firstLineChars="500"/>
        <w:jc w:val="both"/>
        <w:textAlignment w:val="auto"/>
        <w:outlineLvl w:val="0"/>
        <w:rPr>
          <w:rFonts w:hint="default" w:ascii="Times New Roman" w:hAnsi="Times New Roman" w:eastAsia="黑体" w:cs="Times New Roman"/>
          <w:sz w:val="30"/>
          <w:szCs w:val="30"/>
          <w:highlight w:val="none"/>
        </w:rPr>
      </w:pPr>
    </w:p>
    <w:p w14:paraId="6C078B28">
      <w:pPr>
        <w:keepNext w:val="0"/>
        <w:keepLines w:val="0"/>
        <w:pageBreakBefore w:val="0"/>
        <w:kinsoku/>
        <w:overflowPunct/>
        <w:topLinePunct w:val="0"/>
        <w:autoSpaceDE/>
        <w:autoSpaceDN/>
        <w:bidi w:val="0"/>
        <w:adjustRightInd/>
        <w:ind w:firstLine="1500" w:firstLineChars="500"/>
        <w:jc w:val="both"/>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第三部</w:t>
      </w:r>
      <w:r>
        <w:rPr>
          <w:rFonts w:hint="default" w:ascii="Times New Roman" w:hAnsi="Times New Roman" w:eastAsia="黑体" w:cs="Times New Roman"/>
          <w:sz w:val="30"/>
          <w:szCs w:val="30"/>
          <w:highlight w:val="none"/>
          <w:lang w:eastAsia="zh-CN"/>
        </w:rPr>
        <w:t>分</w:t>
      </w:r>
      <w:r>
        <w:rPr>
          <w:rFonts w:hint="default" w:ascii="Times New Roman" w:hAnsi="Times New Roman" w:eastAsia="黑体" w:cs="Times New Roman"/>
          <w:sz w:val="30"/>
          <w:szCs w:val="30"/>
          <w:highlight w:val="none"/>
        </w:rPr>
        <w:t xml:space="preserve">  </w:t>
      </w:r>
      <w:r>
        <w:rPr>
          <w:rFonts w:hint="default" w:ascii="Times New Roman" w:hAnsi="Times New Roman" w:eastAsia="黑体" w:cs="Times New Roman"/>
          <w:sz w:val="30"/>
          <w:szCs w:val="30"/>
          <w:highlight w:val="none"/>
          <w:lang w:val="en-US" w:eastAsia="zh-CN"/>
        </w:rPr>
        <w:t>2</w:t>
      </w:r>
      <w:bookmarkStart w:id="0" w:name="_GoBack"/>
      <w:bookmarkEnd w:id="0"/>
      <w:r>
        <w:rPr>
          <w:rFonts w:hint="default" w:ascii="Times New Roman" w:hAnsi="Times New Roman" w:eastAsia="黑体" w:cs="Times New Roman"/>
          <w:sz w:val="30"/>
          <w:szCs w:val="30"/>
          <w:highlight w:val="none"/>
          <w:lang w:val="en-US" w:eastAsia="zh-CN"/>
        </w:rPr>
        <w:t>025年度</w:t>
      </w:r>
      <w:r>
        <w:rPr>
          <w:rFonts w:hint="default" w:ascii="Times New Roman" w:hAnsi="Times New Roman" w:eastAsia="黑体" w:cs="Times New Roman"/>
          <w:sz w:val="30"/>
          <w:szCs w:val="30"/>
          <w:highlight w:val="none"/>
        </w:rPr>
        <w:t>部门决算情况说明</w:t>
      </w:r>
    </w:p>
    <w:p w14:paraId="1CBC0451">
      <w:pPr>
        <w:keepNext w:val="0"/>
        <w:keepLines w:val="0"/>
        <w:pageBreakBefore w:val="0"/>
        <w:kinsoku/>
        <w:overflowPunct/>
        <w:topLinePunct w:val="0"/>
        <w:autoSpaceDE/>
        <w:autoSpaceDN/>
        <w:bidi w:val="0"/>
        <w:adjustRightInd/>
        <w:ind w:firstLine="600" w:firstLineChars="200"/>
        <w:jc w:val="both"/>
        <w:textAlignment w:val="auto"/>
        <w:outlineLvl w:val="1"/>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一、收入决算情况说明</w:t>
      </w:r>
    </w:p>
    <w:p w14:paraId="7CE00487">
      <w:pPr>
        <w:keepNext w:val="0"/>
        <w:keepLines w:val="0"/>
        <w:pageBreakBefore w:val="0"/>
        <w:widowControl/>
        <w:kinsoku/>
        <w:overflowPunct/>
        <w:topLinePunct w:val="0"/>
        <w:autoSpaceDE/>
        <w:autoSpaceDN/>
        <w:bidi w:val="0"/>
        <w:adjustRightInd/>
        <w:snapToGrid w:val="0"/>
        <w:spacing w:before="100" w:after="100" w:line="600" w:lineRule="exact"/>
        <w:ind w:firstLine="538"/>
        <w:jc w:val="both"/>
        <w:textAlignment w:val="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color w:val="auto"/>
          <w:sz w:val="30"/>
          <w:szCs w:val="30"/>
          <w:lang w:val="zh-CN"/>
        </w:rPr>
        <w:t>官渡区官渡街道社区卫生服务中心</w:t>
      </w:r>
      <w:r>
        <w:rPr>
          <w:rFonts w:hint="default" w:ascii="Times New Roman" w:hAnsi="Times New Roman" w:eastAsia="仿宋_GB2312" w:cs="Times New Roman"/>
          <w:sz w:val="30"/>
          <w:szCs w:val="30"/>
          <w:highlight w:val="none"/>
          <w:lang w:val="en-US" w:eastAsia="zh-CN"/>
        </w:rPr>
        <w:t>2025年度</w:t>
      </w:r>
      <w:r>
        <w:rPr>
          <w:rFonts w:hint="default" w:ascii="Times New Roman" w:hAnsi="Times New Roman" w:eastAsia="仿宋_GB2312" w:cs="Times New Roman"/>
          <w:sz w:val="30"/>
          <w:szCs w:val="30"/>
          <w:highlight w:val="none"/>
        </w:rPr>
        <w:t>收入合计</w:t>
      </w:r>
      <w:r>
        <w:rPr>
          <w:rFonts w:hint="default" w:ascii="Times New Roman" w:hAnsi="Times New Roman" w:eastAsia="仿宋_GB2312" w:cs="Times New Roman"/>
          <w:color w:val="auto"/>
          <w:sz w:val="30"/>
          <w:szCs w:val="30"/>
          <w:lang w:val="zh-CN"/>
        </w:rPr>
        <w:t>39067717.20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rPr>
        <w:t>。其中：财政拨款收入</w:t>
      </w:r>
      <w:r>
        <w:rPr>
          <w:rFonts w:hint="default" w:ascii="Times New Roman" w:hAnsi="Times New Roman" w:eastAsia="仿宋_GB2312" w:cs="Times New Roman"/>
          <w:color w:val="auto"/>
          <w:sz w:val="30"/>
          <w:szCs w:val="30"/>
          <w:lang w:val="zh-CN"/>
        </w:rPr>
        <w:t>23500366.43</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占总收入的</w:t>
      </w:r>
      <w:r>
        <w:rPr>
          <w:rFonts w:hint="default" w:ascii="Times New Roman" w:hAnsi="Times New Roman" w:eastAsia="仿宋_GB2312" w:cs="Times New Roman"/>
          <w:color w:val="auto"/>
          <w:sz w:val="30"/>
          <w:szCs w:val="30"/>
          <w:lang w:val="zh-CN"/>
        </w:rPr>
        <w:t>60.15</w:t>
      </w:r>
      <w:r>
        <w:rPr>
          <w:rFonts w:hint="default" w:ascii="Times New Roman" w:hAnsi="Times New Roman" w:eastAsia="仿宋_GB2312" w:cs="Times New Roman"/>
          <w:sz w:val="30"/>
          <w:szCs w:val="30"/>
          <w:highlight w:val="none"/>
        </w:rPr>
        <w:t>%；上级补助收入</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占总收入的</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rPr>
        <w:t>%；事业收入</w:t>
      </w:r>
      <w:r>
        <w:rPr>
          <w:rFonts w:hint="default" w:ascii="Times New Roman" w:hAnsi="Times New Roman" w:eastAsia="仿宋_GB2312" w:cs="Times New Roman"/>
          <w:color w:val="auto"/>
          <w:sz w:val="30"/>
          <w:szCs w:val="30"/>
          <w:lang w:val="zh-CN"/>
        </w:rPr>
        <w:t>15454113.76</w:t>
      </w:r>
      <w:r>
        <w:rPr>
          <w:rFonts w:hint="default" w:ascii="Times New Roman" w:hAnsi="Times New Roman" w:eastAsia="仿宋_GB2312" w:cs="Times New Roman"/>
          <w:sz w:val="30"/>
          <w:szCs w:val="30"/>
          <w:highlight w:val="none"/>
          <w:lang w:eastAsia="zh-CN"/>
        </w:rPr>
        <w:t>元（含教育收费</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占总收入的</w:t>
      </w:r>
      <w:r>
        <w:rPr>
          <w:rFonts w:hint="default" w:ascii="Times New Roman" w:hAnsi="Times New Roman" w:eastAsia="仿宋_GB2312" w:cs="Times New Roman"/>
          <w:color w:val="auto"/>
          <w:sz w:val="30"/>
          <w:szCs w:val="30"/>
          <w:lang w:val="zh-CN"/>
        </w:rPr>
        <w:t>39.56</w:t>
      </w:r>
      <w:r>
        <w:rPr>
          <w:rFonts w:hint="default" w:ascii="Times New Roman" w:hAnsi="Times New Roman" w:eastAsia="仿宋_GB2312" w:cs="Times New Roman"/>
          <w:sz w:val="30"/>
          <w:szCs w:val="30"/>
          <w:highlight w:val="none"/>
        </w:rPr>
        <w:t>%；经营收入</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占总收入的</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rPr>
        <w:t>%；附属单位</w:t>
      </w:r>
      <w:r>
        <w:rPr>
          <w:rFonts w:hint="default" w:ascii="Times New Roman" w:hAnsi="Times New Roman" w:eastAsia="仿宋_GB2312" w:cs="Times New Roman"/>
          <w:sz w:val="30"/>
          <w:szCs w:val="30"/>
          <w:highlight w:val="none"/>
          <w:lang w:eastAsia="zh-CN"/>
        </w:rPr>
        <w:t>上缴</w:t>
      </w:r>
      <w:r>
        <w:rPr>
          <w:rFonts w:hint="default" w:ascii="Times New Roman" w:hAnsi="Times New Roman" w:eastAsia="仿宋_GB2312" w:cs="Times New Roman"/>
          <w:sz w:val="30"/>
          <w:szCs w:val="30"/>
          <w:highlight w:val="none"/>
        </w:rPr>
        <w:t>收入</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占总收入的</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rPr>
        <w:t>%；其他收入</w:t>
      </w:r>
      <w:r>
        <w:rPr>
          <w:rFonts w:hint="default" w:ascii="Times New Roman" w:hAnsi="Times New Roman" w:eastAsia="仿宋_GB2312" w:cs="Times New Roman"/>
          <w:color w:val="auto"/>
          <w:sz w:val="30"/>
          <w:szCs w:val="30"/>
          <w:lang w:val="zh-CN"/>
        </w:rPr>
        <w:t>113237.01</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占总收入的</w:t>
      </w:r>
      <w:r>
        <w:rPr>
          <w:rFonts w:hint="default" w:ascii="Times New Roman" w:hAnsi="Times New Roman" w:eastAsia="仿宋_GB2312" w:cs="Times New Roman"/>
          <w:color w:val="auto"/>
          <w:sz w:val="30"/>
          <w:szCs w:val="30"/>
          <w:lang w:val="zh-CN"/>
        </w:rPr>
        <w:t>0.29</w:t>
      </w:r>
      <w:r>
        <w:rPr>
          <w:rFonts w:hint="default" w:ascii="Times New Roman" w:hAnsi="Times New Roman" w:eastAsia="仿宋_GB2312" w:cs="Times New Roman"/>
          <w:sz w:val="30"/>
          <w:szCs w:val="30"/>
          <w:highlight w:val="none"/>
        </w:rPr>
        <w:t>%。</w:t>
      </w:r>
    </w:p>
    <w:p w14:paraId="6D87C37C">
      <w:pPr>
        <w:pStyle w:val="6"/>
        <w:spacing w:before="0" w:beforeAutospacing="0" w:after="0" w:afterAutospacing="0" w:line="510" w:lineRule="atLeast"/>
        <w:ind w:firstLine="600"/>
        <w:jc w:val="both"/>
        <w:rPr>
          <w:rFonts w:hint="default" w:ascii="Times New Roman" w:hAnsi="Times New Roman" w:eastAsia="仿宋_GB2312" w:cs="Times New Roman"/>
          <w:kern w:val="2"/>
          <w:sz w:val="30"/>
          <w:szCs w:val="30"/>
          <w:highlight w:val="none"/>
          <w:lang w:val="en-US" w:eastAsia="zh-CN" w:bidi="ar-SA"/>
        </w:rPr>
      </w:pPr>
      <w:r>
        <w:rPr>
          <w:rFonts w:hint="default" w:ascii="Times New Roman" w:hAnsi="Times New Roman" w:eastAsia="仿宋_GB2312" w:cs="Times New Roman"/>
          <w:sz w:val="30"/>
          <w:szCs w:val="30"/>
          <w:highlight w:val="none"/>
        </w:rPr>
        <w:t>与</w:t>
      </w:r>
      <w:r>
        <w:rPr>
          <w:rFonts w:hint="default" w:ascii="Times New Roman" w:hAnsi="Times New Roman" w:eastAsia="仿宋_GB2312" w:cs="Times New Roman"/>
          <w:sz w:val="30"/>
          <w:szCs w:val="30"/>
          <w:highlight w:val="none"/>
          <w:lang w:val="en-US" w:eastAsia="zh-CN"/>
        </w:rPr>
        <w:t>2024年收入</w:t>
      </w:r>
      <w:r>
        <w:rPr>
          <w:rFonts w:hint="default" w:ascii="Times New Roman" w:hAnsi="Times New Roman" w:eastAsia="仿宋_GB2312" w:cs="Times New Roman"/>
          <w:i w:val="0"/>
          <w:iCs w:val="0"/>
          <w:caps w:val="0"/>
          <w:color w:val="333333"/>
          <w:spacing w:val="0"/>
          <w:sz w:val="30"/>
          <w:szCs w:val="30"/>
          <w:shd w:val="clear" w:fill="FFFFFF"/>
        </w:rPr>
        <w:t>44865210.94</w:t>
      </w:r>
      <w:r>
        <w:rPr>
          <w:rFonts w:hint="default" w:ascii="Times New Roman" w:hAnsi="Times New Roman" w:eastAsia="仿宋_GB2312" w:cs="Times New Roman"/>
          <w:sz w:val="30"/>
          <w:szCs w:val="30"/>
          <w:highlight w:val="none"/>
          <w:lang w:eastAsia="zh-CN"/>
        </w:rPr>
        <w:t>相比</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收入合计</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5</w:t>
      </w:r>
      <w:r>
        <w:rPr>
          <w:rFonts w:hint="default" w:ascii="Times New Roman" w:hAnsi="Times New Roman" w:eastAsia="仿宋_GB2312" w:cs="Times New Roman"/>
          <w:color w:val="auto"/>
          <w:sz w:val="30"/>
          <w:szCs w:val="30"/>
          <w:lang w:val="en-US" w:eastAsia="zh-CN"/>
        </w:rPr>
        <w:t>，</w:t>
      </w:r>
      <w:r>
        <w:rPr>
          <w:rFonts w:hint="default" w:ascii="Times New Roman" w:hAnsi="Times New Roman" w:eastAsia="仿宋_GB2312" w:cs="Times New Roman"/>
          <w:color w:val="auto"/>
          <w:sz w:val="30"/>
          <w:szCs w:val="30"/>
          <w:lang w:val="zh-CN"/>
        </w:rPr>
        <w:t>797</w:t>
      </w:r>
      <w:r>
        <w:rPr>
          <w:rFonts w:hint="default" w:ascii="Times New Roman" w:hAnsi="Times New Roman" w:eastAsia="仿宋_GB2312" w:cs="Times New Roman"/>
          <w:color w:val="auto"/>
          <w:sz w:val="30"/>
          <w:szCs w:val="30"/>
          <w:lang w:val="en-US" w:eastAsia="zh-CN"/>
        </w:rPr>
        <w:t>，</w:t>
      </w:r>
      <w:r>
        <w:rPr>
          <w:rFonts w:hint="default" w:ascii="Times New Roman" w:hAnsi="Times New Roman" w:eastAsia="仿宋_GB2312" w:cs="Times New Roman"/>
          <w:color w:val="auto"/>
          <w:sz w:val="30"/>
          <w:szCs w:val="30"/>
          <w:lang w:val="zh-CN"/>
        </w:rPr>
        <w:t>493.74</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12.92</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。其中：</w:t>
      </w:r>
      <w:r>
        <w:rPr>
          <w:rFonts w:hint="default" w:ascii="Times New Roman" w:hAnsi="Times New Roman" w:eastAsia="仿宋_GB2312" w:cs="Times New Roman"/>
          <w:sz w:val="30"/>
          <w:szCs w:val="30"/>
          <w:highlight w:val="none"/>
        </w:rPr>
        <w:t>财政拨款收入</w:t>
      </w:r>
      <w:r>
        <w:rPr>
          <w:rFonts w:hint="default" w:ascii="Times New Roman" w:hAnsi="Times New Roman" w:eastAsia="仿宋_GB2312" w:cs="Times New Roman"/>
          <w:sz w:val="30"/>
          <w:szCs w:val="30"/>
          <w:highlight w:val="none"/>
          <w:lang w:val="en-US" w:eastAsia="zh-CN"/>
        </w:rPr>
        <w:t>与2024年</w:t>
      </w:r>
      <w:r>
        <w:rPr>
          <w:rFonts w:hint="default" w:ascii="Times New Roman" w:hAnsi="Times New Roman" w:eastAsia="仿宋_GB2312" w:cs="Times New Roman"/>
          <w:i w:val="0"/>
          <w:iCs w:val="0"/>
          <w:caps w:val="0"/>
          <w:color w:val="333333"/>
          <w:spacing w:val="0"/>
          <w:sz w:val="30"/>
          <w:szCs w:val="30"/>
          <w:shd w:val="clear" w:fill="FFFFFF"/>
        </w:rPr>
        <w:t>27065266.25元</w:t>
      </w:r>
      <w:r>
        <w:rPr>
          <w:rFonts w:hint="default" w:ascii="Times New Roman" w:hAnsi="Times New Roman" w:eastAsia="仿宋_GB2312" w:cs="Times New Roman"/>
          <w:i w:val="0"/>
          <w:iCs w:val="0"/>
          <w:caps w:val="0"/>
          <w:color w:val="333333"/>
          <w:spacing w:val="0"/>
          <w:sz w:val="30"/>
          <w:szCs w:val="30"/>
          <w:shd w:val="clear" w:fill="FFFFFF"/>
          <w:lang w:val="en-US" w:eastAsia="zh-CN"/>
        </w:rPr>
        <w:t>相比</w:t>
      </w:r>
      <w:r>
        <w:rPr>
          <w:rFonts w:hint="default" w:ascii="Times New Roman" w:hAnsi="Times New Roman" w:eastAsia="仿宋_GB2312" w:cs="Times New Roman"/>
          <w:i w:val="0"/>
          <w:iCs w:val="0"/>
          <w:caps w:val="0"/>
          <w:color w:val="333333"/>
          <w:spacing w:val="0"/>
          <w:sz w:val="30"/>
          <w:szCs w:val="30"/>
          <w:shd w:val="clear" w:fill="FFFFFF"/>
          <w:lang w:val="en-US" w:eastAsia="zh-CN"/>
        </w:rPr>
        <w:t>，</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3564899.82</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13.17</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上级补助收入</w:t>
      </w:r>
      <w:r>
        <w:rPr>
          <w:rFonts w:hint="default" w:ascii="Times New Roman" w:hAnsi="Times New Roman" w:eastAsia="仿宋_GB2312" w:cs="Times New Roman"/>
          <w:sz w:val="30"/>
          <w:szCs w:val="30"/>
          <w:highlight w:val="none"/>
          <w:lang w:eastAsia="zh-CN"/>
        </w:rPr>
        <w:t>增加</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；事业收入</w:t>
      </w:r>
      <w:r>
        <w:rPr>
          <w:rFonts w:hint="default" w:ascii="Times New Roman" w:hAnsi="Times New Roman" w:eastAsia="仿宋_GB2312" w:cs="Times New Roman"/>
          <w:sz w:val="30"/>
          <w:szCs w:val="30"/>
          <w:highlight w:val="none"/>
          <w:lang w:val="en-US" w:eastAsia="zh-CN"/>
        </w:rPr>
        <w:t>与2024年</w:t>
      </w:r>
      <w:r>
        <w:rPr>
          <w:rFonts w:hint="default" w:ascii="Times New Roman" w:hAnsi="Times New Roman" w:eastAsia="仿宋_GB2312" w:cs="Times New Roman"/>
          <w:i w:val="0"/>
          <w:iCs w:val="0"/>
          <w:caps w:val="0"/>
          <w:color w:val="333333"/>
          <w:spacing w:val="0"/>
          <w:sz w:val="30"/>
          <w:szCs w:val="30"/>
          <w:shd w:val="clear" w:fill="FFFFFF"/>
        </w:rPr>
        <w:t>17377694.46元</w:t>
      </w:r>
      <w:r>
        <w:rPr>
          <w:rFonts w:hint="default" w:ascii="Times New Roman" w:hAnsi="Times New Roman" w:eastAsia="仿宋_GB2312" w:cs="Times New Roman"/>
          <w:i w:val="0"/>
          <w:iCs w:val="0"/>
          <w:caps w:val="0"/>
          <w:color w:val="333333"/>
          <w:spacing w:val="0"/>
          <w:sz w:val="30"/>
          <w:szCs w:val="30"/>
          <w:shd w:val="clear" w:fill="FFFFFF"/>
          <w:lang w:val="en-US" w:eastAsia="zh-CN"/>
        </w:rPr>
        <w:t>相比</w:t>
      </w:r>
      <w:r>
        <w:rPr>
          <w:rFonts w:hint="default" w:ascii="Times New Roman" w:hAnsi="Times New Roman" w:eastAsia="仿宋_GB2312" w:cs="Times New Roman"/>
          <w:i w:val="0"/>
          <w:iCs w:val="0"/>
          <w:caps w:val="0"/>
          <w:color w:val="333333"/>
          <w:spacing w:val="0"/>
          <w:sz w:val="30"/>
          <w:szCs w:val="30"/>
          <w:shd w:val="clear" w:fill="FFFFFF"/>
          <w:lang w:val="en-US" w:eastAsia="zh-CN"/>
        </w:rPr>
        <w:t>，</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1923580.70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11.07</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；经营收入增加</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；附属单位上缴收入增加</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；其他收入</w:t>
      </w:r>
      <w:r>
        <w:rPr>
          <w:rFonts w:hint="default" w:ascii="Times New Roman" w:hAnsi="Times New Roman" w:eastAsia="仿宋_GB2312" w:cs="Times New Roman"/>
          <w:sz w:val="30"/>
          <w:szCs w:val="30"/>
          <w:highlight w:val="none"/>
          <w:lang w:val="en-US" w:eastAsia="zh-CN"/>
        </w:rPr>
        <w:t>与2024年</w:t>
      </w:r>
      <w:r>
        <w:rPr>
          <w:rFonts w:hint="default" w:ascii="Times New Roman" w:hAnsi="Times New Roman" w:eastAsia="仿宋_GB2312" w:cs="Times New Roman"/>
          <w:i w:val="0"/>
          <w:iCs w:val="0"/>
          <w:caps w:val="0"/>
          <w:color w:val="333333"/>
          <w:spacing w:val="0"/>
          <w:sz w:val="30"/>
          <w:szCs w:val="30"/>
          <w:shd w:val="clear" w:fill="FFFFFF"/>
        </w:rPr>
        <w:t>422250.23元</w:t>
      </w:r>
      <w:r>
        <w:rPr>
          <w:rFonts w:hint="default" w:ascii="Times New Roman" w:hAnsi="Times New Roman" w:eastAsia="仿宋_GB2312" w:cs="Times New Roman"/>
          <w:i w:val="0"/>
          <w:iCs w:val="0"/>
          <w:caps w:val="0"/>
          <w:color w:val="333333"/>
          <w:spacing w:val="0"/>
          <w:sz w:val="30"/>
          <w:szCs w:val="30"/>
          <w:shd w:val="clear" w:fill="FFFFFF"/>
          <w:lang w:val="en-US" w:eastAsia="zh-CN"/>
        </w:rPr>
        <w:t>相比</w:t>
      </w:r>
      <w:r>
        <w:rPr>
          <w:rFonts w:hint="default" w:ascii="Times New Roman" w:hAnsi="Times New Roman" w:eastAsia="仿宋_GB2312" w:cs="Times New Roman"/>
          <w:i w:val="0"/>
          <w:iCs w:val="0"/>
          <w:caps w:val="0"/>
          <w:color w:val="333333"/>
          <w:spacing w:val="0"/>
          <w:sz w:val="30"/>
          <w:szCs w:val="30"/>
          <w:shd w:val="clear" w:fill="FFFFFF"/>
          <w:lang w:val="en-US" w:eastAsia="zh-CN"/>
        </w:rPr>
        <w:t>，</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309013.22</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73.18</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主要原因</w:t>
      </w:r>
      <w:r>
        <w:rPr>
          <w:rFonts w:hint="default" w:ascii="Times New Roman" w:hAnsi="Times New Roman" w:eastAsia="仿宋_GB2312" w:cs="Times New Roman"/>
          <w:sz w:val="30"/>
          <w:szCs w:val="30"/>
          <w:highlight w:val="none"/>
          <w:lang w:eastAsia="zh-CN"/>
        </w:rPr>
        <w:t>是：</w:t>
      </w:r>
      <w:r>
        <w:rPr>
          <w:rFonts w:hint="default" w:ascii="Times New Roman" w:hAnsi="Times New Roman" w:eastAsia="仿宋_GB2312" w:cs="Times New Roman"/>
          <w:kern w:val="2"/>
          <w:sz w:val="30"/>
          <w:szCs w:val="30"/>
          <w:highlight w:val="none"/>
          <w:lang w:val="en-US" w:eastAsia="zh-CN" w:bidi="ar-SA"/>
        </w:rPr>
        <w:t>财政拨款收入较上年减少的原因是本年度减少了中央疫情防控补助资金；事业收入较上年减少原因是住院病人下降</w:t>
      </w:r>
      <w:r>
        <w:rPr>
          <w:rFonts w:hint="default" w:ascii="Times New Roman" w:hAnsi="Times New Roman" w:eastAsia="仿宋_GB2312" w:cs="Times New Roman"/>
          <w:kern w:val="2"/>
          <w:sz w:val="30"/>
          <w:szCs w:val="30"/>
          <w:highlight w:val="none"/>
          <w:lang w:val="en-US" w:eastAsia="zh-CN" w:bidi="ar-SA"/>
        </w:rPr>
        <w:t>，</w:t>
      </w:r>
      <w:r>
        <w:rPr>
          <w:rFonts w:hint="default" w:ascii="Times New Roman" w:hAnsi="Times New Roman" w:eastAsia="仿宋_GB2312" w:cs="Times New Roman"/>
          <w:kern w:val="2"/>
          <w:sz w:val="30"/>
          <w:szCs w:val="30"/>
          <w:highlight w:val="none"/>
          <w:lang w:val="en-US" w:eastAsia="zh-CN" w:bidi="ar-SA"/>
        </w:rPr>
        <w:t>导致事业收入同比下降；其他收入较上年减少的原因是本年度社区居家医养结合试点工作经费等非同级财政拨款项目收入减少。</w:t>
      </w:r>
    </w:p>
    <w:p w14:paraId="46CB45C1">
      <w:pPr>
        <w:keepNext w:val="0"/>
        <w:keepLines w:val="0"/>
        <w:pageBreakBefore w:val="0"/>
        <w:kinsoku/>
        <w:overflowPunct/>
        <w:topLinePunct w:val="0"/>
        <w:autoSpaceDE/>
        <w:autoSpaceDN/>
        <w:bidi w:val="0"/>
        <w:adjustRightInd/>
        <w:ind w:firstLine="600" w:firstLineChars="200"/>
        <w:jc w:val="both"/>
        <w:textAlignment w:val="auto"/>
        <w:outlineLvl w:val="1"/>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二、支出决算情况说明</w:t>
      </w:r>
    </w:p>
    <w:p w14:paraId="3F4CBB4D">
      <w:pPr>
        <w:keepNext w:val="0"/>
        <w:keepLines w:val="0"/>
        <w:pageBreakBefore w:val="0"/>
        <w:kinsoku/>
        <w:overflowPunct/>
        <w:topLinePunct w:val="0"/>
        <w:autoSpaceDE/>
        <w:autoSpaceDN/>
        <w:bidi w:val="0"/>
        <w:adjustRightInd/>
        <w:spacing w:line="600" w:lineRule="exact"/>
        <w:ind w:firstLine="600" w:firstLineChars="200"/>
        <w:jc w:val="both"/>
        <w:textAlignment w:val="auto"/>
        <w:rPr>
          <w:rFonts w:hint="default" w:ascii="Times New Roman" w:hAnsi="Times New Roman" w:eastAsia="仿宋_GB2312" w:cs="Times New Roman"/>
          <w:kern w:val="0"/>
          <w:sz w:val="30"/>
          <w:szCs w:val="30"/>
          <w:highlight w:val="none"/>
        </w:rPr>
      </w:pPr>
      <w:r>
        <w:rPr>
          <w:rFonts w:hint="default" w:ascii="Times New Roman" w:hAnsi="Times New Roman" w:eastAsia="仿宋_GB2312" w:cs="Times New Roman"/>
          <w:color w:val="auto"/>
          <w:sz w:val="30"/>
          <w:szCs w:val="30"/>
          <w:lang w:val="zh-CN"/>
        </w:rPr>
        <w:t>官渡区官渡街道社区卫生服务中心</w:t>
      </w:r>
      <w:r>
        <w:rPr>
          <w:rFonts w:hint="default" w:ascii="Times New Roman" w:hAnsi="Times New Roman" w:eastAsia="仿宋_GB2312" w:cs="Times New Roman"/>
          <w:sz w:val="30"/>
          <w:szCs w:val="30"/>
          <w:highlight w:val="none"/>
          <w:lang w:val="en-US" w:eastAsia="zh-CN"/>
        </w:rPr>
        <w:t>2025年度</w:t>
      </w:r>
      <w:r>
        <w:rPr>
          <w:rFonts w:hint="default" w:ascii="Times New Roman" w:hAnsi="Times New Roman" w:eastAsia="仿宋_GB2312" w:cs="Times New Roman"/>
          <w:sz w:val="30"/>
          <w:szCs w:val="30"/>
          <w:highlight w:val="none"/>
        </w:rPr>
        <w:t>支出合计</w:t>
      </w:r>
      <w:r>
        <w:rPr>
          <w:rFonts w:hint="default" w:ascii="Times New Roman" w:hAnsi="Times New Roman" w:eastAsia="仿宋_GB2312" w:cs="Times New Roman"/>
          <w:color w:val="auto"/>
          <w:sz w:val="30"/>
          <w:szCs w:val="30"/>
          <w:lang w:val="zh-CN"/>
        </w:rPr>
        <w:t>36447100.25</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rPr>
        <w:t>。其中：</w:t>
      </w:r>
      <w:r>
        <w:rPr>
          <w:rFonts w:hint="default" w:ascii="Times New Roman" w:hAnsi="Times New Roman" w:eastAsia="仿宋_GB2312" w:cs="Times New Roman"/>
          <w:kern w:val="0"/>
          <w:sz w:val="30"/>
          <w:szCs w:val="30"/>
          <w:highlight w:val="none"/>
        </w:rPr>
        <w:t>基本支出</w:t>
      </w:r>
      <w:r>
        <w:rPr>
          <w:rFonts w:hint="default" w:ascii="Times New Roman" w:hAnsi="Times New Roman" w:eastAsia="仿宋_GB2312" w:cs="Times New Roman"/>
          <w:color w:val="auto"/>
          <w:sz w:val="30"/>
          <w:szCs w:val="30"/>
          <w:lang w:val="zh-CN"/>
        </w:rPr>
        <w:t>28097320.02</w:t>
      </w:r>
      <w:r>
        <w:rPr>
          <w:rFonts w:hint="default" w:ascii="Times New Roman" w:hAnsi="Times New Roman" w:eastAsia="仿宋_GB2312" w:cs="Times New Roman"/>
          <w:kern w:val="0"/>
          <w:sz w:val="30"/>
          <w:szCs w:val="30"/>
          <w:highlight w:val="none"/>
          <w:lang w:eastAsia="zh-CN"/>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占总支出的</w:t>
      </w:r>
      <w:r>
        <w:rPr>
          <w:rFonts w:hint="default" w:ascii="Times New Roman" w:hAnsi="Times New Roman" w:eastAsia="仿宋_GB2312" w:cs="Times New Roman"/>
          <w:color w:val="auto"/>
          <w:sz w:val="30"/>
          <w:szCs w:val="30"/>
          <w:lang w:val="zh-CN"/>
        </w:rPr>
        <w:t>77.09</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kern w:val="0"/>
          <w:sz w:val="30"/>
          <w:szCs w:val="30"/>
          <w:highlight w:val="none"/>
        </w:rPr>
        <w:t>；项目支出</w:t>
      </w:r>
      <w:r>
        <w:rPr>
          <w:rFonts w:hint="default" w:ascii="Times New Roman" w:hAnsi="Times New Roman" w:eastAsia="仿宋_GB2312" w:cs="Times New Roman"/>
          <w:color w:val="auto"/>
          <w:sz w:val="30"/>
          <w:szCs w:val="30"/>
          <w:lang w:val="zh-CN"/>
        </w:rPr>
        <w:t>8349780.23</w:t>
      </w:r>
      <w:r>
        <w:rPr>
          <w:rFonts w:hint="default" w:ascii="Times New Roman" w:hAnsi="Times New Roman" w:eastAsia="仿宋_GB2312" w:cs="Times New Roman"/>
          <w:kern w:val="0"/>
          <w:sz w:val="30"/>
          <w:szCs w:val="30"/>
          <w:highlight w:val="none"/>
          <w:lang w:eastAsia="zh-CN"/>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占总支出的</w:t>
      </w:r>
      <w:r>
        <w:rPr>
          <w:rFonts w:hint="default" w:ascii="Times New Roman" w:hAnsi="Times New Roman" w:eastAsia="仿宋_GB2312" w:cs="Times New Roman"/>
          <w:color w:val="auto"/>
          <w:sz w:val="30"/>
          <w:szCs w:val="30"/>
          <w:lang w:val="zh-CN"/>
        </w:rPr>
        <w:t>22.91</w:t>
      </w:r>
      <w:r>
        <w:rPr>
          <w:rFonts w:hint="default" w:ascii="Times New Roman" w:hAnsi="Times New Roman" w:eastAsia="仿宋_GB2312" w:cs="Times New Roman"/>
          <w:kern w:val="0"/>
          <w:sz w:val="30"/>
          <w:szCs w:val="30"/>
          <w:highlight w:val="none"/>
        </w:rPr>
        <w:t>％；上缴上级支出</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kern w:val="0"/>
          <w:sz w:val="30"/>
          <w:szCs w:val="30"/>
          <w:highlight w:val="none"/>
          <w:lang w:eastAsia="zh-CN"/>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占总支出的</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kern w:val="0"/>
          <w:sz w:val="30"/>
          <w:szCs w:val="30"/>
          <w:highlight w:val="none"/>
        </w:rPr>
        <w:t>；经营支出</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kern w:val="0"/>
          <w:sz w:val="30"/>
          <w:szCs w:val="30"/>
          <w:highlight w:val="none"/>
          <w:lang w:eastAsia="zh-CN"/>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占总支出的</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kern w:val="0"/>
          <w:sz w:val="30"/>
          <w:szCs w:val="30"/>
          <w:highlight w:val="none"/>
        </w:rPr>
        <w:t>；对附属单位补助支出</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kern w:val="0"/>
          <w:sz w:val="30"/>
          <w:szCs w:val="30"/>
          <w:highlight w:val="none"/>
          <w:lang w:eastAsia="zh-CN"/>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占总支出的</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kern w:val="0"/>
          <w:sz w:val="30"/>
          <w:szCs w:val="30"/>
          <w:highlight w:val="none"/>
        </w:rPr>
        <w:t>。</w:t>
      </w:r>
    </w:p>
    <w:p w14:paraId="370F87B8">
      <w:pPr>
        <w:keepNext w:val="0"/>
        <w:keepLines w:val="0"/>
        <w:pageBreakBefore w:val="0"/>
        <w:kinsoku/>
        <w:overflowPunct/>
        <w:topLinePunct w:val="0"/>
        <w:autoSpaceDE/>
        <w:autoSpaceDN/>
        <w:bidi w:val="0"/>
        <w:adjustRightInd/>
        <w:spacing w:line="600" w:lineRule="exact"/>
        <w:ind w:firstLine="600" w:firstLineChars="200"/>
        <w:jc w:val="both"/>
        <w:textAlignment w:val="auto"/>
        <w:rPr>
          <w:rFonts w:hint="default" w:ascii="Times New Roman" w:hAnsi="Times New Roman" w:eastAsia="仿宋_GB2312" w:cs="Times New Roman"/>
          <w:color w:val="FF0000"/>
          <w:sz w:val="30"/>
          <w:szCs w:val="30"/>
          <w:highlight w:val="none"/>
          <w:lang w:val="en-US" w:eastAsia="zh-CN"/>
        </w:rPr>
      </w:pPr>
      <w:r>
        <w:rPr>
          <w:rFonts w:hint="default" w:ascii="Times New Roman" w:hAnsi="Times New Roman" w:eastAsia="仿宋_GB2312" w:cs="Times New Roman"/>
          <w:sz w:val="30"/>
          <w:szCs w:val="30"/>
          <w:highlight w:val="none"/>
        </w:rPr>
        <w:t>与上年</w:t>
      </w:r>
      <w:r>
        <w:rPr>
          <w:rFonts w:hint="default" w:ascii="Times New Roman" w:hAnsi="Times New Roman" w:eastAsia="仿宋_GB2312" w:cs="Times New Roman"/>
          <w:sz w:val="30"/>
          <w:szCs w:val="30"/>
          <w:highlight w:val="none"/>
          <w:lang w:val="en-US" w:eastAsia="zh-CN"/>
        </w:rPr>
        <w:t>合计支出</w:t>
      </w:r>
      <w:r>
        <w:rPr>
          <w:rFonts w:hint="default" w:ascii="Times New Roman" w:hAnsi="Times New Roman" w:eastAsia="仿宋_GB2312" w:cs="Times New Roman"/>
          <w:i w:val="0"/>
          <w:iCs w:val="0"/>
          <w:caps w:val="0"/>
          <w:color w:val="333333"/>
          <w:spacing w:val="0"/>
          <w:sz w:val="30"/>
          <w:szCs w:val="30"/>
          <w:shd w:val="clear" w:fill="FFFFFF"/>
        </w:rPr>
        <w:t>44708956.54</w:t>
      </w:r>
      <w:r>
        <w:rPr>
          <w:rFonts w:hint="default" w:ascii="Times New Roman" w:hAnsi="Times New Roman" w:eastAsia="仿宋_GB2312" w:cs="Times New Roman"/>
          <w:sz w:val="30"/>
          <w:szCs w:val="30"/>
          <w:highlight w:val="none"/>
          <w:lang w:eastAsia="zh-CN"/>
        </w:rPr>
        <w:t>相比</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8261856.29</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18.48</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。其中：</w:t>
      </w:r>
      <w:r>
        <w:rPr>
          <w:rFonts w:hint="default" w:ascii="Times New Roman" w:hAnsi="Times New Roman" w:eastAsia="仿宋_GB2312" w:cs="Times New Roman"/>
          <w:sz w:val="30"/>
          <w:szCs w:val="30"/>
          <w:highlight w:val="none"/>
          <w:lang w:val="en-US" w:eastAsia="zh-CN"/>
        </w:rPr>
        <w:t>与2024年</w:t>
      </w:r>
      <w:r>
        <w:rPr>
          <w:rFonts w:hint="default" w:ascii="Times New Roman" w:hAnsi="Times New Roman" w:eastAsia="仿宋_GB2312" w:cs="Times New Roman"/>
          <w:kern w:val="0"/>
          <w:sz w:val="30"/>
          <w:szCs w:val="30"/>
          <w:highlight w:val="none"/>
        </w:rPr>
        <w:t>基本支出</w:t>
      </w:r>
      <w:r>
        <w:rPr>
          <w:rFonts w:hint="default" w:ascii="Times New Roman" w:hAnsi="Times New Roman" w:eastAsia="仿宋_GB2312" w:cs="Times New Roman"/>
          <w:i w:val="0"/>
          <w:iCs w:val="0"/>
          <w:caps w:val="0"/>
          <w:color w:val="333333"/>
          <w:spacing w:val="0"/>
          <w:sz w:val="30"/>
          <w:szCs w:val="30"/>
          <w:shd w:val="clear" w:fill="FFFFFF"/>
        </w:rPr>
        <w:t>31476140.68元</w:t>
      </w:r>
      <w:r>
        <w:rPr>
          <w:rFonts w:hint="default" w:ascii="Times New Roman" w:hAnsi="Times New Roman" w:eastAsia="仿宋_GB2312" w:cs="Times New Roman"/>
          <w:i w:val="0"/>
          <w:iCs w:val="0"/>
          <w:caps w:val="0"/>
          <w:color w:val="333333"/>
          <w:spacing w:val="0"/>
          <w:sz w:val="30"/>
          <w:szCs w:val="30"/>
          <w:shd w:val="clear" w:fill="FFFFFF"/>
          <w:lang w:val="en-US" w:eastAsia="zh-CN"/>
        </w:rPr>
        <w:t>相比</w:t>
      </w:r>
      <w:r>
        <w:rPr>
          <w:rFonts w:hint="default" w:ascii="Times New Roman" w:hAnsi="Times New Roman" w:eastAsia="仿宋_GB2312" w:cs="Times New Roman"/>
          <w:i w:val="0"/>
          <w:iCs w:val="0"/>
          <w:caps w:val="0"/>
          <w:color w:val="333333"/>
          <w:spacing w:val="0"/>
          <w:sz w:val="30"/>
          <w:szCs w:val="30"/>
          <w:shd w:val="clear" w:fill="FFFFFF"/>
          <w:lang w:val="en-US" w:eastAsia="zh-CN"/>
        </w:rPr>
        <w:t>，</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3378820.66</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10.73</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与2024年</w:t>
      </w:r>
      <w:r>
        <w:rPr>
          <w:rFonts w:hint="default" w:ascii="Times New Roman" w:hAnsi="Times New Roman" w:eastAsia="仿宋_GB2312" w:cs="Times New Roman"/>
          <w:sz w:val="30"/>
          <w:szCs w:val="30"/>
          <w:highlight w:val="none"/>
          <w:lang w:eastAsia="zh-CN"/>
        </w:rPr>
        <w:t>项目支出</w:t>
      </w:r>
      <w:r>
        <w:rPr>
          <w:rFonts w:hint="default" w:ascii="Times New Roman" w:hAnsi="Times New Roman" w:eastAsia="仿宋_GB2312" w:cs="Times New Roman"/>
          <w:i w:val="0"/>
          <w:iCs w:val="0"/>
          <w:caps w:val="0"/>
          <w:color w:val="333333"/>
          <w:spacing w:val="0"/>
          <w:sz w:val="30"/>
          <w:szCs w:val="30"/>
          <w:shd w:val="clear" w:fill="FFFFFF"/>
        </w:rPr>
        <w:t>13232815.86元</w:t>
      </w:r>
      <w:r>
        <w:rPr>
          <w:rFonts w:hint="default" w:ascii="Times New Roman" w:hAnsi="Times New Roman" w:eastAsia="仿宋_GB2312" w:cs="Times New Roman"/>
          <w:i w:val="0"/>
          <w:iCs w:val="0"/>
          <w:caps w:val="0"/>
          <w:color w:val="333333"/>
          <w:spacing w:val="0"/>
          <w:sz w:val="30"/>
          <w:szCs w:val="30"/>
          <w:shd w:val="clear" w:fill="FFFFFF"/>
          <w:lang w:val="en-US" w:eastAsia="zh-CN"/>
        </w:rPr>
        <w:t>相比</w:t>
      </w:r>
      <w:r>
        <w:rPr>
          <w:rFonts w:hint="default" w:ascii="Times New Roman" w:hAnsi="Times New Roman" w:eastAsia="仿宋_GB2312" w:cs="Times New Roman"/>
          <w:i w:val="0"/>
          <w:iCs w:val="0"/>
          <w:caps w:val="0"/>
          <w:color w:val="333333"/>
          <w:spacing w:val="0"/>
          <w:sz w:val="30"/>
          <w:szCs w:val="30"/>
          <w:shd w:val="clear" w:fill="FFFFFF"/>
          <w:lang w:val="en-US" w:eastAsia="zh-CN"/>
        </w:rPr>
        <w:t>，</w:t>
      </w:r>
      <w:r>
        <w:rPr>
          <w:rFonts w:hint="default" w:ascii="Times New Roman" w:hAnsi="Times New Roman" w:eastAsia="仿宋_GB2312" w:cs="Times New Roman"/>
          <w:sz w:val="30"/>
          <w:szCs w:val="30"/>
          <w:highlight w:val="none"/>
          <w:lang w:val="en-US" w:eastAsia="zh-CN"/>
        </w:rPr>
        <w:t>减少</w:t>
      </w:r>
      <w:r>
        <w:rPr>
          <w:rFonts w:hint="default" w:ascii="Times New Roman" w:hAnsi="Times New Roman" w:eastAsia="仿宋_GB2312" w:cs="Times New Roman"/>
          <w:color w:val="auto"/>
          <w:sz w:val="30"/>
          <w:szCs w:val="30"/>
          <w:lang w:val="zh-CN"/>
        </w:rPr>
        <w:t>4883035.63</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下降</w:t>
      </w:r>
      <w:r>
        <w:rPr>
          <w:rFonts w:hint="default" w:ascii="Times New Roman" w:hAnsi="Times New Roman" w:eastAsia="仿宋_GB2312" w:cs="Times New Roman"/>
          <w:color w:val="auto"/>
          <w:sz w:val="30"/>
          <w:szCs w:val="30"/>
          <w:lang w:val="zh-CN"/>
        </w:rPr>
        <w:t>36.90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；上缴上级支出增加</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w:t>
      </w:r>
      <w:r>
        <w:rPr>
          <w:rFonts w:hint="default" w:ascii="Times New Roman" w:hAnsi="Times New Roman" w:eastAsia="仿宋_GB2312" w:cs="Times New Roman"/>
          <w:sz w:val="30"/>
          <w:szCs w:val="30"/>
          <w:highlight w:val="none"/>
          <w:lang w:val="en-US" w:eastAsia="zh-CN"/>
        </w:rPr>
        <w:t>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；经营支出增加</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w:t>
      </w:r>
      <w:r>
        <w:rPr>
          <w:rFonts w:hint="default" w:ascii="Times New Roman" w:hAnsi="Times New Roman" w:eastAsia="仿宋_GB2312" w:cs="Times New Roman"/>
          <w:sz w:val="30"/>
          <w:szCs w:val="30"/>
          <w:highlight w:val="none"/>
          <w:lang w:val="en-US" w:eastAsia="zh-CN"/>
        </w:rPr>
        <w:t>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；对附属单位补助支出增加</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w:t>
      </w:r>
      <w:r>
        <w:rPr>
          <w:rFonts w:hint="default" w:ascii="Times New Roman" w:hAnsi="Times New Roman" w:eastAsia="仿宋_GB2312" w:cs="Times New Roman"/>
          <w:sz w:val="30"/>
          <w:szCs w:val="30"/>
          <w:highlight w:val="none"/>
          <w:lang w:val="en-US" w:eastAsia="zh-CN"/>
        </w:rPr>
        <w:t>0</w:t>
      </w:r>
      <w:r>
        <w:rPr>
          <w:rFonts w:hint="eastAsia" w:ascii="Times New Roman" w:hAnsi="Times New Roman" w:eastAsia="仿宋_GB2312" w:cs="Times New Roman"/>
          <w:sz w:val="30"/>
          <w:szCs w:val="30"/>
          <w:highlight w:val="none"/>
          <w:lang w:val="en-US" w:eastAsia="zh-CN"/>
        </w:rPr>
        <w:t>.00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主要原因</w:t>
      </w:r>
      <w:r>
        <w:rPr>
          <w:rFonts w:hint="default" w:ascii="Times New Roman" w:hAnsi="Times New Roman" w:eastAsia="仿宋_GB2312" w:cs="Times New Roman"/>
          <w:sz w:val="30"/>
          <w:szCs w:val="30"/>
          <w:highlight w:val="none"/>
          <w:lang w:eastAsia="zh-CN"/>
        </w:rPr>
        <w:t>是：</w:t>
      </w:r>
      <w:r>
        <w:rPr>
          <w:rFonts w:hint="default" w:ascii="Times New Roman" w:hAnsi="Times New Roman" w:eastAsia="仿宋_GB2312" w:cs="Times New Roman"/>
          <w:sz w:val="30"/>
          <w:szCs w:val="30"/>
          <w:highlight w:val="none"/>
          <w:lang w:val="en-US" w:eastAsia="zh-CN"/>
        </w:rPr>
        <w:t>基本支出中</w:t>
      </w:r>
      <w:r>
        <w:rPr>
          <w:rFonts w:hint="default" w:ascii="Times New Roman" w:hAnsi="Times New Roman" w:eastAsia="仿宋_GB2312" w:cs="Times New Roman"/>
          <w:sz w:val="30"/>
          <w:szCs w:val="30"/>
          <w:highlight w:val="none"/>
          <w:lang w:val="en-US" w:eastAsia="zh-CN"/>
        </w:rPr>
        <w:t>，</w:t>
      </w:r>
      <w:r>
        <w:rPr>
          <w:rFonts w:hint="default" w:ascii="Times New Roman" w:hAnsi="Times New Roman" w:eastAsia="仿宋_GB2312" w:cs="Times New Roman"/>
          <w:sz w:val="30"/>
          <w:szCs w:val="30"/>
          <w:highlight w:val="none"/>
          <w:lang w:val="en-US" w:eastAsia="zh-CN"/>
        </w:rPr>
        <w:t>城市社区卫生机构支出比去年同期减少337.88万元；项目支出比去年同期减少488.30万元</w:t>
      </w:r>
      <w:r>
        <w:rPr>
          <w:rFonts w:hint="default" w:ascii="Times New Roman" w:hAnsi="Times New Roman" w:eastAsia="仿宋_GB2312" w:cs="Times New Roman"/>
          <w:sz w:val="30"/>
          <w:szCs w:val="30"/>
          <w:highlight w:val="none"/>
          <w:lang w:val="en-US" w:eastAsia="zh-CN"/>
        </w:rPr>
        <w:t>，</w:t>
      </w:r>
      <w:r>
        <w:rPr>
          <w:rFonts w:hint="default" w:ascii="Times New Roman" w:hAnsi="Times New Roman" w:eastAsia="仿宋_GB2312" w:cs="Times New Roman"/>
          <w:sz w:val="30"/>
          <w:szCs w:val="30"/>
          <w:highlight w:val="none"/>
          <w:lang w:val="en-US" w:eastAsia="zh-CN"/>
        </w:rPr>
        <w:t>主要是突发公共卫生事件应急处置项目经费减少。</w:t>
      </w:r>
    </w:p>
    <w:p w14:paraId="649E38A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（一）基本支出情况</w:t>
      </w:r>
    </w:p>
    <w:p w14:paraId="6B613F05">
      <w:pPr>
        <w:keepNext w:val="0"/>
        <w:keepLines w:val="0"/>
        <w:pageBreakBefore w:val="0"/>
        <w:widowControl/>
        <w:kinsoku/>
        <w:overflowPunct/>
        <w:topLinePunct w:val="0"/>
        <w:autoSpaceDE/>
        <w:autoSpaceDN/>
        <w:bidi w:val="0"/>
        <w:adjustRightInd/>
        <w:snapToGrid w:val="0"/>
        <w:spacing w:before="100" w:after="100" w:line="600" w:lineRule="exact"/>
        <w:ind w:firstLine="538"/>
        <w:jc w:val="both"/>
        <w:textAlignment w:val="auto"/>
        <w:rPr>
          <w:rFonts w:hint="default" w:ascii="Times New Roman" w:hAnsi="Times New Roman" w:eastAsia="仿宋_GB2312" w:cs="Times New Roman"/>
          <w:color w:val="FF0000"/>
          <w:sz w:val="30"/>
          <w:szCs w:val="30"/>
          <w:highlight w:val="none"/>
        </w:rPr>
      </w:pPr>
      <w:r>
        <w:rPr>
          <w:rFonts w:hint="default" w:ascii="Times New Roman" w:hAnsi="Times New Roman" w:eastAsia="仿宋_GB2312" w:cs="Times New Roman"/>
          <w:sz w:val="30"/>
          <w:szCs w:val="30"/>
          <w:highlight w:val="none"/>
          <w:lang w:val="en-US" w:eastAsia="zh-CN"/>
        </w:rPr>
        <w:t>2025年度</w:t>
      </w:r>
      <w:r>
        <w:rPr>
          <w:rFonts w:hint="default" w:ascii="Times New Roman" w:hAnsi="Times New Roman" w:eastAsia="仿宋_GB2312" w:cs="Times New Roman"/>
          <w:sz w:val="30"/>
          <w:szCs w:val="30"/>
          <w:highlight w:val="none"/>
        </w:rPr>
        <w:t>用于保障</w:t>
      </w:r>
      <w:r>
        <w:rPr>
          <w:rFonts w:hint="default" w:ascii="Times New Roman" w:hAnsi="Times New Roman" w:eastAsia="仿宋_GB2312" w:cs="Times New Roman"/>
          <w:color w:val="auto"/>
          <w:sz w:val="30"/>
          <w:szCs w:val="30"/>
          <w:lang w:val="zh-CN"/>
        </w:rPr>
        <w:t>官渡区官渡街道社区卫生服务中心</w:t>
      </w:r>
      <w:r>
        <w:rPr>
          <w:rFonts w:hint="default" w:ascii="Times New Roman" w:hAnsi="Times New Roman" w:eastAsia="仿宋_GB2312" w:cs="Times New Roman"/>
          <w:sz w:val="30"/>
          <w:szCs w:val="30"/>
          <w:highlight w:val="none"/>
        </w:rPr>
        <w:t>机构正常运转的日常支出</w:t>
      </w:r>
      <w:r>
        <w:rPr>
          <w:rFonts w:hint="default" w:ascii="Times New Roman" w:hAnsi="Times New Roman" w:eastAsia="仿宋_GB2312" w:cs="Times New Roman"/>
          <w:color w:val="auto"/>
          <w:sz w:val="30"/>
          <w:szCs w:val="30"/>
          <w:lang w:val="zh-CN"/>
        </w:rPr>
        <w:t>28097320.02</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其中：</w:t>
      </w:r>
      <w:r>
        <w:rPr>
          <w:rFonts w:hint="default" w:ascii="Times New Roman" w:hAnsi="Times New Roman" w:eastAsia="仿宋_GB2312" w:cs="Times New Roman"/>
          <w:sz w:val="30"/>
          <w:szCs w:val="30"/>
          <w:highlight w:val="none"/>
        </w:rPr>
        <w:t>基本工资、津贴补贴等人员经费支出</w:t>
      </w:r>
      <w:r>
        <w:rPr>
          <w:rFonts w:hint="default" w:ascii="Times New Roman" w:hAnsi="Times New Roman" w:eastAsia="仿宋_GB2312" w:cs="Times New Roman"/>
          <w:color w:val="auto"/>
          <w:sz w:val="30"/>
          <w:szCs w:val="30"/>
          <w:lang w:val="zh-CN"/>
        </w:rPr>
        <w:t>19151218.16</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占基本支出的</w:t>
      </w:r>
      <w:r>
        <w:rPr>
          <w:rFonts w:hint="default" w:ascii="Times New Roman" w:hAnsi="Times New Roman" w:eastAsia="仿宋_GB2312" w:cs="Times New Roman"/>
          <w:color w:val="auto"/>
          <w:sz w:val="30"/>
          <w:szCs w:val="30"/>
          <w:lang w:val="zh-CN"/>
        </w:rPr>
        <w:t>68.16</w:t>
      </w:r>
      <w:r>
        <w:rPr>
          <w:rFonts w:hint="default" w:ascii="Times New Roman" w:hAnsi="Times New Roman" w:eastAsia="仿宋_GB2312" w:cs="Times New Roman"/>
          <w:sz w:val="30"/>
          <w:szCs w:val="30"/>
          <w:highlight w:val="none"/>
        </w:rPr>
        <w:t>%；办公费、印刷费、水电费、办公设备购置等公用经费</w:t>
      </w:r>
      <w:r>
        <w:rPr>
          <w:rFonts w:hint="default" w:ascii="Times New Roman" w:hAnsi="Times New Roman" w:eastAsia="仿宋_GB2312" w:cs="Times New Roman"/>
          <w:color w:val="auto"/>
          <w:sz w:val="30"/>
          <w:szCs w:val="30"/>
          <w:lang w:val="zh-CN"/>
        </w:rPr>
        <w:t>8946101.86</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占基本支出的</w:t>
      </w:r>
      <w:r>
        <w:rPr>
          <w:rFonts w:hint="default" w:ascii="Times New Roman" w:hAnsi="Times New Roman" w:eastAsia="仿宋_GB2312" w:cs="Times New Roman"/>
          <w:color w:val="auto"/>
          <w:sz w:val="30"/>
          <w:szCs w:val="30"/>
          <w:lang w:val="zh-CN"/>
        </w:rPr>
        <w:t>31.84</w:t>
      </w:r>
      <w:r>
        <w:rPr>
          <w:rFonts w:hint="default" w:ascii="Times New Roman" w:hAnsi="Times New Roman" w:eastAsia="仿宋_GB2312" w:cs="Times New Roman"/>
          <w:sz w:val="30"/>
          <w:szCs w:val="30"/>
          <w:highlight w:val="none"/>
        </w:rPr>
        <w:t>%。</w:t>
      </w:r>
    </w:p>
    <w:p w14:paraId="78558C14">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（二）项目支出情况</w:t>
      </w:r>
    </w:p>
    <w:p w14:paraId="28E24C85">
      <w:pPr>
        <w:keepNext w:val="0"/>
        <w:keepLines w:val="0"/>
        <w:pageBreakBefore w:val="0"/>
        <w:widowControl/>
        <w:kinsoku/>
        <w:wordWrap w:val="0"/>
        <w:overflowPunct/>
        <w:topLinePunct w:val="0"/>
        <w:autoSpaceDE/>
        <w:autoSpaceDN/>
        <w:bidi w:val="0"/>
        <w:adjustRightInd/>
        <w:snapToGrid w:val="0"/>
        <w:spacing w:before="100" w:after="100" w:line="600" w:lineRule="exact"/>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val="en-US" w:eastAsia="zh-CN"/>
        </w:rPr>
        <w:t>2025年度</w:t>
      </w:r>
      <w:r>
        <w:rPr>
          <w:rFonts w:hint="default" w:ascii="Times New Roman" w:hAnsi="Times New Roman" w:eastAsia="仿宋_GB2312" w:cs="Times New Roman"/>
          <w:sz w:val="30"/>
          <w:szCs w:val="30"/>
          <w:highlight w:val="none"/>
        </w:rPr>
        <w:t>用于保障</w:t>
      </w:r>
      <w:r>
        <w:rPr>
          <w:rFonts w:hint="default" w:ascii="Times New Roman" w:hAnsi="Times New Roman" w:eastAsia="仿宋_GB2312" w:cs="Times New Roman"/>
          <w:color w:val="auto"/>
          <w:sz w:val="30"/>
          <w:szCs w:val="30"/>
          <w:lang w:val="zh-CN"/>
        </w:rPr>
        <w:t>官渡区官渡街道社区卫生服务中心</w:t>
      </w:r>
      <w:r>
        <w:rPr>
          <w:rFonts w:hint="default" w:ascii="Times New Roman" w:hAnsi="Times New Roman" w:eastAsia="仿宋_GB2312" w:cs="Times New Roman"/>
          <w:sz w:val="30"/>
          <w:szCs w:val="30"/>
          <w:highlight w:val="none"/>
        </w:rPr>
        <w:t>为完成特定的行政工作任务或事业发展目标</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用于专项业务工作的经费支出</w:t>
      </w:r>
      <w:r>
        <w:rPr>
          <w:rFonts w:hint="default" w:ascii="Times New Roman" w:hAnsi="Times New Roman" w:eastAsia="仿宋_GB2312" w:cs="Times New Roman"/>
          <w:color w:val="auto"/>
          <w:sz w:val="30"/>
          <w:szCs w:val="30"/>
          <w:lang w:val="zh-CN"/>
        </w:rPr>
        <w:t>8349780.23</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其中：基本建设类项目支出</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rPr>
        <w:t>。</w:t>
      </w:r>
    </w:p>
    <w:p w14:paraId="27100BD3">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仿宋_GB2312" w:cs="Times New Roman"/>
          <w:i w:val="0"/>
          <w:iCs w:val="0"/>
          <w:caps w:val="0"/>
          <w:color w:val="333333"/>
          <w:spacing w:val="0"/>
          <w:sz w:val="30"/>
          <w:szCs w:val="30"/>
          <w:shd w:val="clear" w:fill="FFFFFF"/>
        </w:rPr>
      </w:pPr>
      <w:r>
        <w:rPr>
          <w:rFonts w:hint="default" w:ascii="Times New Roman" w:hAnsi="Times New Roman" w:eastAsia="仿宋_GB2312" w:cs="Times New Roman"/>
          <w:i w:val="0"/>
          <w:iCs w:val="0"/>
          <w:caps w:val="0"/>
          <w:color w:val="333333"/>
          <w:spacing w:val="0"/>
          <w:sz w:val="30"/>
          <w:szCs w:val="30"/>
          <w:shd w:val="clear" w:fill="FFFFFF"/>
        </w:rPr>
        <w:t>基本公共卫生服务项目支出6062361.58元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主要用于免费向城乡居民提供基本公共卫生服务</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促进基本公共卫生服务均等化服务经费；</w:t>
      </w:r>
    </w:p>
    <w:p w14:paraId="21C77959">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仿宋_GB2312" w:cs="Times New Roman"/>
          <w:i w:val="0"/>
          <w:iCs w:val="0"/>
          <w:caps w:val="0"/>
          <w:color w:val="333333"/>
          <w:spacing w:val="0"/>
          <w:sz w:val="30"/>
          <w:szCs w:val="30"/>
          <w:shd w:val="clear" w:fill="FFFFFF"/>
        </w:rPr>
      </w:pPr>
      <w:r>
        <w:rPr>
          <w:rFonts w:hint="default" w:ascii="Times New Roman" w:hAnsi="Times New Roman" w:eastAsia="仿宋_GB2312" w:cs="Times New Roman"/>
          <w:i w:val="0"/>
          <w:iCs w:val="0"/>
          <w:caps w:val="0"/>
          <w:color w:val="333333"/>
          <w:spacing w:val="0"/>
          <w:sz w:val="30"/>
          <w:szCs w:val="30"/>
          <w:shd w:val="clear" w:fill="FFFFFF"/>
        </w:rPr>
        <w:t>基本药物制度补助资金1435368.06元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主要用于基本药物采购以及开展基础医疗工作所需公用经费；</w:t>
      </w:r>
    </w:p>
    <w:p w14:paraId="6C57645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仿宋_GB2312" w:cs="Times New Roman"/>
          <w:i w:val="0"/>
          <w:iCs w:val="0"/>
          <w:caps w:val="0"/>
          <w:color w:val="333333"/>
          <w:spacing w:val="0"/>
          <w:sz w:val="30"/>
          <w:szCs w:val="30"/>
          <w:shd w:val="clear" w:fill="FFFFFF"/>
        </w:rPr>
      </w:pPr>
      <w:r>
        <w:rPr>
          <w:rFonts w:hint="default" w:ascii="Times New Roman" w:hAnsi="Times New Roman" w:eastAsia="仿宋_GB2312" w:cs="Times New Roman"/>
          <w:i w:val="0"/>
          <w:iCs w:val="0"/>
          <w:caps w:val="0"/>
          <w:color w:val="333333"/>
          <w:spacing w:val="0"/>
          <w:sz w:val="30"/>
          <w:szCs w:val="30"/>
          <w:shd w:val="clear" w:fill="FFFFFF"/>
        </w:rPr>
        <w:t>突发公共卫生事件应急处置补助资金350000.00元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主要用于新冠疫情高风险人群疫情防控、新冠疫苗接种工作经费支出；</w:t>
      </w:r>
    </w:p>
    <w:p w14:paraId="5C448E54">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仿宋_GB2312" w:cs="Times New Roman"/>
          <w:i w:val="0"/>
          <w:iCs w:val="0"/>
          <w:caps w:val="0"/>
          <w:color w:val="333333"/>
          <w:spacing w:val="0"/>
          <w:sz w:val="30"/>
          <w:szCs w:val="30"/>
          <w:shd w:val="clear" w:fill="FFFFFF"/>
        </w:rPr>
      </w:pPr>
      <w:r>
        <w:rPr>
          <w:rFonts w:hint="default" w:ascii="Times New Roman" w:hAnsi="Times New Roman" w:eastAsia="仿宋_GB2312" w:cs="Times New Roman"/>
          <w:i w:val="0"/>
          <w:iCs w:val="0"/>
          <w:caps w:val="0"/>
          <w:color w:val="333333"/>
          <w:spacing w:val="0"/>
          <w:sz w:val="30"/>
          <w:szCs w:val="30"/>
          <w:shd w:val="clear" w:fill="FFFFFF"/>
        </w:rPr>
        <w:t>医疗卫生事业高质量发展三年行动计划补助资金297305.44元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主要用于慢性病诊疗、中医药服务、急诊急救和基本医疗卫生服务技能为重点服务项目支出；</w:t>
      </w:r>
    </w:p>
    <w:p w14:paraId="43466DA8">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仿宋_GB2312" w:cs="Times New Roman"/>
          <w:i w:val="0"/>
          <w:iCs w:val="0"/>
          <w:caps w:val="0"/>
          <w:color w:val="333333"/>
          <w:spacing w:val="0"/>
          <w:sz w:val="30"/>
          <w:szCs w:val="30"/>
          <w:shd w:val="clear" w:fill="FFFFFF"/>
        </w:rPr>
      </w:pPr>
      <w:r>
        <w:rPr>
          <w:rFonts w:hint="default" w:ascii="Times New Roman" w:hAnsi="Times New Roman" w:eastAsia="仿宋_GB2312" w:cs="Times New Roman"/>
          <w:i w:val="0"/>
          <w:iCs w:val="0"/>
          <w:caps w:val="0"/>
          <w:color w:val="333333"/>
          <w:spacing w:val="0"/>
          <w:sz w:val="30"/>
          <w:szCs w:val="30"/>
          <w:shd w:val="clear" w:fill="FFFFFF"/>
        </w:rPr>
        <w:t>其他业务工作经费204745.15元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主要用于支付中心其他医疗支出。</w:t>
      </w:r>
    </w:p>
    <w:p w14:paraId="55E4610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三、一般公共预算财政拨款支出决算情况说明</w:t>
      </w:r>
    </w:p>
    <w:p w14:paraId="0C9B836E">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楷体" w:cs="Times New Roman"/>
          <w:sz w:val="30"/>
          <w:szCs w:val="30"/>
          <w:highlight w:val="none"/>
        </w:rPr>
      </w:pPr>
      <w:r>
        <w:rPr>
          <w:rFonts w:hint="default" w:ascii="Times New Roman" w:hAnsi="Times New Roman" w:eastAsia="楷体" w:cs="Times New Roman"/>
          <w:sz w:val="30"/>
          <w:szCs w:val="30"/>
          <w:highlight w:val="none"/>
        </w:rPr>
        <w:t>（一）一般公共预算财政拨款支出决算总体情况</w:t>
      </w:r>
    </w:p>
    <w:p w14:paraId="63116921">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1"/>
        <w:rPr>
          <w:rFonts w:hint="default" w:ascii="Times New Roman" w:hAnsi="Times New Roman" w:eastAsia="仿宋_GB2312" w:cs="Times New Roman"/>
          <w:i w:val="0"/>
          <w:iCs w:val="0"/>
          <w:caps w:val="0"/>
          <w:color w:val="333333"/>
          <w:spacing w:val="0"/>
          <w:sz w:val="30"/>
          <w:szCs w:val="30"/>
          <w:shd w:val="clear" w:fill="FFFFFF"/>
        </w:rPr>
      </w:pPr>
      <w:r>
        <w:rPr>
          <w:rFonts w:hint="default" w:ascii="Times New Roman" w:hAnsi="Times New Roman" w:eastAsia="仿宋_GB2312" w:cs="Times New Roman"/>
          <w:i w:val="0"/>
          <w:iCs w:val="0"/>
          <w:caps w:val="0"/>
          <w:color w:val="333333"/>
          <w:spacing w:val="0"/>
          <w:sz w:val="30"/>
          <w:szCs w:val="30"/>
          <w:shd w:val="clear" w:fill="FFFFFF"/>
        </w:rPr>
        <w:t>官渡区官渡街道社区卫生服务中心2025年度一般公共预算财政拨款支出23500366.43元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占本年支出合计的64.48%。与上年一般公共预算财政拨款支出27065266.25相比</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减少3564899.82元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下降13.17%</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完成年初预算的100%。本年一般公共预算财政拨款支出减少的主要原因是：人员及公用经费支出较上年增加292946.16元；项目支出比上年减少3857845.98元</w:t>
      </w:r>
      <w:r>
        <w:rPr>
          <w:rFonts w:hint="default" w:ascii="Times New Roman" w:hAnsi="Times New Roman" w:eastAsia="仿宋_GB2312" w:cs="Times New Roman"/>
          <w:i w:val="0"/>
          <w:iCs w:val="0"/>
          <w:caps w:val="0"/>
          <w:color w:val="333333"/>
          <w:spacing w:val="0"/>
          <w:sz w:val="30"/>
          <w:szCs w:val="30"/>
          <w:shd w:val="clear" w:fill="FFFFFF"/>
          <w:lang w:eastAsia="zh-CN"/>
        </w:rPr>
        <w:t>，</w:t>
      </w:r>
      <w:r>
        <w:rPr>
          <w:rFonts w:hint="default" w:ascii="Times New Roman" w:hAnsi="Times New Roman" w:eastAsia="仿宋_GB2312" w:cs="Times New Roman"/>
          <w:i w:val="0"/>
          <w:iCs w:val="0"/>
          <w:caps w:val="0"/>
          <w:color w:val="333333"/>
          <w:spacing w:val="0"/>
          <w:sz w:val="30"/>
          <w:szCs w:val="30"/>
          <w:shd w:val="clear" w:fill="FFFFFF"/>
        </w:rPr>
        <w:t>主要是新冠疫情防控补助经费较上年减少。</w:t>
      </w:r>
    </w:p>
    <w:p w14:paraId="5413003B">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rPr>
        <w:t>（二）一般公共预算财政拨款支出决算</w:t>
      </w:r>
      <w:r>
        <w:rPr>
          <w:rFonts w:hint="default" w:ascii="Times New Roman" w:hAnsi="Times New Roman" w:eastAsia="楷体" w:cs="Times New Roman"/>
          <w:sz w:val="30"/>
          <w:szCs w:val="30"/>
          <w:highlight w:val="none"/>
          <w:lang w:eastAsia="zh-CN"/>
        </w:rPr>
        <w:t>分功能分类科目情况</w:t>
      </w:r>
    </w:p>
    <w:p w14:paraId="551B8A5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1.一般公共服务（类）支出，占一般公共预算财政拨款总支出的0.00%，年初无此项预算。</w:t>
      </w:r>
    </w:p>
    <w:p w14:paraId="19FA17C2">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2.外交（类）支出，占一般公共预算财政拨款总支出的0.00%，年初无此项预算。</w:t>
      </w:r>
    </w:p>
    <w:p w14:paraId="7C556086">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3.国防（类）支出，占一般公共预算财政拨款总支出的0.00%，年初无此项预算。</w:t>
      </w:r>
    </w:p>
    <w:p w14:paraId="440B47F2">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4.公共安全（类）支出，占一般公共预算财政拨款总支出的0.00%，年初无此项预算。</w:t>
      </w:r>
    </w:p>
    <w:p w14:paraId="5545E83E">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5.教育（类）支出，占一般公共预算财政拨款总支出的0.00%，年初无此项预算。</w:t>
      </w:r>
    </w:p>
    <w:p w14:paraId="0CB01C7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6.科学技术（类）支出50000.00元，占一般公共预算财政拨款总支出的0.21%。其中：2060499其他技术研究与开发支出50000.00元，主要用于2024年省级区域创新能力提升专项支出。</w:t>
      </w:r>
    </w:p>
    <w:p w14:paraId="10F2BD70">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7.文化旅游体育与传媒（类）支出，占一般公共预算财政拨款总支出的0.00%，年初无此项预算。</w:t>
      </w:r>
    </w:p>
    <w:p w14:paraId="12FD3BE6">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8.社会保障和就业（类）支出2715408.64元，占一般公共预算财政拨款总支出的11.55%。其中：2080505机关事业单位基本养老保险缴费支出1387694.72元，主要用于单位基本养老保险缴费支出；2080506机关事业单位职业年金缴费支出699113.92元，主要用于单位职工职业年金缴费支出；2080502事业单位离退休628600元，主要用于离退休人员经费支出。</w:t>
      </w:r>
    </w:p>
    <w:p w14:paraId="319367E1">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9.卫生健康（类）支出19502660.79元，占一般公共预算财政拨款总支出的82.99%。其中：</w:t>
      </w:r>
    </w:p>
    <w:p w14:paraId="594642CE">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（1）2100301城市社区卫生机构支出10120862.26元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主要用于财政全额拨款在职在编职工的工资福利、津补贴、绩效奖金、社会保障缴费等人员经费及单位日常公用经费。</w:t>
      </w:r>
    </w:p>
    <w:p w14:paraId="1509A85E">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（2）2100399其他基层医疗卫生机构支出1732673.5元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主要用于基本药物采购</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以及开展医疗卫生事业高质量发展三年行动计划项目支出。</w:t>
      </w:r>
    </w:p>
    <w:p w14:paraId="4E7EDDA8">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（3）2100408基本公共卫生服务支出6062361.58元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主要用于基本公共卫生项目服务支出。</w:t>
      </w:r>
    </w:p>
    <w:p w14:paraId="2E507D85">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（4）2100409重大公共卫生服务支出60520.15元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主要用于慢性病、传染病等疾病防治工作。</w:t>
      </w:r>
    </w:p>
    <w:p w14:paraId="28EFC05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（5）2100410突发公共卫生应急处理支出350000.00元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主要用于新冠疫情高风险人群疫情防控、新冠疫苗接种工作经费支出。</w:t>
      </w:r>
    </w:p>
    <w:p w14:paraId="464C4EC8">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（6）2100499其他公共卫生支出5225.00元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主要用于麻风病防治、儿童视力检查宣传印刷费等。</w:t>
      </w:r>
    </w:p>
    <w:p w14:paraId="1FDD75A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（7）2101102事业单位医疗支出589100.46元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主要用于在职在编人员基本医疗保险缴费支出。</w:t>
      </w:r>
    </w:p>
    <w:p w14:paraId="50A591FA">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（8）2101103公务员医疗补助支出446014.44元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主要用于在职在编人员公务员医疗补助缴费支出。</w:t>
      </w:r>
    </w:p>
    <w:p w14:paraId="20565FD0">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（9）2101199其他行政事业单位医疗支出114103.40元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主要用于工伤保险、残疾人保障金缴费支出。</w:t>
      </w:r>
    </w:p>
    <w:p w14:paraId="48A99948">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（10）2101704中医（民族医）药专项支出5000.00元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主要用于医疗服务与保障能力提升补助资金（中医药事业传承与发展部分）支出.</w:t>
      </w:r>
    </w:p>
    <w:p w14:paraId="708E86DF">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（11）2109999其他卫生健康支出16800.00元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主要用于重性精神病人监护人以奖代补经费。</w:t>
      </w:r>
    </w:p>
    <w:p w14:paraId="1E190555">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10.节能环保（类）支出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1C7FC54C">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11.城乡社区（类）支出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16B23442">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12.农林水（类）支出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51469E92">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13.交通运输（类）支出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265F09EA">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14.资源勘探工业信息等（类）支出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141C8D80">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15.商业服务业等（类）支出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62013646">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16.金融（类）支出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1CA5197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17.援助其他地区（类）支出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08E57937">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18.自然资源海洋气象等（类）支出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7FB30CF4">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19.住房保障（类）支出1232297.00元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占一般公共预算财政拨款总支出的5.2400%。其中：2210201住房公积金支出1232297.00元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主要用于单位职工住房公积金缴费支出。</w:t>
      </w:r>
    </w:p>
    <w:p w14:paraId="4DEB90CA">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20.粮油物资储备（类）支出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151EA90F">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21.国有资本经营预算（类）支出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4FD0029F">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22.灾害防治及应急管理（类）支出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6CA6F909">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23.其他（类）支出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6653971B">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24.债务还本（类）支出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3AAF0C7C">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25.债务付息（类）支出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5525E614">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26.抗疫特别国债安排（类）支出</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占一般公共预算财政拨款总支出的0.00%</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年初无此项预算。</w:t>
      </w:r>
    </w:p>
    <w:p w14:paraId="52B56AD9">
      <w:pPr>
        <w:keepNext w:val="0"/>
        <w:keepLines w:val="0"/>
        <w:pageBreakBefore w:val="0"/>
        <w:widowControl/>
        <w:kinsoku/>
        <w:overflowPunct/>
        <w:topLinePunct w:val="0"/>
        <w:autoSpaceDE/>
        <w:autoSpaceDN/>
        <w:bidi w:val="0"/>
        <w:adjustRightInd/>
        <w:snapToGrid w:val="0"/>
        <w:spacing w:before="100" w:after="100" w:line="600" w:lineRule="exact"/>
        <w:ind w:firstLine="600" w:firstLineChars="200"/>
        <w:jc w:val="both"/>
        <w:textAlignment w:val="auto"/>
        <w:outlineLvl w:val="2"/>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lang w:eastAsia="zh-CN"/>
        </w:rPr>
        <w:t>四、</w:t>
      </w:r>
      <w:r>
        <w:rPr>
          <w:rFonts w:hint="default" w:ascii="Times New Roman" w:hAnsi="Times New Roman" w:eastAsia="黑体" w:cs="Times New Roman"/>
          <w:sz w:val="30"/>
          <w:szCs w:val="30"/>
          <w:highlight w:val="none"/>
        </w:rPr>
        <w:t>财政拨款“三公”经费支出决算情况说明</w:t>
      </w:r>
    </w:p>
    <w:p w14:paraId="338A0FB7">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outlineLvl w:val="2"/>
        <w:rPr>
          <w:rFonts w:hint="default" w:ascii="Times New Roman" w:hAnsi="Times New Roman" w:eastAsia="楷体_GB2312" w:cs="Times New Roman"/>
          <w:kern w:val="0"/>
          <w:sz w:val="30"/>
          <w:szCs w:val="30"/>
          <w:highlight w:val="none"/>
          <w:lang w:val="en-US" w:eastAsia="zh-CN"/>
        </w:rPr>
      </w:pPr>
      <w:r>
        <w:rPr>
          <w:rFonts w:hint="default" w:ascii="Times New Roman" w:hAnsi="Times New Roman" w:eastAsia="楷体_GB2312" w:cs="Times New Roman"/>
          <w:kern w:val="0"/>
          <w:sz w:val="30"/>
          <w:szCs w:val="30"/>
          <w:highlight w:val="none"/>
          <w:lang w:val="en-US" w:eastAsia="zh-CN"/>
        </w:rPr>
        <w:t>（一）总体情况</w:t>
      </w:r>
    </w:p>
    <w:p w14:paraId="2F228448">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color w:val="auto"/>
          <w:sz w:val="30"/>
          <w:szCs w:val="30"/>
          <w:lang w:val="en-US" w:eastAsia="zh-CN"/>
        </w:rPr>
      </w:pPr>
      <w:r>
        <w:rPr>
          <w:rFonts w:hint="default" w:ascii="Times New Roman" w:hAnsi="Times New Roman" w:eastAsia="仿宋_GB2312" w:cs="Times New Roman"/>
          <w:kern w:val="0"/>
          <w:sz w:val="30"/>
          <w:szCs w:val="30"/>
          <w:highlight w:val="none"/>
          <w:lang w:val="en-US" w:eastAsia="zh-CN"/>
        </w:rPr>
        <w:t>2025年度</w:t>
      </w:r>
      <w:r>
        <w:rPr>
          <w:rFonts w:hint="default" w:ascii="Times New Roman" w:hAnsi="Times New Roman" w:eastAsia="仿宋_GB2312" w:cs="Times New Roman"/>
          <w:kern w:val="0"/>
          <w:sz w:val="30"/>
          <w:szCs w:val="30"/>
          <w:highlight w:val="none"/>
        </w:rPr>
        <w:t>财政拨款“三公”经费支出决算中</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财政拨款“三公”经费支出</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kern w:val="0"/>
          <w:sz w:val="30"/>
          <w:szCs w:val="30"/>
          <w:highlight w:val="none"/>
        </w:rPr>
        <w:t>预算为</w:t>
      </w:r>
      <w:r>
        <w:rPr>
          <w:rFonts w:hint="default" w:ascii="Times New Roman" w:hAnsi="Times New Roman" w:eastAsia="仿宋_GB2312" w:cs="Times New Roman"/>
          <w:color w:val="000000"/>
          <w:kern w:val="0"/>
          <w:sz w:val="30"/>
          <w:szCs w:val="30"/>
          <w:lang w:val="en-US" w:eastAsia="zh-CN"/>
        </w:rPr>
        <w:t>15390.00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决算为</w:t>
      </w:r>
      <w:r>
        <w:rPr>
          <w:rFonts w:hint="default" w:ascii="Times New Roman" w:hAnsi="Times New Roman" w:eastAsia="仿宋_GB2312" w:cs="Times New Roman"/>
          <w:color w:val="000000"/>
          <w:sz w:val="30"/>
          <w:szCs w:val="30"/>
          <w:lang w:val="zh-CN"/>
        </w:rPr>
        <w:t>11373.25</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完成</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kern w:val="0"/>
          <w:sz w:val="30"/>
          <w:szCs w:val="30"/>
          <w:highlight w:val="none"/>
        </w:rPr>
        <w:t>预算的</w:t>
      </w:r>
      <w:r>
        <w:rPr>
          <w:rFonts w:hint="default" w:ascii="Times New Roman" w:hAnsi="Times New Roman" w:eastAsia="仿宋_GB2312" w:cs="Times New Roman"/>
          <w:color w:val="000000"/>
          <w:sz w:val="30"/>
          <w:szCs w:val="30"/>
          <w:lang w:val="zh-CN"/>
        </w:rPr>
        <w:t>73.90</w:t>
      </w:r>
      <w:r>
        <w:rPr>
          <w:rFonts w:hint="default" w:ascii="Times New Roman" w:hAnsi="Times New Roman" w:eastAsia="仿宋_GB2312" w:cs="Times New Roman"/>
          <w:kern w:val="0"/>
          <w:sz w:val="30"/>
          <w:szCs w:val="30"/>
          <w:highlight w:val="none"/>
        </w:rPr>
        <w:t>%</w:t>
      </w:r>
      <w:r>
        <w:rPr>
          <w:rFonts w:hint="default" w:ascii="Times New Roman" w:hAnsi="Times New Roman" w:eastAsia="仿宋_GB2312" w:cs="Times New Roman"/>
          <w:kern w:val="0"/>
          <w:sz w:val="30"/>
          <w:szCs w:val="30"/>
          <w:highlight w:val="none"/>
          <w:lang w:eastAsia="zh-CN"/>
        </w:rPr>
        <w:t>；支出决算较上年25588.49</w:t>
      </w:r>
      <w:r>
        <w:rPr>
          <w:rFonts w:hint="default" w:ascii="Times New Roman" w:hAnsi="Times New Roman" w:eastAsia="仿宋_GB2312" w:cs="Times New Roman"/>
          <w:kern w:val="0"/>
          <w:sz w:val="30"/>
          <w:szCs w:val="30"/>
          <w:highlight w:val="none"/>
          <w:lang w:val="en-US" w:eastAsia="zh-CN"/>
        </w:rPr>
        <w:t>元相比</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val="en-US" w:eastAsia="zh-CN"/>
        </w:rPr>
        <w:t>减少</w:t>
      </w:r>
      <w:r>
        <w:rPr>
          <w:rFonts w:hint="default" w:ascii="Times New Roman" w:hAnsi="Times New Roman" w:eastAsia="仿宋_GB2312" w:cs="Times New Roman"/>
          <w:color w:val="000000"/>
          <w:sz w:val="30"/>
          <w:szCs w:val="30"/>
          <w:lang w:val="zh-CN"/>
        </w:rPr>
        <w:t>14215.24</w:t>
      </w:r>
      <w:r>
        <w:rPr>
          <w:rFonts w:hint="default" w:ascii="Times New Roman" w:hAnsi="Times New Roman" w:eastAsia="仿宋_GB2312" w:cs="Times New Roman"/>
          <w:kern w:val="0"/>
          <w:sz w:val="30"/>
          <w:szCs w:val="30"/>
          <w:highlight w:val="none"/>
          <w:lang w:val="en-US" w:eastAsia="zh-CN"/>
        </w:rPr>
        <w:t>元</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val="en-US" w:eastAsia="zh-CN"/>
        </w:rPr>
        <w:t>下降</w:t>
      </w:r>
      <w:r>
        <w:rPr>
          <w:rFonts w:hint="default" w:ascii="Times New Roman" w:hAnsi="Times New Roman" w:eastAsia="仿宋_GB2312" w:cs="Times New Roman"/>
          <w:color w:val="000000"/>
          <w:sz w:val="30"/>
          <w:szCs w:val="30"/>
          <w:lang w:val="zh-CN"/>
        </w:rPr>
        <w:t>55.55</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color w:val="auto"/>
          <w:sz w:val="30"/>
          <w:szCs w:val="30"/>
          <w:lang w:eastAsia="zh-CN"/>
        </w:rPr>
        <w:t>。</w:t>
      </w:r>
      <w:r>
        <w:rPr>
          <w:rFonts w:hint="default" w:ascii="Times New Roman" w:hAnsi="Times New Roman" w:eastAsia="仿宋_GB2312" w:cs="Times New Roman"/>
          <w:color w:val="auto"/>
          <w:sz w:val="30"/>
          <w:szCs w:val="30"/>
          <w:lang w:val="en-US" w:eastAsia="zh-CN"/>
        </w:rPr>
        <w:t>其中：</w:t>
      </w:r>
    </w:p>
    <w:p w14:paraId="72FF4B33">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kern w:val="0"/>
          <w:sz w:val="30"/>
          <w:szCs w:val="30"/>
          <w:highlight w:val="none"/>
        </w:rPr>
      </w:pPr>
      <w:r>
        <w:rPr>
          <w:rFonts w:hint="default" w:ascii="Times New Roman" w:hAnsi="Times New Roman" w:eastAsia="仿宋_GB2312" w:cs="Times New Roman"/>
          <w:kern w:val="0"/>
          <w:sz w:val="30"/>
          <w:szCs w:val="30"/>
          <w:highlight w:val="none"/>
          <w:lang w:val="en-US" w:eastAsia="zh-CN"/>
        </w:rPr>
        <w:t>1.</w:t>
      </w:r>
      <w:r>
        <w:rPr>
          <w:rFonts w:hint="default" w:ascii="Times New Roman" w:hAnsi="Times New Roman" w:eastAsia="仿宋_GB2312" w:cs="Times New Roman"/>
          <w:kern w:val="0"/>
          <w:sz w:val="30"/>
          <w:szCs w:val="30"/>
          <w:highlight w:val="none"/>
        </w:rPr>
        <w:t>因公出国（境）费</w:t>
      </w:r>
      <w:r>
        <w:rPr>
          <w:rFonts w:hint="default" w:ascii="Times New Roman" w:hAnsi="Times New Roman" w:eastAsia="仿宋_GB2312" w:cs="Times New Roman"/>
          <w:kern w:val="0"/>
          <w:sz w:val="30"/>
          <w:szCs w:val="30"/>
          <w:highlight w:val="none"/>
          <w:lang w:val="en-US" w:eastAsia="zh-CN"/>
        </w:rPr>
        <w:t>用用</w:t>
      </w:r>
      <w:r>
        <w:rPr>
          <w:rFonts w:hint="default" w:ascii="Times New Roman" w:hAnsi="Times New Roman" w:eastAsia="仿宋_GB2312" w:cs="Times New Roman"/>
          <w:kern w:val="0"/>
          <w:sz w:val="30"/>
          <w:szCs w:val="30"/>
          <w:highlight w:val="none"/>
        </w:rPr>
        <w:t>支出</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kern w:val="0"/>
          <w:sz w:val="30"/>
          <w:szCs w:val="30"/>
          <w:highlight w:val="none"/>
        </w:rPr>
        <w:t>预算为</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决算为</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占财政拨款“三公”经费</w:t>
      </w:r>
      <w:r>
        <w:rPr>
          <w:rFonts w:hint="default" w:ascii="Times New Roman" w:hAnsi="Times New Roman" w:eastAsia="仿宋_GB2312" w:cs="Times New Roman"/>
          <w:kern w:val="0"/>
          <w:sz w:val="30"/>
          <w:szCs w:val="30"/>
          <w:highlight w:val="none"/>
          <w:lang w:eastAsia="zh-CN"/>
        </w:rPr>
        <w:t>总支出决算的</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完成年初预算的</w:t>
      </w:r>
      <w:r>
        <w:rPr>
          <w:rFonts w:hint="default" w:ascii="Times New Roman" w:hAnsi="Times New Roman" w:eastAsia="仿宋_GB2312" w:cs="Times New Roman"/>
          <w:kern w:val="0"/>
          <w:sz w:val="30"/>
          <w:szCs w:val="30"/>
          <w:highlight w:val="none"/>
          <w:lang w:val="en-US" w:eastAsia="zh-CN"/>
        </w:rPr>
        <w:t>0.00%</w:t>
      </w:r>
      <w:r>
        <w:rPr>
          <w:rFonts w:hint="default" w:ascii="Times New Roman" w:hAnsi="Times New Roman" w:eastAsia="仿宋_GB2312" w:cs="Times New Roman"/>
          <w:kern w:val="0"/>
          <w:sz w:val="30"/>
          <w:szCs w:val="30"/>
          <w:highlight w:val="none"/>
        </w:rPr>
        <w:t>；</w:t>
      </w:r>
    </w:p>
    <w:p w14:paraId="32BC039B">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kern w:val="0"/>
          <w:sz w:val="30"/>
          <w:szCs w:val="30"/>
          <w:highlight w:val="none"/>
        </w:rPr>
      </w:pPr>
      <w:r>
        <w:rPr>
          <w:rFonts w:hint="default" w:ascii="Times New Roman" w:hAnsi="Times New Roman" w:eastAsia="仿宋_GB2312" w:cs="Times New Roman"/>
          <w:kern w:val="0"/>
          <w:sz w:val="30"/>
          <w:szCs w:val="30"/>
          <w:highlight w:val="none"/>
          <w:lang w:val="en-US" w:eastAsia="zh-CN"/>
        </w:rPr>
        <w:t>2.</w:t>
      </w:r>
      <w:r>
        <w:rPr>
          <w:rFonts w:hint="default" w:ascii="Times New Roman" w:hAnsi="Times New Roman" w:eastAsia="仿宋_GB2312" w:cs="Times New Roman"/>
          <w:kern w:val="0"/>
          <w:sz w:val="30"/>
          <w:szCs w:val="30"/>
          <w:highlight w:val="none"/>
        </w:rPr>
        <w:t>公务用车购置费支出</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kern w:val="0"/>
          <w:sz w:val="30"/>
          <w:szCs w:val="30"/>
          <w:highlight w:val="none"/>
        </w:rPr>
        <w:t>预算为</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决算为</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占财政拨款“三公”经费</w:t>
      </w:r>
      <w:r>
        <w:rPr>
          <w:rFonts w:hint="default" w:ascii="Times New Roman" w:hAnsi="Times New Roman" w:eastAsia="仿宋_GB2312" w:cs="Times New Roman"/>
          <w:kern w:val="0"/>
          <w:sz w:val="30"/>
          <w:szCs w:val="30"/>
          <w:highlight w:val="none"/>
          <w:lang w:eastAsia="zh-CN"/>
        </w:rPr>
        <w:t>总支出决算的</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完成年初预算的</w:t>
      </w:r>
      <w:r>
        <w:rPr>
          <w:rFonts w:hint="default" w:ascii="Times New Roman" w:hAnsi="Times New Roman" w:eastAsia="仿宋_GB2312" w:cs="Times New Roman"/>
          <w:kern w:val="0"/>
          <w:sz w:val="30"/>
          <w:szCs w:val="30"/>
          <w:highlight w:val="none"/>
          <w:lang w:val="en-US" w:eastAsia="zh-CN"/>
        </w:rPr>
        <w:t>0.00%</w:t>
      </w:r>
      <w:r>
        <w:rPr>
          <w:rFonts w:hint="default" w:ascii="Times New Roman" w:hAnsi="Times New Roman" w:eastAsia="仿宋_GB2312" w:cs="Times New Roman"/>
          <w:kern w:val="0"/>
          <w:sz w:val="30"/>
          <w:szCs w:val="30"/>
          <w:highlight w:val="none"/>
        </w:rPr>
        <w:t>；</w:t>
      </w:r>
    </w:p>
    <w:p w14:paraId="2D0E68A2">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kern w:val="0"/>
          <w:sz w:val="30"/>
          <w:szCs w:val="30"/>
          <w:highlight w:val="none"/>
          <w:lang w:val="en-US" w:eastAsia="zh-CN"/>
        </w:rPr>
      </w:pPr>
      <w:r>
        <w:rPr>
          <w:rFonts w:hint="default" w:ascii="Times New Roman" w:hAnsi="Times New Roman" w:eastAsia="仿宋_GB2312" w:cs="Times New Roman"/>
          <w:kern w:val="0"/>
          <w:sz w:val="30"/>
          <w:szCs w:val="30"/>
          <w:highlight w:val="none"/>
          <w:lang w:val="en-US" w:eastAsia="zh-CN"/>
        </w:rPr>
        <w:t>3.</w:t>
      </w:r>
      <w:r>
        <w:rPr>
          <w:rFonts w:hint="default" w:ascii="Times New Roman" w:hAnsi="Times New Roman" w:eastAsia="仿宋_GB2312" w:cs="Times New Roman"/>
          <w:kern w:val="0"/>
          <w:sz w:val="30"/>
          <w:szCs w:val="30"/>
          <w:highlight w:val="none"/>
        </w:rPr>
        <w:t>公务用车</w:t>
      </w:r>
      <w:r>
        <w:rPr>
          <w:rFonts w:hint="default" w:ascii="Times New Roman" w:hAnsi="Times New Roman" w:eastAsia="仿宋_GB2312" w:cs="Times New Roman"/>
          <w:kern w:val="0"/>
          <w:sz w:val="30"/>
          <w:szCs w:val="30"/>
          <w:highlight w:val="none"/>
          <w:lang w:eastAsia="zh-CN"/>
        </w:rPr>
        <w:t>运行维护</w:t>
      </w:r>
      <w:r>
        <w:rPr>
          <w:rFonts w:hint="default" w:ascii="Times New Roman" w:hAnsi="Times New Roman" w:eastAsia="仿宋_GB2312" w:cs="Times New Roman"/>
          <w:kern w:val="0"/>
          <w:sz w:val="30"/>
          <w:szCs w:val="30"/>
          <w:highlight w:val="none"/>
        </w:rPr>
        <w:t>费支出</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kern w:val="0"/>
          <w:sz w:val="30"/>
          <w:szCs w:val="30"/>
          <w:highlight w:val="none"/>
        </w:rPr>
        <w:t>预算为</w:t>
      </w:r>
      <w:r>
        <w:rPr>
          <w:rFonts w:hint="default" w:ascii="Times New Roman" w:hAnsi="Times New Roman" w:eastAsia="仿宋_GB2312" w:cs="Times New Roman"/>
          <w:color w:val="000000"/>
          <w:sz w:val="30"/>
          <w:szCs w:val="30"/>
          <w:lang w:val="zh-CN"/>
        </w:rPr>
        <w:t>15390.00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决算为</w:t>
      </w:r>
      <w:r>
        <w:rPr>
          <w:rFonts w:hint="default" w:ascii="Times New Roman" w:hAnsi="Times New Roman" w:eastAsia="仿宋_GB2312" w:cs="Times New Roman"/>
          <w:color w:val="000000"/>
          <w:sz w:val="30"/>
          <w:szCs w:val="30"/>
          <w:lang w:val="zh-CN"/>
        </w:rPr>
        <w:t>11373.25</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占财政拨款“三公”经费</w:t>
      </w:r>
      <w:r>
        <w:rPr>
          <w:rFonts w:hint="default" w:ascii="Times New Roman" w:hAnsi="Times New Roman" w:eastAsia="仿宋_GB2312" w:cs="Times New Roman"/>
          <w:kern w:val="0"/>
          <w:sz w:val="30"/>
          <w:szCs w:val="30"/>
          <w:highlight w:val="none"/>
          <w:lang w:eastAsia="zh-CN"/>
        </w:rPr>
        <w:t>总支出决算的</w:t>
      </w:r>
      <w:r>
        <w:rPr>
          <w:rFonts w:hint="default" w:ascii="Times New Roman" w:hAnsi="Times New Roman" w:eastAsia="仿宋_GB2312" w:cs="Times New Roman"/>
          <w:color w:val="000000"/>
          <w:sz w:val="30"/>
          <w:szCs w:val="30"/>
          <w:lang w:val="zh-CN"/>
        </w:rPr>
        <w:t>100.00</w:t>
      </w:r>
      <w:r>
        <w:rPr>
          <w:rFonts w:hint="default" w:ascii="Times New Roman" w:hAnsi="Times New Roman" w:eastAsia="仿宋_GB2312" w:cs="Times New Roman"/>
          <w:kern w:val="0"/>
          <w:sz w:val="30"/>
          <w:szCs w:val="30"/>
          <w:highlight w:val="none"/>
        </w:rPr>
        <w:t>%</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完成年初预算的</w:t>
      </w:r>
      <w:r>
        <w:rPr>
          <w:rFonts w:hint="default" w:ascii="Times New Roman" w:hAnsi="Times New Roman" w:eastAsia="仿宋_GB2312" w:cs="Times New Roman"/>
          <w:color w:val="000000"/>
          <w:sz w:val="30"/>
          <w:szCs w:val="30"/>
          <w:lang w:val="zh-CN"/>
        </w:rPr>
        <w:t>73.90</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eastAsia="zh-CN"/>
        </w:rPr>
        <w:t>支出决算较上年25</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eastAsia="zh-CN"/>
        </w:rPr>
        <w:t>588.49</w:t>
      </w:r>
      <w:r>
        <w:rPr>
          <w:rFonts w:hint="default" w:ascii="Times New Roman" w:hAnsi="Times New Roman" w:eastAsia="仿宋_GB2312" w:cs="Times New Roman"/>
          <w:kern w:val="0"/>
          <w:sz w:val="30"/>
          <w:szCs w:val="30"/>
          <w:highlight w:val="none"/>
          <w:lang w:val="en-US" w:eastAsia="zh-CN"/>
        </w:rPr>
        <w:t>元相比</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val="en-US" w:eastAsia="zh-CN"/>
        </w:rPr>
        <w:t>减少</w:t>
      </w:r>
      <w:r>
        <w:rPr>
          <w:rFonts w:hint="default" w:ascii="Times New Roman" w:hAnsi="Times New Roman" w:eastAsia="仿宋_GB2312" w:cs="Times New Roman"/>
          <w:color w:val="000000"/>
          <w:sz w:val="30"/>
          <w:szCs w:val="30"/>
          <w:lang w:val="zh-CN"/>
        </w:rPr>
        <w:t>14</w:t>
      </w:r>
      <w:r>
        <w:rPr>
          <w:rFonts w:hint="default" w:ascii="Times New Roman" w:hAnsi="Times New Roman" w:eastAsia="仿宋_GB2312" w:cs="Times New Roman"/>
          <w:color w:val="000000"/>
          <w:sz w:val="30"/>
          <w:szCs w:val="30"/>
          <w:lang w:val="en-US" w:eastAsia="zh-CN"/>
        </w:rPr>
        <w:t>，</w:t>
      </w:r>
      <w:r>
        <w:rPr>
          <w:rFonts w:hint="default" w:ascii="Times New Roman" w:hAnsi="Times New Roman" w:eastAsia="仿宋_GB2312" w:cs="Times New Roman"/>
          <w:color w:val="000000"/>
          <w:sz w:val="30"/>
          <w:szCs w:val="30"/>
          <w:lang w:val="zh-CN"/>
        </w:rPr>
        <w:t>215.24</w:t>
      </w:r>
      <w:r>
        <w:rPr>
          <w:rFonts w:hint="default" w:ascii="Times New Roman" w:hAnsi="Times New Roman" w:eastAsia="仿宋_GB2312" w:cs="Times New Roman"/>
          <w:kern w:val="0"/>
          <w:sz w:val="30"/>
          <w:szCs w:val="30"/>
          <w:highlight w:val="none"/>
          <w:lang w:val="en-US" w:eastAsia="zh-CN"/>
        </w:rPr>
        <w:t>元</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val="en-US" w:eastAsia="zh-CN"/>
        </w:rPr>
        <w:t>下降</w:t>
      </w:r>
      <w:r>
        <w:rPr>
          <w:rFonts w:hint="default" w:ascii="Times New Roman" w:hAnsi="Times New Roman" w:eastAsia="仿宋_GB2312" w:cs="Times New Roman"/>
          <w:color w:val="000000"/>
          <w:sz w:val="30"/>
          <w:szCs w:val="30"/>
          <w:lang w:val="zh-CN"/>
        </w:rPr>
        <w:t>55.55</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color w:val="auto"/>
          <w:sz w:val="30"/>
          <w:szCs w:val="30"/>
          <w:lang w:eastAsia="zh-CN"/>
        </w:rPr>
        <w:t>。</w:t>
      </w:r>
    </w:p>
    <w:p w14:paraId="6F908E93">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color w:val="FF0000"/>
          <w:sz w:val="30"/>
          <w:szCs w:val="30"/>
          <w:lang w:eastAsia="zh-CN"/>
        </w:rPr>
      </w:pPr>
      <w:r>
        <w:rPr>
          <w:rFonts w:hint="default" w:ascii="Times New Roman" w:hAnsi="Times New Roman" w:eastAsia="仿宋_GB2312" w:cs="Times New Roman"/>
          <w:kern w:val="0"/>
          <w:sz w:val="30"/>
          <w:szCs w:val="30"/>
          <w:highlight w:val="none"/>
          <w:lang w:val="en-US" w:eastAsia="zh-CN"/>
        </w:rPr>
        <w:t>4.</w:t>
      </w:r>
      <w:r>
        <w:rPr>
          <w:rFonts w:hint="default" w:ascii="Times New Roman" w:hAnsi="Times New Roman" w:eastAsia="仿宋_GB2312" w:cs="Times New Roman"/>
          <w:kern w:val="0"/>
          <w:sz w:val="30"/>
          <w:szCs w:val="30"/>
          <w:highlight w:val="none"/>
        </w:rPr>
        <w:t>公务接待费支出</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kern w:val="0"/>
          <w:sz w:val="30"/>
          <w:szCs w:val="30"/>
          <w:highlight w:val="none"/>
        </w:rPr>
        <w:t>预算为</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决算为</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元</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rPr>
        <w:t>占财政拨款“三公”经费</w:t>
      </w:r>
      <w:r>
        <w:rPr>
          <w:rFonts w:hint="default" w:ascii="Times New Roman" w:hAnsi="Times New Roman" w:eastAsia="仿宋_GB2312" w:cs="Times New Roman"/>
          <w:kern w:val="0"/>
          <w:sz w:val="30"/>
          <w:szCs w:val="30"/>
          <w:highlight w:val="none"/>
          <w:lang w:eastAsia="zh-CN"/>
        </w:rPr>
        <w:t>总支出决算的</w:t>
      </w:r>
      <w:r>
        <w:rPr>
          <w:rFonts w:hint="default" w:ascii="Times New Roman" w:hAnsi="Times New Roman" w:eastAsia="仿宋_GB2312" w:cs="Times New Roman"/>
          <w:color w:val="000000"/>
          <w:sz w:val="30"/>
          <w:szCs w:val="30"/>
          <w:lang w:val="zh-CN"/>
        </w:rPr>
        <w:t>0.00</w:t>
      </w:r>
      <w:r>
        <w:rPr>
          <w:rFonts w:hint="default" w:ascii="Times New Roman" w:hAnsi="Times New Roman" w:eastAsia="仿宋_GB2312" w:cs="Times New Roman"/>
          <w:kern w:val="0"/>
          <w:sz w:val="30"/>
          <w:szCs w:val="30"/>
          <w:highlight w:val="none"/>
        </w:rPr>
        <w:t>%</w:t>
      </w:r>
      <w:r>
        <w:rPr>
          <w:rFonts w:hint="default" w:ascii="Times New Roman" w:hAnsi="Times New Roman" w:eastAsia="仿宋_GB2312" w:cs="Times New Roman"/>
          <w:kern w:val="0"/>
          <w:sz w:val="30"/>
          <w:szCs w:val="30"/>
          <w:highlight w:val="none"/>
          <w:lang w:eastAsia="zh-CN"/>
        </w:rPr>
        <w:t>，</w:t>
      </w:r>
      <w:r>
        <w:rPr>
          <w:rFonts w:hint="default" w:ascii="Times New Roman" w:hAnsi="Times New Roman" w:eastAsia="仿宋_GB2312" w:cs="Times New Roman"/>
          <w:kern w:val="0"/>
          <w:sz w:val="30"/>
          <w:szCs w:val="30"/>
          <w:highlight w:val="none"/>
          <w:lang w:eastAsia="zh-CN"/>
        </w:rPr>
        <w:t>完成年初预算的</w:t>
      </w:r>
      <w:r>
        <w:rPr>
          <w:rFonts w:hint="default" w:ascii="Times New Roman" w:hAnsi="Times New Roman" w:eastAsia="仿宋_GB2312" w:cs="Times New Roman"/>
          <w:kern w:val="0"/>
          <w:sz w:val="30"/>
          <w:szCs w:val="30"/>
          <w:highlight w:val="none"/>
          <w:lang w:val="en-US" w:eastAsia="zh-CN"/>
        </w:rPr>
        <w:t>0.00%；</w:t>
      </w:r>
    </w:p>
    <w:p w14:paraId="242EF65A">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kern w:val="0"/>
          <w:sz w:val="30"/>
          <w:szCs w:val="30"/>
          <w:highlight w:val="none"/>
          <w:lang w:val="en-US" w:eastAsia="zh-CN"/>
        </w:rPr>
      </w:pPr>
      <w:r>
        <w:rPr>
          <w:rFonts w:hint="default" w:ascii="Times New Roman" w:hAnsi="Times New Roman" w:eastAsia="仿宋_GB2312" w:cs="Times New Roman"/>
          <w:sz w:val="30"/>
          <w:szCs w:val="30"/>
          <w:highlight w:val="none"/>
          <w:lang w:val="en-US" w:eastAsia="zh-CN"/>
        </w:rPr>
        <w:t>5.无</w:t>
      </w:r>
      <w:r>
        <w:rPr>
          <w:rFonts w:hint="default" w:ascii="Times New Roman" w:hAnsi="Times New Roman" w:eastAsia="仿宋_GB2312" w:cs="Times New Roman"/>
          <w:sz w:val="30"/>
          <w:szCs w:val="30"/>
          <w:highlight w:val="none"/>
        </w:rPr>
        <w:t>因公出国（境）费</w:t>
      </w:r>
      <w:r>
        <w:rPr>
          <w:rFonts w:hint="default" w:ascii="Times New Roman" w:hAnsi="Times New Roman" w:eastAsia="仿宋_GB2312" w:cs="Times New Roman"/>
          <w:sz w:val="30"/>
          <w:szCs w:val="30"/>
          <w:highlight w:val="none"/>
          <w:lang w:val="en-US" w:eastAsia="zh-CN"/>
        </w:rPr>
        <w:t>用</w:t>
      </w:r>
      <w:r>
        <w:rPr>
          <w:rFonts w:hint="default" w:ascii="Times New Roman" w:hAnsi="Times New Roman" w:eastAsia="仿宋_GB2312" w:cs="Times New Roman"/>
          <w:kern w:val="0"/>
          <w:sz w:val="30"/>
          <w:szCs w:val="30"/>
          <w:highlight w:val="none"/>
          <w:lang w:eastAsia="zh-CN"/>
        </w:rPr>
        <w:t>支</w:t>
      </w:r>
      <w:r>
        <w:rPr>
          <w:rFonts w:hint="default" w:ascii="Times New Roman" w:hAnsi="Times New Roman" w:eastAsia="仿宋_GB2312" w:cs="Times New Roman"/>
          <w:kern w:val="0"/>
          <w:sz w:val="30"/>
          <w:szCs w:val="30"/>
          <w:highlight w:val="none"/>
          <w:lang w:val="en-US" w:eastAsia="zh-CN"/>
        </w:rPr>
        <w:t>出。</w:t>
      </w:r>
    </w:p>
    <w:p w14:paraId="2868C1E2">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outlineLvl w:val="2"/>
        <w:rPr>
          <w:rFonts w:hint="default" w:ascii="Times New Roman" w:hAnsi="Times New Roman" w:eastAsia="楷体_GB2312" w:cs="Times New Roman"/>
          <w:kern w:val="0"/>
          <w:sz w:val="30"/>
          <w:szCs w:val="30"/>
          <w:highlight w:val="none"/>
          <w:lang w:val="en-US" w:eastAsia="zh-CN"/>
        </w:rPr>
      </w:pPr>
      <w:r>
        <w:rPr>
          <w:rFonts w:hint="default" w:ascii="Times New Roman" w:hAnsi="Times New Roman" w:eastAsia="楷体_GB2312" w:cs="Times New Roman"/>
          <w:kern w:val="0"/>
          <w:sz w:val="30"/>
          <w:szCs w:val="30"/>
          <w:highlight w:val="none"/>
          <w:lang w:val="en-US" w:eastAsia="zh-CN"/>
        </w:rPr>
        <w:t>（二）一般公共预算财政拨款“三公”经费支出决算情况说明</w:t>
      </w:r>
    </w:p>
    <w:p w14:paraId="64C6ADF1">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kern w:val="0"/>
          <w:sz w:val="30"/>
          <w:szCs w:val="30"/>
          <w:highlight w:val="none"/>
          <w:lang w:eastAsia="zh-CN"/>
        </w:rPr>
      </w:pPr>
      <w:r>
        <w:rPr>
          <w:rFonts w:hint="default" w:ascii="Times New Roman" w:hAnsi="Times New Roman" w:eastAsia="仿宋_GB2312" w:cs="Times New Roman"/>
          <w:sz w:val="30"/>
          <w:szCs w:val="30"/>
          <w:highlight w:val="none"/>
          <w:lang w:val="en-US" w:eastAsia="zh-CN"/>
        </w:rPr>
        <w:t>2025年度</w:t>
      </w:r>
      <w:r>
        <w:rPr>
          <w:rFonts w:hint="default" w:ascii="Times New Roman" w:hAnsi="Times New Roman" w:eastAsia="仿宋_GB2312" w:cs="Times New Roman"/>
          <w:sz w:val="30"/>
          <w:szCs w:val="30"/>
          <w:highlight w:val="none"/>
        </w:rPr>
        <w:t>一般公共预算财政拨款“三公”经费支出</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sz w:val="30"/>
          <w:szCs w:val="30"/>
          <w:highlight w:val="none"/>
        </w:rPr>
        <w:t>预算为</w:t>
      </w:r>
      <w:r>
        <w:rPr>
          <w:rFonts w:hint="default" w:ascii="Times New Roman" w:hAnsi="Times New Roman" w:eastAsia="仿宋_GB2312" w:cs="Times New Roman"/>
          <w:color w:val="000000"/>
          <w:sz w:val="30"/>
          <w:szCs w:val="30"/>
          <w:lang w:val="zh-CN"/>
        </w:rPr>
        <w:t>15390.00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支出决算为</w:t>
      </w:r>
      <w:r>
        <w:rPr>
          <w:rFonts w:hint="default" w:ascii="Times New Roman" w:hAnsi="Times New Roman" w:eastAsia="仿宋_GB2312" w:cs="Times New Roman"/>
          <w:color w:val="000000"/>
          <w:sz w:val="30"/>
          <w:szCs w:val="30"/>
          <w:lang w:val="zh-CN"/>
        </w:rPr>
        <w:t>11373.25</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完成</w:t>
      </w:r>
      <w:r>
        <w:rPr>
          <w:rFonts w:hint="default" w:ascii="Times New Roman" w:hAnsi="Times New Roman" w:eastAsia="仿宋_GB2312" w:cs="Times New Roman"/>
          <w:kern w:val="0"/>
          <w:sz w:val="30"/>
          <w:szCs w:val="30"/>
          <w:highlight w:val="none"/>
          <w:lang w:eastAsia="zh-CN"/>
        </w:rPr>
        <w:t>年初</w:t>
      </w:r>
      <w:r>
        <w:rPr>
          <w:rFonts w:hint="default" w:ascii="Times New Roman" w:hAnsi="Times New Roman" w:eastAsia="仿宋_GB2312" w:cs="Times New Roman"/>
          <w:sz w:val="30"/>
          <w:szCs w:val="30"/>
          <w:highlight w:val="none"/>
        </w:rPr>
        <w:t>预算的</w:t>
      </w:r>
      <w:r>
        <w:rPr>
          <w:rFonts w:hint="default" w:ascii="Times New Roman" w:hAnsi="Times New Roman" w:eastAsia="仿宋_GB2312" w:cs="Times New Roman"/>
          <w:color w:val="000000"/>
          <w:sz w:val="30"/>
          <w:szCs w:val="30"/>
          <w:lang w:val="zh-CN"/>
        </w:rPr>
        <w:t>73.90</w:t>
      </w:r>
      <w:r>
        <w:rPr>
          <w:rFonts w:hint="default" w:ascii="Times New Roman" w:hAnsi="Times New Roman" w:eastAsia="仿宋_GB2312" w:cs="Times New Roman"/>
          <w:sz w:val="30"/>
          <w:szCs w:val="30"/>
          <w:highlight w:val="none"/>
        </w:rPr>
        <w:t>%</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kern w:val="0"/>
          <w:sz w:val="30"/>
          <w:szCs w:val="30"/>
          <w:highlight w:val="none"/>
          <w:lang w:eastAsia="zh-CN"/>
        </w:rPr>
        <w:t>支出决算较上年25588.49</w:t>
      </w:r>
      <w:r>
        <w:rPr>
          <w:rFonts w:hint="default" w:ascii="Times New Roman" w:hAnsi="Times New Roman" w:eastAsia="仿宋_GB2312" w:cs="Times New Roman"/>
          <w:kern w:val="0"/>
          <w:sz w:val="30"/>
          <w:szCs w:val="30"/>
          <w:highlight w:val="none"/>
          <w:lang w:val="en-US" w:eastAsia="zh-CN"/>
        </w:rPr>
        <w:t>元减少</w:t>
      </w:r>
      <w:r>
        <w:rPr>
          <w:rFonts w:hint="default" w:ascii="Times New Roman" w:hAnsi="Times New Roman" w:eastAsia="仿宋_GB2312" w:cs="Times New Roman"/>
          <w:color w:val="000000"/>
          <w:sz w:val="30"/>
          <w:szCs w:val="30"/>
          <w:lang w:val="zh-CN"/>
        </w:rPr>
        <w:t>14215.24</w:t>
      </w:r>
      <w:r>
        <w:rPr>
          <w:rFonts w:hint="default" w:ascii="Times New Roman" w:hAnsi="Times New Roman" w:eastAsia="仿宋_GB2312" w:cs="Times New Roman"/>
          <w:kern w:val="0"/>
          <w:sz w:val="30"/>
          <w:szCs w:val="30"/>
          <w:highlight w:val="none"/>
          <w:lang w:val="en-US" w:eastAsia="zh-CN"/>
        </w:rPr>
        <w:t>元</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val="en-US" w:eastAsia="zh-CN"/>
        </w:rPr>
        <w:t>下降</w:t>
      </w:r>
      <w:r>
        <w:rPr>
          <w:rFonts w:hint="default" w:ascii="Times New Roman" w:hAnsi="Times New Roman" w:eastAsia="仿宋_GB2312" w:cs="Times New Roman"/>
          <w:color w:val="000000"/>
          <w:sz w:val="30"/>
          <w:szCs w:val="30"/>
          <w:lang w:val="zh-CN"/>
        </w:rPr>
        <w:t>55.55</w:t>
      </w:r>
      <w:r>
        <w:rPr>
          <w:rFonts w:hint="default" w:ascii="Times New Roman" w:hAnsi="Times New Roman" w:eastAsia="仿宋_GB2312" w:cs="Times New Roman"/>
          <w:kern w:val="0"/>
          <w:sz w:val="30"/>
          <w:szCs w:val="30"/>
          <w:highlight w:val="none"/>
          <w:lang w:val="en-US" w:eastAsia="zh-CN"/>
        </w:rPr>
        <w:t>%</w:t>
      </w:r>
      <w:r>
        <w:rPr>
          <w:rFonts w:hint="default" w:ascii="Times New Roman" w:hAnsi="Times New Roman" w:eastAsia="仿宋_GB2312" w:cs="Times New Roman"/>
          <w:kern w:val="0"/>
          <w:sz w:val="30"/>
          <w:szCs w:val="30"/>
          <w:highlight w:val="none"/>
          <w:lang w:eastAsia="zh-CN"/>
        </w:rPr>
        <w:t>。</w:t>
      </w:r>
    </w:p>
    <w:p w14:paraId="76565F5F">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一般公共预算财政拨款“三公”经费支出中：因公出国（境）费用支出年初预算为0.00元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决算为0.00元；公务用车购置费支出年初预算为0.00元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决算为0.00元；公务用车运行维护费支出年初预算为15390.00元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决算为11373.25元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完成年初预算的73.90%；公务接待费支出年初预算为0.00元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决算为0.00元。</w:t>
      </w:r>
    </w:p>
    <w:p w14:paraId="44977C11">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一般公共预算财政拨款“三公”经费支出中：无因公出国（境）费用支出；无公务用车购置费支出；公务用车运行维护费支出决算减少14215.24元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下降55.55%；无公务接待费支出；无国（境）外接待费支出。2025年度一般公共预算财政拨款“三公”经费支出决算数小于年初预算数的主要原因是我单位贯彻国家厉行节约的政策</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缩减了“三公”经费支出。</w:t>
      </w:r>
    </w:p>
    <w:p w14:paraId="3FE7E2A3">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rPr>
        <w:t>一般公共预算财政拨款“三公”经费支出</w:t>
      </w:r>
      <w:r>
        <w:rPr>
          <w:rFonts w:hint="default" w:ascii="Times New Roman" w:hAnsi="Times New Roman" w:eastAsia="仿宋_GB2312" w:cs="Times New Roman"/>
          <w:sz w:val="30"/>
          <w:szCs w:val="30"/>
          <w:highlight w:val="none"/>
          <w:lang w:eastAsia="zh-CN"/>
        </w:rPr>
        <w:t>实物量的</w:t>
      </w:r>
      <w:r>
        <w:rPr>
          <w:rFonts w:hint="default" w:ascii="Times New Roman" w:hAnsi="Times New Roman" w:eastAsia="仿宋_GB2312" w:cs="Times New Roman"/>
          <w:sz w:val="30"/>
          <w:szCs w:val="30"/>
          <w:highlight w:val="none"/>
        </w:rPr>
        <w:t>具体情况</w:t>
      </w:r>
      <w:r>
        <w:rPr>
          <w:rFonts w:hint="default" w:ascii="Times New Roman" w:hAnsi="Times New Roman" w:eastAsia="仿宋_GB2312" w:cs="Times New Roman"/>
          <w:sz w:val="30"/>
          <w:szCs w:val="30"/>
          <w:highlight w:val="none"/>
          <w:lang w:eastAsia="zh-CN"/>
        </w:rPr>
        <w:t>：</w:t>
      </w:r>
    </w:p>
    <w:p w14:paraId="3FBC6E42">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1.安排因公出国（境）团组0个</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累计0人次。</w:t>
      </w:r>
    </w:p>
    <w:p w14:paraId="22F8A21C">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2.购置车辆0辆。开支一般公共预算财政拨款的公务用车保有量为0辆。主要用于所需车辆燃料费、维修费、过路过桥费、保险费等。</w:t>
      </w:r>
    </w:p>
    <w:p w14:paraId="1647E463">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3.安排国内公务接待0批次（其中：外事接待0批次）</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接待人次0人（其中：外事接待人次0人）。安排国（境）外公务接待0批次</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接待人次0人。</w:t>
      </w:r>
    </w:p>
    <w:p w14:paraId="275AD51D">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both"/>
        <w:textAlignment w:val="auto"/>
        <w:rPr>
          <w:rFonts w:hint="default" w:ascii="Times New Roman" w:hAnsi="Times New Roman" w:eastAsia="楷体" w:cs="Times New Roman"/>
          <w:sz w:val="30"/>
          <w:szCs w:val="30"/>
          <w:highlight w:val="none"/>
          <w:lang w:eastAsia="zh-CN"/>
        </w:rPr>
      </w:pPr>
      <w:r>
        <w:rPr>
          <w:rFonts w:hint="default" w:ascii="Times New Roman" w:hAnsi="Times New Roman" w:eastAsia="楷体" w:cs="Times New Roman"/>
          <w:sz w:val="30"/>
          <w:szCs w:val="30"/>
          <w:highlight w:val="none"/>
          <w:lang w:eastAsia="zh-CN"/>
        </w:rPr>
        <w:t>（三）需要说明的事项</w:t>
      </w:r>
    </w:p>
    <w:p w14:paraId="19604879">
      <w:pPr>
        <w:keepNext w:val="0"/>
        <w:keepLines w:val="0"/>
        <w:pageBreakBefore w:val="0"/>
        <w:widowControl/>
        <w:kinsoku/>
        <w:overflowPunct/>
        <w:topLinePunct w:val="0"/>
        <w:autoSpaceDE/>
        <w:autoSpaceDN/>
        <w:bidi w:val="0"/>
        <w:adjustRightInd/>
        <w:snapToGrid w:val="0"/>
        <w:spacing w:before="100" w:after="100" w:line="360" w:lineRule="auto"/>
        <w:ind w:firstLine="600" w:firstLineChars="200"/>
        <w:jc w:val="both"/>
        <w:textAlignment w:val="auto"/>
        <w:outlineLvl w:val="0"/>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我单位2025年不存在需要说明的事项。</w:t>
      </w:r>
    </w:p>
    <w:p w14:paraId="62B1D4DA">
      <w:pPr>
        <w:keepNext w:val="0"/>
        <w:keepLines w:val="0"/>
        <w:pageBreakBefore w:val="0"/>
        <w:widowControl/>
        <w:kinsoku/>
        <w:overflowPunct/>
        <w:topLinePunct w:val="0"/>
        <w:autoSpaceDE/>
        <w:autoSpaceDN/>
        <w:bidi w:val="0"/>
        <w:adjustRightInd/>
        <w:snapToGrid w:val="0"/>
        <w:spacing w:before="100" w:after="100" w:line="360" w:lineRule="auto"/>
        <w:ind w:firstLine="600" w:firstLineChars="200"/>
        <w:jc w:val="center"/>
        <w:textAlignment w:val="auto"/>
        <w:outlineLvl w:val="0"/>
        <w:rPr>
          <w:rFonts w:hint="default" w:ascii="Times New Roman" w:hAnsi="Times New Roman" w:eastAsia="黑体" w:cs="Times New Roman"/>
          <w:sz w:val="30"/>
          <w:szCs w:val="30"/>
          <w:highlight w:val="none"/>
        </w:rPr>
      </w:pPr>
    </w:p>
    <w:p w14:paraId="3CD20C3E">
      <w:pPr>
        <w:keepNext w:val="0"/>
        <w:keepLines w:val="0"/>
        <w:pageBreakBefore w:val="0"/>
        <w:widowControl/>
        <w:kinsoku/>
        <w:overflowPunct/>
        <w:topLinePunct w:val="0"/>
        <w:autoSpaceDE/>
        <w:autoSpaceDN/>
        <w:bidi w:val="0"/>
        <w:adjustRightInd/>
        <w:snapToGrid w:val="0"/>
        <w:spacing w:before="100" w:after="100" w:line="360" w:lineRule="auto"/>
        <w:ind w:firstLine="600" w:firstLineChars="200"/>
        <w:jc w:val="center"/>
        <w:textAlignment w:val="auto"/>
        <w:outlineLvl w:val="0"/>
        <w:rPr>
          <w:rFonts w:hint="default" w:ascii="Times New Roman" w:hAnsi="Times New Roman" w:eastAsia="仿宋_GB2312" w:cs="Times New Roman"/>
          <w:sz w:val="30"/>
          <w:szCs w:val="30"/>
          <w:highlight w:val="none"/>
        </w:rPr>
      </w:pPr>
      <w:r>
        <w:rPr>
          <w:rFonts w:hint="default" w:ascii="Times New Roman" w:hAnsi="Times New Roman" w:eastAsia="黑体" w:cs="Times New Roman"/>
          <w:sz w:val="30"/>
          <w:szCs w:val="30"/>
          <w:highlight w:val="none"/>
        </w:rPr>
        <w:t>第四部分  其他重要事项及相关口径情况说明</w:t>
      </w:r>
    </w:p>
    <w:p w14:paraId="026A0669">
      <w:pPr>
        <w:keepNext w:val="0"/>
        <w:keepLines w:val="0"/>
        <w:pageBreakBefore w:val="0"/>
        <w:kinsoku/>
        <w:overflowPunct/>
        <w:topLinePunct w:val="0"/>
        <w:autoSpaceDE/>
        <w:autoSpaceDN/>
        <w:bidi w:val="0"/>
        <w:adjustRightInd/>
        <w:ind w:firstLine="600" w:firstLineChars="200"/>
        <w:jc w:val="both"/>
        <w:textAlignment w:val="auto"/>
        <w:outlineLvl w:val="1"/>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一</w:t>
      </w:r>
      <w:r>
        <w:rPr>
          <w:rFonts w:hint="default" w:ascii="Times New Roman" w:hAnsi="Times New Roman" w:eastAsia="黑体" w:cs="Times New Roman"/>
          <w:sz w:val="30"/>
          <w:szCs w:val="30"/>
          <w:highlight w:val="none"/>
          <w:lang w:eastAsia="zh-CN"/>
        </w:rPr>
        <w:t>、</w:t>
      </w:r>
      <w:r>
        <w:rPr>
          <w:rFonts w:hint="default" w:ascii="Times New Roman" w:hAnsi="Times New Roman" w:eastAsia="黑体" w:cs="Times New Roman"/>
          <w:sz w:val="30"/>
          <w:szCs w:val="30"/>
          <w:highlight w:val="none"/>
        </w:rPr>
        <w:t>机关运行经费支出情况</w:t>
      </w:r>
    </w:p>
    <w:p w14:paraId="052C68D4">
      <w:pPr>
        <w:keepNext w:val="0"/>
        <w:keepLines w:val="0"/>
        <w:pageBreakBefore w:val="0"/>
        <w:widowControl/>
        <w:kinsoku/>
        <w:overflowPunct/>
        <w:topLinePunct w:val="0"/>
        <w:autoSpaceDE/>
        <w:autoSpaceDN/>
        <w:bidi w:val="0"/>
        <w:adjustRightInd/>
        <w:ind w:firstLine="600" w:firstLineChars="200"/>
        <w:jc w:val="both"/>
        <w:textAlignment w:val="auto"/>
        <w:outlineLvl w:val="1"/>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官渡区官渡街道社区卫生服务中心单位2024年机关运行经费支出0.00元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比上年增加0.00元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增长0.00%。</w:t>
      </w:r>
    </w:p>
    <w:p w14:paraId="0818F04A">
      <w:pPr>
        <w:keepNext w:val="0"/>
        <w:keepLines w:val="0"/>
        <w:pageBreakBefore w:val="0"/>
        <w:widowControl/>
        <w:kinsoku/>
        <w:overflowPunct/>
        <w:topLinePunct w:val="0"/>
        <w:autoSpaceDE/>
        <w:autoSpaceDN/>
        <w:bidi w:val="0"/>
        <w:adjustRightInd/>
        <w:ind w:firstLine="600" w:firstLineChars="200"/>
        <w:jc w:val="both"/>
        <w:textAlignment w:val="auto"/>
        <w:outlineLvl w:val="1"/>
        <w:rPr>
          <w:rFonts w:hint="default" w:ascii="Times New Roman" w:hAnsi="Times New Roman" w:eastAsia="黑体" w:cs="Times New Roman"/>
          <w:color w:val="000000"/>
          <w:kern w:val="0"/>
          <w:sz w:val="30"/>
          <w:szCs w:val="30"/>
          <w:highlight w:val="none"/>
        </w:rPr>
      </w:pPr>
      <w:r>
        <w:rPr>
          <w:rFonts w:hint="default" w:ascii="Times New Roman" w:hAnsi="Times New Roman" w:eastAsia="黑体" w:cs="Times New Roman"/>
          <w:color w:val="000000"/>
          <w:kern w:val="0"/>
          <w:sz w:val="30"/>
          <w:szCs w:val="30"/>
          <w:highlight w:val="none"/>
          <w:lang w:eastAsia="zh-CN"/>
        </w:rPr>
        <w:t>二、</w:t>
      </w:r>
      <w:r>
        <w:rPr>
          <w:rFonts w:hint="default" w:ascii="Times New Roman" w:hAnsi="Times New Roman" w:eastAsia="黑体" w:cs="Times New Roman"/>
          <w:color w:val="000000"/>
          <w:kern w:val="0"/>
          <w:sz w:val="30"/>
          <w:szCs w:val="30"/>
          <w:highlight w:val="none"/>
        </w:rPr>
        <w:t>国有资产占用情况</w:t>
      </w:r>
    </w:p>
    <w:p w14:paraId="30511A2A">
      <w:pPr>
        <w:keepNext w:val="0"/>
        <w:keepLines w:val="0"/>
        <w:pageBreakBefore w:val="0"/>
        <w:widowControl/>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color w:val="000000"/>
          <w:kern w:val="0"/>
          <w:sz w:val="30"/>
          <w:szCs w:val="30"/>
          <w:highlight w:val="none"/>
        </w:rPr>
      </w:pPr>
      <w:r>
        <w:rPr>
          <w:rFonts w:hint="default" w:ascii="Times New Roman" w:hAnsi="Times New Roman" w:eastAsia="仿宋_GB2312" w:cs="Times New Roman"/>
          <w:sz w:val="30"/>
          <w:szCs w:val="30"/>
          <w:highlight w:val="none"/>
          <w:lang w:eastAsia="zh-CN"/>
        </w:rPr>
        <w:t>截至202</w:t>
      </w:r>
      <w:r>
        <w:rPr>
          <w:rFonts w:hint="default" w:ascii="Times New Roman" w:hAnsi="Times New Roman" w:eastAsia="仿宋_GB2312" w:cs="Times New Roman"/>
          <w:sz w:val="30"/>
          <w:szCs w:val="30"/>
          <w:highlight w:val="none"/>
          <w:lang w:val="en-US" w:eastAsia="zh-CN"/>
        </w:rPr>
        <w:t>5</w:t>
      </w:r>
      <w:r>
        <w:rPr>
          <w:rFonts w:hint="default" w:ascii="Times New Roman" w:hAnsi="Times New Roman" w:eastAsia="仿宋_GB2312" w:cs="Times New Roman"/>
          <w:sz w:val="30"/>
          <w:szCs w:val="30"/>
          <w:highlight w:val="none"/>
          <w:lang w:eastAsia="zh-CN"/>
        </w:rPr>
        <w:t>年末</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color w:val="auto"/>
          <w:sz w:val="30"/>
          <w:szCs w:val="30"/>
          <w:lang w:val="zh-CN"/>
        </w:rPr>
        <w:t>官渡区官渡街道社区卫生服务中心</w:t>
      </w:r>
      <w:r>
        <w:rPr>
          <w:rFonts w:hint="default" w:ascii="Times New Roman" w:hAnsi="Times New Roman" w:eastAsia="仿宋_GB2312" w:cs="Times New Roman"/>
          <w:sz w:val="30"/>
          <w:szCs w:val="30"/>
          <w:highlight w:val="none"/>
          <w:lang w:eastAsia="zh-CN"/>
        </w:rPr>
        <w:t>资产总额39283796</w:t>
      </w:r>
      <w:r>
        <w:rPr>
          <w:rFonts w:hint="default" w:ascii="Times New Roman" w:hAnsi="Times New Roman" w:eastAsia="仿宋_GB2312" w:cs="Times New Roman"/>
          <w:sz w:val="30"/>
          <w:szCs w:val="30"/>
          <w:highlight w:val="none"/>
          <w:lang w:val="en-US" w:eastAsia="zh-CN"/>
        </w:rPr>
        <w:t>.00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其中</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流动资产22547356.66元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固定资产16342977.43元（净值）</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对外投资及有价证券</w:t>
      </w:r>
      <w:r>
        <w:rPr>
          <w:rFonts w:hint="default" w:ascii="Times New Roman" w:hAnsi="Times New Roman" w:eastAsia="仿宋_GB2312" w:cs="Times New Roman"/>
          <w:sz w:val="30"/>
          <w:szCs w:val="30"/>
          <w:highlight w:val="none"/>
          <w:lang w:val="en-US" w:eastAsia="zh-CN"/>
        </w:rPr>
        <w:t>0.00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在建工程178200</w:t>
      </w:r>
      <w:r>
        <w:rPr>
          <w:rFonts w:hint="default" w:ascii="Times New Roman" w:hAnsi="Times New Roman" w:eastAsia="仿宋_GB2312" w:cs="Times New Roman"/>
          <w:sz w:val="30"/>
          <w:szCs w:val="30"/>
          <w:highlight w:val="none"/>
          <w:lang w:val="en-US" w:eastAsia="zh-CN"/>
        </w:rPr>
        <w:t>.00</w:t>
      </w:r>
      <w:r>
        <w:rPr>
          <w:rFonts w:hint="default" w:ascii="Times New Roman" w:hAnsi="Times New Roman" w:eastAsia="仿宋_GB2312" w:cs="Times New Roman"/>
          <w:sz w:val="30"/>
          <w:szCs w:val="30"/>
          <w:highlight w:val="none"/>
          <w:lang w:eastAsia="zh-CN"/>
        </w:rPr>
        <w:t>元</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无形资产98540.72元（净值）</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其他资产</w:t>
      </w:r>
      <w:r>
        <w:rPr>
          <w:rFonts w:hint="default" w:ascii="Times New Roman" w:hAnsi="Times New Roman" w:eastAsia="仿宋_GB2312" w:cs="Times New Roman"/>
          <w:sz w:val="30"/>
          <w:szCs w:val="30"/>
          <w:highlight w:val="none"/>
          <w:lang w:val="en-US" w:eastAsia="zh-CN"/>
        </w:rPr>
        <w:t>0.00</w:t>
      </w:r>
      <w:r>
        <w:rPr>
          <w:rFonts w:hint="default" w:ascii="Times New Roman" w:hAnsi="Times New Roman" w:eastAsia="仿宋_GB2312" w:cs="Times New Roman"/>
          <w:sz w:val="30"/>
          <w:szCs w:val="30"/>
          <w:highlight w:val="none"/>
          <w:lang w:eastAsia="zh-CN"/>
        </w:rPr>
        <w:t>元（净值）（具体内容详见附表）</w:t>
      </w:r>
      <w:r>
        <w:rPr>
          <w:rFonts w:hint="default" w:ascii="Times New Roman" w:hAnsi="Times New Roman" w:eastAsia="仿宋_GB2312" w:cs="Times New Roman"/>
          <w:color w:val="000000"/>
          <w:kern w:val="0"/>
          <w:sz w:val="30"/>
          <w:szCs w:val="30"/>
          <w:highlight w:val="none"/>
        </w:rPr>
        <w:t>。与上年相比</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本年资产总额增加</w:t>
      </w:r>
      <w:r>
        <w:rPr>
          <w:rFonts w:hint="default" w:ascii="Times New Roman" w:hAnsi="Times New Roman" w:eastAsia="仿宋_GB2312" w:cs="Times New Roman"/>
          <w:color w:val="000000"/>
          <w:kern w:val="0"/>
          <w:sz w:val="30"/>
          <w:szCs w:val="30"/>
          <w:highlight w:val="none"/>
          <w:lang w:val="en-US" w:eastAsia="zh-CN"/>
        </w:rPr>
        <w:t>10862222.29</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其中固定资产增加</w:t>
      </w:r>
      <w:r>
        <w:rPr>
          <w:rFonts w:hint="default" w:ascii="Times New Roman" w:hAnsi="Times New Roman" w:eastAsia="仿宋_GB2312" w:cs="Times New Roman"/>
          <w:color w:val="000000"/>
          <w:kern w:val="0"/>
          <w:sz w:val="30"/>
          <w:szCs w:val="30"/>
          <w:highlight w:val="none"/>
          <w:lang w:val="en-US" w:eastAsia="zh-CN"/>
        </w:rPr>
        <w:t>9026452.54</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rPr>
        <w:t>。处置房屋建筑物</w:t>
      </w:r>
      <w:r>
        <w:rPr>
          <w:rFonts w:hint="default" w:ascii="Times New Roman" w:hAnsi="Times New Roman" w:eastAsia="仿宋_GB2312" w:cs="Times New Roman"/>
          <w:color w:val="000000"/>
          <w:kern w:val="0"/>
          <w:sz w:val="30"/>
          <w:szCs w:val="30"/>
          <w:highlight w:val="none"/>
          <w:lang w:val="en-US" w:eastAsia="zh-CN"/>
        </w:rPr>
        <w:t>0.00</w:t>
      </w:r>
      <w:r>
        <w:rPr>
          <w:rFonts w:hint="default" w:ascii="Times New Roman" w:hAnsi="Times New Roman" w:eastAsia="仿宋_GB2312" w:cs="Times New Roman"/>
          <w:color w:val="000000"/>
          <w:kern w:val="0"/>
          <w:sz w:val="30"/>
          <w:szCs w:val="30"/>
          <w:highlight w:val="none"/>
        </w:rPr>
        <w:t>平方米</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账面原值</w:t>
      </w:r>
      <w:r>
        <w:rPr>
          <w:rFonts w:hint="default" w:ascii="Times New Roman" w:hAnsi="Times New Roman" w:eastAsia="仿宋_GB2312" w:cs="Times New Roman"/>
          <w:color w:val="000000"/>
          <w:kern w:val="0"/>
          <w:sz w:val="30"/>
          <w:szCs w:val="30"/>
          <w:highlight w:val="none"/>
          <w:lang w:val="en-US" w:eastAsia="zh-CN"/>
        </w:rPr>
        <w:t>0.00</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rPr>
        <w:t>；处置车辆</w:t>
      </w:r>
      <w:r>
        <w:rPr>
          <w:rFonts w:hint="default" w:ascii="Times New Roman" w:hAnsi="Times New Roman" w:eastAsia="仿宋_GB2312" w:cs="Times New Roman"/>
          <w:color w:val="000000"/>
          <w:kern w:val="0"/>
          <w:sz w:val="30"/>
          <w:szCs w:val="30"/>
          <w:highlight w:val="none"/>
          <w:lang w:val="en-US" w:eastAsia="zh-CN"/>
        </w:rPr>
        <w:t>0.00</w:t>
      </w:r>
      <w:r>
        <w:rPr>
          <w:rFonts w:hint="default" w:ascii="Times New Roman" w:hAnsi="Times New Roman" w:eastAsia="仿宋_GB2312" w:cs="Times New Roman"/>
          <w:color w:val="000000"/>
          <w:kern w:val="0"/>
          <w:sz w:val="30"/>
          <w:szCs w:val="30"/>
          <w:highlight w:val="none"/>
        </w:rPr>
        <w:t>辆</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账面原值</w:t>
      </w:r>
      <w:r>
        <w:rPr>
          <w:rFonts w:hint="default" w:ascii="Times New Roman" w:hAnsi="Times New Roman" w:eastAsia="仿宋_GB2312" w:cs="Times New Roman"/>
          <w:color w:val="000000"/>
          <w:kern w:val="0"/>
          <w:sz w:val="30"/>
          <w:szCs w:val="30"/>
          <w:highlight w:val="none"/>
          <w:lang w:val="en-US" w:eastAsia="zh-CN"/>
        </w:rPr>
        <w:t>0.00</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rPr>
        <w:t>；报废报损资产</w:t>
      </w:r>
      <w:r>
        <w:rPr>
          <w:rFonts w:hint="default" w:ascii="Times New Roman" w:hAnsi="Times New Roman" w:eastAsia="仿宋_GB2312" w:cs="Times New Roman"/>
          <w:color w:val="000000"/>
          <w:kern w:val="0"/>
          <w:sz w:val="30"/>
          <w:szCs w:val="30"/>
          <w:highlight w:val="none"/>
          <w:lang w:val="en-US" w:eastAsia="zh-CN"/>
        </w:rPr>
        <w:t>50</w:t>
      </w:r>
      <w:r>
        <w:rPr>
          <w:rFonts w:hint="default" w:ascii="Times New Roman" w:hAnsi="Times New Roman" w:eastAsia="仿宋_GB2312" w:cs="Times New Roman"/>
          <w:color w:val="000000"/>
          <w:kern w:val="0"/>
          <w:sz w:val="30"/>
          <w:szCs w:val="30"/>
          <w:highlight w:val="none"/>
        </w:rPr>
        <w:t>项</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账面原值</w:t>
      </w:r>
      <w:r>
        <w:rPr>
          <w:rFonts w:hint="default" w:ascii="Times New Roman" w:hAnsi="Times New Roman" w:eastAsia="仿宋_GB2312" w:cs="Times New Roman"/>
          <w:color w:val="000000"/>
          <w:kern w:val="0"/>
          <w:sz w:val="30"/>
          <w:szCs w:val="30"/>
          <w:highlight w:val="none"/>
          <w:lang w:val="en-US" w:eastAsia="zh-CN"/>
        </w:rPr>
        <w:t>2091173.00</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实现资产处置收入</w:t>
      </w:r>
      <w:r>
        <w:rPr>
          <w:rFonts w:hint="default" w:ascii="Times New Roman" w:hAnsi="Times New Roman" w:eastAsia="仿宋_GB2312" w:cs="Times New Roman"/>
          <w:color w:val="000000"/>
          <w:kern w:val="0"/>
          <w:sz w:val="30"/>
          <w:szCs w:val="30"/>
          <w:highlight w:val="none"/>
          <w:lang w:val="en-US" w:eastAsia="zh-CN"/>
        </w:rPr>
        <w:t>2100.00</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rPr>
        <w:t>；出租房屋</w:t>
      </w:r>
      <w:r>
        <w:rPr>
          <w:rFonts w:hint="default" w:ascii="Times New Roman" w:hAnsi="Times New Roman" w:eastAsia="仿宋_GB2312" w:cs="Times New Roman"/>
          <w:color w:val="000000"/>
          <w:kern w:val="0"/>
          <w:sz w:val="30"/>
          <w:szCs w:val="30"/>
          <w:highlight w:val="none"/>
          <w:lang w:val="en-US" w:eastAsia="zh-CN"/>
        </w:rPr>
        <w:t>188.18</w:t>
      </w:r>
      <w:r>
        <w:rPr>
          <w:rFonts w:hint="default" w:ascii="Times New Roman" w:hAnsi="Times New Roman" w:eastAsia="仿宋_GB2312" w:cs="Times New Roman"/>
          <w:color w:val="000000"/>
          <w:kern w:val="0"/>
          <w:sz w:val="30"/>
          <w:szCs w:val="30"/>
          <w:highlight w:val="none"/>
        </w:rPr>
        <w:t>平方米</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账面原值</w:t>
      </w:r>
      <w:r>
        <w:rPr>
          <w:rFonts w:hint="default" w:ascii="Times New Roman" w:hAnsi="Times New Roman" w:eastAsia="仿宋_GB2312" w:cs="Times New Roman"/>
          <w:color w:val="000000"/>
          <w:kern w:val="0"/>
          <w:sz w:val="30"/>
          <w:szCs w:val="30"/>
          <w:highlight w:val="none"/>
          <w:lang w:val="en-US" w:eastAsia="zh-CN"/>
        </w:rPr>
        <w:t>1673294.29</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实现资产使用收入</w:t>
      </w:r>
      <w:r>
        <w:rPr>
          <w:rFonts w:hint="default" w:ascii="Times New Roman" w:hAnsi="Times New Roman" w:eastAsia="仿宋_GB2312" w:cs="Times New Roman"/>
          <w:color w:val="000000"/>
          <w:kern w:val="0"/>
          <w:sz w:val="30"/>
          <w:szCs w:val="30"/>
          <w:highlight w:val="none"/>
          <w:lang w:val="en-US" w:eastAsia="zh-CN"/>
        </w:rPr>
        <w:t>0.00</w:t>
      </w:r>
      <w:r>
        <w:rPr>
          <w:rFonts w:hint="default" w:ascii="Times New Roman" w:hAnsi="Times New Roman" w:eastAsia="仿宋_GB2312" w:cs="Times New Roman"/>
          <w:color w:val="000000"/>
          <w:kern w:val="0"/>
          <w:sz w:val="30"/>
          <w:szCs w:val="30"/>
          <w:highlight w:val="none"/>
          <w:lang w:eastAsia="zh-CN"/>
        </w:rPr>
        <w:t>元</w:t>
      </w:r>
      <w:r>
        <w:rPr>
          <w:rFonts w:hint="default" w:ascii="Times New Roman" w:hAnsi="Times New Roman" w:eastAsia="仿宋_GB2312" w:cs="Times New Roman"/>
          <w:color w:val="000000"/>
          <w:kern w:val="0"/>
          <w:sz w:val="30"/>
          <w:szCs w:val="30"/>
          <w:highlight w:val="none"/>
          <w:lang w:val="en-US" w:eastAsia="zh-CN"/>
        </w:rPr>
        <w:t>(此出租收入已上缴国库)</w:t>
      </w:r>
      <w:r>
        <w:rPr>
          <w:rFonts w:hint="default" w:ascii="Times New Roman" w:hAnsi="Times New Roman" w:eastAsia="仿宋_GB2312" w:cs="Times New Roman"/>
          <w:color w:val="000000"/>
          <w:kern w:val="0"/>
          <w:sz w:val="30"/>
          <w:szCs w:val="30"/>
          <w:highlight w:val="none"/>
        </w:rPr>
        <w:t>。</w:t>
      </w:r>
    </w:p>
    <w:p w14:paraId="65357ED8">
      <w:pPr>
        <w:keepNext w:val="0"/>
        <w:keepLines w:val="0"/>
        <w:pageBreakBefore w:val="0"/>
        <w:widowControl/>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color w:val="000000"/>
          <w:kern w:val="0"/>
          <w:sz w:val="30"/>
          <w:szCs w:val="30"/>
          <w:highlight w:val="none"/>
          <w:lang w:eastAsia="zh-CN"/>
        </w:rPr>
      </w:pPr>
      <w:r>
        <w:rPr>
          <w:rFonts w:hint="default" w:ascii="Times New Roman" w:hAnsi="Times New Roman" w:eastAsia="仿宋_GB2312" w:cs="Times New Roman"/>
          <w:color w:val="000000"/>
          <w:kern w:val="0"/>
          <w:sz w:val="30"/>
          <w:szCs w:val="30"/>
          <w:highlight w:val="none"/>
          <w:lang w:eastAsia="zh-CN"/>
        </w:rPr>
        <w:t>（</w:t>
      </w:r>
      <w:r>
        <w:rPr>
          <w:rFonts w:hint="default" w:ascii="Times New Roman" w:hAnsi="Times New Roman" w:eastAsia="仿宋_GB2312" w:cs="Times New Roman"/>
          <w:color w:val="000000"/>
          <w:kern w:val="0"/>
          <w:sz w:val="30"/>
          <w:szCs w:val="30"/>
          <w:highlight w:val="none"/>
        </w:rPr>
        <w:t>国有资产占有使用情况表</w:t>
      </w:r>
      <w:r>
        <w:rPr>
          <w:rFonts w:hint="default" w:ascii="Times New Roman" w:hAnsi="Times New Roman" w:eastAsia="仿宋_GB2312" w:cs="Times New Roman"/>
          <w:color w:val="000000"/>
          <w:kern w:val="0"/>
          <w:sz w:val="30"/>
          <w:szCs w:val="30"/>
          <w:highlight w:val="none"/>
          <w:lang w:eastAsia="zh-CN"/>
        </w:rPr>
        <w:t>详见附表）</w:t>
      </w:r>
    </w:p>
    <w:tbl>
      <w:tblPr>
        <w:tblStyle w:val="7"/>
        <w:tblpPr w:leftFromText="180" w:rightFromText="180" w:topFromText="100" w:bottomFromText="100" w:vertAnchor="text" w:horzAnchor="page" w:tblpX="534" w:tblpY="490"/>
        <w:tblOverlap w:val="never"/>
        <w:tblW w:w="142" w:type="dxa"/>
        <w:tblInd w:w="-15" w:type="dxa"/>
        <w:tblLayout w:type="fixed"/>
        <w:tblCellMar>
          <w:top w:w="0" w:type="dxa"/>
          <w:left w:w="0" w:type="dxa"/>
          <w:bottom w:w="0" w:type="dxa"/>
          <w:right w:w="0" w:type="dxa"/>
        </w:tblCellMar>
      </w:tblPr>
      <w:tblGrid>
        <w:gridCol w:w="142"/>
      </w:tblGrid>
      <w:tr w14:paraId="2065B9AB">
        <w:tblPrEx>
          <w:tblCellMar>
            <w:top w:w="0" w:type="dxa"/>
            <w:left w:w="0" w:type="dxa"/>
            <w:bottom w:w="0" w:type="dxa"/>
            <w:right w:w="0" w:type="dxa"/>
          </w:tblCellMar>
        </w:tblPrEx>
        <w:trPr>
          <w:trHeight w:val="495" w:hRule="atLeast"/>
        </w:trPr>
        <w:tc>
          <w:tcPr>
            <w:tcW w:w="142" w:type="dxa"/>
            <w:tcBorders>
              <w:top w:val="nil"/>
              <w:left w:val="nil"/>
              <w:bottom w:val="nil"/>
              <w:right w:val="nil"/>
            </w:tcBorders>
            <w:noWrap w:val="0"/>
            <w:vAlign w:val="center"/>
          </w:tcPr>
          <w:p w14:paraId="6F5C3341">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24F4C91E">
        <w:tblPrEx>
          <w:tblCellMar>
            <w:top w:w="0" w:type="dxa"/>
            <w:left w:w="0" w:type="dxa"/>
            <w:bottom w:w="0" w:type="dxa"/>
            <w:right w:w="0" w:type="dxa"/>
          </w:tblCellMar>
        </w:tblPrEx>
        <w:trPr>
          <w:trHeight w:val="347" w:hRule="atLeast"/>
        </w:trPr>
        <w:tc>
          <w:tcPr>
            <w:tcW w:w="142" w:type="dxa"/>
            <w:tcBorders>
              <w:top w:val="nil"/>
              <w:left w:val="nil"/>
              <w:bottom w:val="nil"/>
              <w:right w:val="nil"/>
            </w:tcBorders>
            <w:noWrap w:val="0"/>
            <w:vAlign w:val="center"/>
          </w:tcPr>
          <w:p w14:paraId="5F377639">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7AF41064">
        <w:tblPrEx>
          <w:tblCellMar>
            <w:top w:w="0" w:type="dxa"/>
            <w:left w:w="0" w:type="dxa"/>
            <w:bottom w:w="0" w:type="dxa"/>
            <w:right w:w="0" w:type="dxa"/>
          </w:tblCellMar>
        </w:tblPrEx>
        <w:trPr>
          <w:trHeight w:val="415" w:hRule="atLeast"/>
        </w:trPr>
        <w:tc>
          <w:tcPr>
            <w:tcW w:w="142" w:type="dxa"/>
            <w:tcBorders>
              <w:top w:val="nil"/>
              <w:left w:val="nil"/>
              <w:bottom w:val="nil"/>
              <w:right w:val="nil"/>
            </w:tcBorders>
            <w:noWrap w:val="0"/>
            <w:vAlign w:val="center"/>
          </w:tcPr>
          <w:p w14:paraId="74B1989F">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299FD117">
        <w:tblPrEx>
          <w:tblCellMar>
            <w:top w:w="0" w:type="dxa"/>
            <w:left w:w="0" w:type="dxa"/>
            <w:bottom w:w="0" w:type="dxa"/>
            <w:right w:w="0" w:type="dxa"/>
          </w:tblCellMar>
        </w:tblPrEx>
        <w:trPr>
          <w:trHeight w:val="345" w:hRule="atLeast"/>
        </w:trPr>
        <w:tc>
          <w:tcPr>
            <w:tcW w:w="142" w:type="dxa"/>
            <w:tcBorders>
              <w:top w:val="nil"/>
              <w:left w:val="nil"/>
              <w:bottom w:val="nil"/>
              <w:right w:val="nil"/>
            </w:tcBorders>
            <w:noWrap w:val="0"/>
            <w:vAlign w:val="center"/>
          </w:tcPr>
          <w:p w14:paraId="036785E4">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2733BF8B">
        <w:tblPrEx>
          <w:tblCellMar>
            <w:top w:w="0" w:type="dxa"/>
            <w:left w:w="0" w:type="dxa"/>
            <w:bottom w:w="0" w:type="dxa"/>
            <w:right w:w="0" w:type="dxa"/>
          </w:tblCellMar>
        </w:tblPrEx>
        <w:trPr>
          <w:trHeight w:val="395" w:hRule="atLeast"/>
        </w:trPr>
        <w:tc>
          <w:tcPr>
            <w:tcW w:w="142" w:type="dxa"/>
            <w:tcBorders>
              <w:top w:val="nil"/>
              <w:left w:val="nil"/>
              <w:bottom w:val="nil"/>
              <w:right w:val="nil"/>
            </w:tcBorders>
            <w:noWrap w:val="0"/>
            <w:vAlign w:val="center"/>
          </w:tcPr>
          <w:p w14:paraId="6A2E37E7">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0E042578">
        <w:tblPrEx>
          <w:tblCellMar>
            <w:top w:w="0" w:type="dxa"/>
            <w:left w:w="0" w:type="dxa"/>
            <w:bottom w:w="0" w:type="dxa"/>
            <w:right w:w="0" w:type="dxa"/>
          </w:tblCellMar>
        </w:tblPrEx>
        <w:trPr>
          <w:trHeight w:val="358" w:hRule="atLeast"/>
        </w:trPr>
        <w:tc>
          <w:tcPr>
            <w:tcW w:w="142" w:type="dxa"/>
            <w:tcBorders>
              <w:top w:val="nil"/>
              <w:left w:val="nil"/>
              <w:bottom w:val="nil"/>
              <w:right w:val="nil"/>
            </w:tcBorders>
            <w:noWrap w:val="0"/>
            <w:vAlign w:val="center"/>
          </w:tcPr>
          <w:p w14:paraId="1241E4EB">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0D9C29E3">
        <w:tblPrEx>
          <w:tblCellMar>
            <w:top w:w="0" w:type="dxa"/>
            <w:left w:w="0" w:type="dxa"/>
            <w:bottom w:w="0" w:type="dxa"/>
            <w:right w:w="0" w:type="dxa"/>
          </w:tblCellMar>
        </w:tblPrEx>
        <w:trPr>
          <w:trHeight w:val="563" w:hRule="atLeast"/>
        </w:trPr>
        <w:tc>
          <w:tcPr>
            <w:tcW w:w="142" w:type="dxa"/>
            <w:tcBorders>
              <w:top w:val="nil"/>
              <w:left w:val="nil"/>
              <w:bottom w:val="nil"/>
              <w:right w:val="nil"/>
            </w:tcBorders>
            <w:noWrap w:val="0"/>
            <w:vAlign w:val="center"/>
          </w:tcPr>
          <w:p w14:paraId="09261B65">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cs="Times New Roman"/>
                <w:color w:val="000000"/>
                <w:kern w:val="0"/>
                <w:sz w:val="30"/>
                <w:szCs w:val="30"/>
                <w:highlight w:val="none"/>
              </w:rPr>
            </w:pPr>
          </w:p>
        </w:tc>
      </w:tr>
      <w:tr w14:paraId="3F6A2C4B">
        <w:tblPrEx>
          <w:tblCellMar>
            <w:top w:w="0" w:type="dxa"/>
            <w:left w:w="0" w:type="dxa"/>
            <w:bottom w:w="0" w:type="dxa"/>
            <w:right w:w="0" w:type="dxa"/>
          </w:tblCellMar>
        </w:tblPrEx>
        <w:trPr>
          <w:trHeight w:val="495" w:hRule="atLeast"/>
        </w:trPr>
        <w:tc>
          <w:tcPr>
            <w:tcW w:w="142" w:type="dxa"/>
            <w:noWrap w:val="0"/>
            <w:vAlign w:val="center"/>
          </w:tcPr>
          <w:p w14:paraId="6CAD19DC">
            <w:pPr>
              <w:keepNext w:val="0"/>
              <w:keepLines w:val="0"/>
              <w:pageBreakBefore w:val="0"/>
              <w:widowControl/>
              <w:kinsoku/>
              <w:overflowPunct/>
              <w:topLinePunct w:val="0"/>
              <w:autoSpaceDE/>
              <w:autoSpaceDN/>
              <w:bidi w:val="0"/>
              <w:adjustRightInd/>
              <w:jc w:val="both"/>
              <w:textAlignment w:val="auto"/>
              <w:rPr>
                <w:rFonts w:hint="default" w:ascii="Times New Roman" w:hAnsi="Times New Roman" w:eastAsia="Times New Roman" w:cs="Times New Roman"/>
                <w:kern w:val="0"/>
                <w:sz w:val="30"/>
                <w:szCs w:val="30"/>
                <w:highlight w:val="none"/>
              </w:rPr>
            </w:pPr>
          </w:p>
        </w:tc>
      </w:tr>
    </w:tbl>
    <w:p w14:paraId="7E3283C9">
      <w:pPr>
        <w:keepNext w:val="0"/>
        <w:keepLines w:val="0"/>
        <w:pageBreakBefore w:val="0"/>
        <w:kinsoku/>
        <w:overflowPunct/>
        <w:topLinePunct w:val="0"/>
        <w:autoSpaceDE/>
        <w:autoSpaceDN/>
        <w:bidi w:val="0"/>
        <w:adjustRightInd/>
        <w:ind w:firstLine="600" w:firstLineChars="200"/>
        <w:jc w:val="both"/>
        <w:textAlignment w:val="auto"/>
        <w:outlineLvl w:val="1"/>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lang w:eastAsia="zh-CN"/>
        </w:rPr>
        <w:t>三、政</w:t>
      </w:r>
      <w:r>
        <w:rPr>
          <w:rFonts w:hint="default" w:ascii="Times New Roman" w:hAnsi="Times New Roman" w:eastAsia="黑体" w:cs="Times New Roman"/>
          <w:sz w:val="30"/>
          <w:szCs w:val="30"/>
          <w:highlight w:val="none"/>
        </w:rPr>
        <w:t>府采购支出情况</w:t>
      </w:r>
    </w:p>
    <w:p w14:paraId="52F1C4A0">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2025年度</w:t>
      </w:r>
      <w:r>
        <w:rPr>
          <w:rFonts w:hint="default" w:ascii="Times New Roman" w:hAnsi="Times New Roman" w:eastAsia="仿宋_GB2312" w:cs="Times New Roman"/>
          <w:sz w:val="30"/>
          <w:szCs w:val="30"/>
          <w:highlight w:val="none"/>
          <w:lang w:val="en-US" w:eastAsia="zh-CN"/>
        </w:rPr>
        <w:t>，</w:t>
      </w:r>
      <w:r>
        <w:rPr>
          <w:rFonts w:hint="default" w:ascii="Times New Roman" w:hAnsi="Times New Roman" w:eastAsia="仿宋_GB2312" w:cs="Times New Roman"/>
          <w:sz w:val="30"/>
          <w:szCs w:val="30"/>
          <w:highlight w:val="none"/>
          <w:lang w:val="en-US" w:eastAsia="zh-CN"/>
        </w:rPr>
        <w:t>单位政府采购支出总额</w:t>
      </w:r>
      <w:r>
        <w:rPr>
          <w:rFonts w:hint="default" w:ascii="Times New Roman" w:hAnsi="Times New Roman" w:eastAsia="仿宋_GB2312" w:cs="Times New Roman"/>
          <w:color w:val="auto"/>
          <w:sz w:val="30"/>
          <w:szCs w:val="30"/>
          <w:lang w:val="zh-CN"/>
        </w:rPr>
        <w:t>579025.22</w:t>
      </w:r>
      <w:r>
        <w:rPr>
          <w:rFonts w:hint="default" w:ascii="Times New Roman" w:hAnsi="Times New Roman" w:eastAsia="仿宋_GB2312" w:cs="Times New Roman"/>
          <w:sz w:val="30"/>
          <w:szCs w:val="30"/>
          <w:highlight w:val="none"/>
          <w:lang w:val="en-US" w:eastAsia="zh-CN"/>
        </w:rPr>
        <w:t>元</w:t>
      </w:r>
      <w:r>
        <w:rPr>
          <w:rFonts w:hint="default" w:ascii="Times New Roman" w:hAnsi="Times New Roman" w:eastAsia="仿宋_GB2312" w:cs="Times New Roman"/>
          <w:sz w:val="30"/>
          <w:szCs w:val="30"/>
          <w:highlight w:val="none"/>
          <w:lang w:val="en-US" w:eastAsia="zh-CN"/>
        </w:rPr>
        <w:t>，</w:t>
      </w:r>
      <w:r>
        <w:rPr>
          <w:rFonts w:hint="default" w:ascii="Times New Roman" w:hAnsi="Times New Roman" w:eastAsia="仿宋_GB2312" w:cs="Times New Roman"/>
          <w:sz w:val="30"/>
          <w:szCs w:val="30"/>
          <w:highlight w:val="none"/>
          <w:lang w:val="en-US" w:eastAsia="zh-CN"/>
        </w:rPr>
        <w:t>其中：政府采购货物支出</w:t>
      </w:r>
      <w:r>
        <w:rPr>
          <w:rFonts w:hint="default" w:ascii="Times New Roman" w:hAnsi="Times New Roman" w:eastAsia="仿宋_GB2312" w:cs="Times New Roman"/>
          <w:color w:val="auto"/>
          <w:sz w:val="30"/>
          <w:szCs w:val="30"/>
          <w:lang w:val="zh-CN"/>
        </w:rPr>
        <w:t>27200.00</w:t>
      </w:r>
      <w:r>
        <w:rPr>
          <w:rFonts w:hint="default" w:ascii="Times New Roman" w:hAnsi="Times New Roman" w:eastAsia="仿宋_GB2312" w:cs="Times New Roman"/>
          <w:sz w:val="30"/>
          <w:szCs w:val="30"/>
          <w:highlight w:val="none"/>
          <w:lang w:val="en-US" w:eastAsia="zh-CN"/>
        </w:rPr>
        <w:t>元；政府采购工程支出</w:t>
      </w:r>
      <w:r>
        <w:rPr>
          <w:rFonts w:hint="default" w:ascii="Times New Roman" w:hAnsi="Times New Roman" w:eastAsia="仿宋_GB2312" w:cs="Times New Roman"/>
          <w:color w:val="auto"/>
          <w:sz w:val="30"/>
          <w:szCs w:val="30"/>
          <w:lang w:val="zh-CN"/>
        </w:rPr>
        <w:t>0.00</w:t>
      </w:r>
      <w:r>
        <w:rPr>
          <w:rFonts w:hint="default" w:ascii="Times New Roman" w:hAnsi="Times New Roman" w:eastAsia="仿宋_GB2312" w:cs="Times New Roman"/>
          <w:sz w:val="30"/>
          <w:szCs w:val="30"/>
          <w:highlight w:val="none"/>
          <w:lang w:val="en-US" w:eastAsia="zh-CN"/>
        </w:rPr>
        <w:t>元；政府采购服务支出</w:t>
      </w:r>
      <w:r>
        <w:rPr>
          <w:rFonts w:hint="default" w:ascii="Times New Roman" w:hAnsi="Times New Roman" w:eastAsia="仿宋_GB2312" w:cs="Times New Roman"/>
          <w:color w:val="auto"/>
          <w:sz w:val="30"/>
          <w:szCs w:val="30"/>
          <w:lang w:val="zh-CN"/>
        </w:rPr>
        <w:t>551825.22</w:t>
      </w:r>
      <w:r>
        <w:rPr>
          <w:rFonts w:hint="default" w:ascii="Times New Roman" w:hAnsi="Times New Roman" w:eastAsia="仿宋_GB2312" w:cs="Times New Roman"/>
          <w:sz w:val="30"/>
          <w:szCs w:val="30"/>
          <w:highlight w:val="none"/>
          <w:lang w:val="en-US" w:eastAsia="zh-CN"/>
        </w:rPr>
        <w:t>元。授予中小企业合同金额</w:t>
      </w:r>
      <w:r>
        <w:rPr>
          <w:rFonts w:hint="default" w:ascii="Times New Roman" w:hAnsi="Times New Roman" w:eastAsia="仿宋_GB2312" w:cs="Times New Roman"/>
          <w:color w:val="auto"/>
          <w:sz w:val="30"/>
          <w:szCs w:val="30"/>
          <w:lang w:val="zh-CN"/>
        </w:rPr>
        <w:t>567651.97</w:t>
      </w:r>
      <w:r>
        <w:rPr>
          <w:rFonts w:hint="default" w:ascii="Times New Roman" w:hAnsi="Times New Roman" w:eastAsia="仿宋_GB2312" w:cs="Times New Roman"/>
          <w:sz w:val="30"/>
          <w:szCs w:val="30"/>
          <w:highlight w:val="none"/>
          <w:lang w:val="en-US" w:eastAsia="zh-CN"/>
        </w:rPr>
        <w:t>元</w:t>
      </w:r>
      <w:r>
        <w:rPr>
          <w:rFonts w:hint="default" w:ascii="Times New Roman" w:hAnsi="Times New Roman" w:eastAsia="仿宋_GB2312" w:cs="Times New Roman"/>
          <w:sz w:val="30"/>
          <w:szCs w:val="30"/>
          <w:highlight w:val="none"/>
          <w:lang w:val="en-US" w:eastAsia="zh-CN"/>
        </w:rPr>
        <w:t>，</w:t>
      </w:r>
      <w:r>
        <w:rPr>
          <w:rFonts w:hint="default" w:ascii="Times New Roman" w:hAnsi="Times New Roman" w:eastAsia="仿宋_GB2312" w:cs="Times New Roman"/>
          <w:sz w:val="30"/>
          <w:szCs w:val="30"/>
          <w:highlight w:val="none"/>
          <w:lang w:val="en-US" w:eastAsia="zh-CN"/>
        </w:rPr>
        <w:t>其中：授予小微企业合同金额</w:t>
      </w:r>
      <w:r>
        <w:rPr>
          <w:rFonts w:hint="default" w:ascii="Times New Roman" w:hAnsi="Times New Roman" w:eastAsia="仿宋_GB2312" w:cs="Times New Roman"/>
          <w:color w:val="auto"/>
          <w:sz w:val="30"/>
          <w:szCs w:val="30"/>
          <w:lang w:val="zh-CN"/>
        </w:rPr>
        <w:t>567651.97</w:t>
      </w:r>
      <w:r>
        <w:rPr>
          <w:rFonts w:hint="default" w:ascii="Times New Roman" w:hAnsi="Times New Roman" w:eastAsia="仿宋_GB2312" w:cs="Times New Roman"/>
          <w:sz w:val="30"/>
          <w:szCs w:val="30"/>
          <w:highlight w:val="none"/>
          <w:lang w:val="en-US" w:eastAsia="zh-CN"/>
        </w:rPr>
        <w:t>元。</w:t>
      </w:r>
    </w:p>
    <w:p w14:paraId="330EEAAA">
      <w:pPr>
        <w:keepNext w:val="0"/>
        <w:keepLines w:val="0"/>
        <w:pageBreakBefore w:val="0"/>
        <w:kinsoku/>
        <w:overflowPunct/>
        <w:topLinePunct w:val="0"/>
        <w:autoSpaceDE/>
        <w:autoSpaceDN/>
        <w:bidi w:val="0"/>
        <w:adjustRightInd/>
        <w:ind w:firstLine="600" w:firstLineChars="200"/>
        <w:jc w:val="both"/>
        <w:textAlignment w:val="auto"/>
        <w:outlineLvl w:val="1"/>
        <w:rPr>
          <w:rFonts w:hint="default" w:ascii="Times New Roman" w:hAnsi="Times New Roman" w:eastAsia="黑体" w:cs="Times New Roman"/>
          <w:sz w:val="30"/>
          <w:szCs w:val="30"/>
          <w:highlight w:val="none"/>
          <w:lang w:val="en-US" w:eastAsia="zh-CN"/>
        </w:rPr>
      </w:pPr>
      <w:r>
        <w:rPr>
          <w:rFonts w:hint="default" w:ascii="Times New Roman" w:hAnsi="Times New Roman" w:eastAsia="黑体" w:cs="Times New Roman"/>
          <w:sz w:val="30"/>
          <w:szCs w:val="30"/>
          <w:highlight w:val="none"/>
          <w:lang w:val="en-US" w:eastAsia="zh-CN"/>
        </w:rPr>
        <w:t>四、单位绩效自评情况</w:t>
      </w:r>
    </w:p>
    <w:p w14:paraId="281531FE">
      <w:pPr>
        <w:keepNext w:val="0"/>
        <w:keepLines w:val="0"/>
        <w:pageBreakBefore w:val="0"/>
        <w:widowControl/>
        <w:kinsoku/>
        <w:overflowPunct/>
        <w:topLinePunct w:val="0"/>
        <w:autoSpaceDE/>
        <w:autoSpaceDN/>
        <w:bidi w:val="0"/>
        <w:adjustRightInd/>
        <w:snapToGrid w:val="0"/>
        <w:spacing w:before="100" w:after="100" w:line="360" w:lineRule="auto"/>
        <w:ind w:firstLine="600"/>
        <w:jc w:val="both"/>
        <w:textAlignment w:val="auto"/>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单位绩效自评情况详见附表。</w:t>
      </w:r>
    </w:p>
    <w:p w14:paraId="2AA2C556">
      <w:pPr>
        <w:keepNext w:val="0"/>
        <w:keepLines w:val="0"/>
        <w:pageBreakBefore w:val="0"/>
        <w:widowControl/>
        <w:kinsoku/>
        <w:overflowPunct/>
        <w:topLinePunct w:val="0"/>
        <w:autoSpaceDE/>
        <w:autoSpaceDN/>
        <w:bidi w:val="0"/>
        <w:adjustRightInd/>
        <w:snapToGrid w:val="0"/>
        <w:spacing w:before="100" w:after="100" w:line="360" w:lineRule="auto"/>
        <w:ind w:firstLine="600" w:firstLineChars="200"/>
        <w:jc w:val="both"/>
        <w:textAlignment w:val="auto"/>
        <w:outlineLvl w:val="1"/>
        <w:rPr>
          <w:rFonts w:hint="default" w:ascii="Times New Roman" w:hAnsi="Times New Roman" w:eastAsia="黑体" w:cs="Times New Roman"/>
          <w:sz w:val="30"/>
          <w:szCs w:val="30"/>
          <w:highlight w:val="none"/>
          <w:lang w:val="en-US" w:eastAsia="zh-CN"/>
        </w:rPr>
      </w:pPr>
      <w:r>
        <w:rPr>
          <w:rFonts w:hint="default" w:ascii="Times New Roman" w:hAnsi="Times New Roman" w:eastAsia="黑体" w:cs="Times New Roman"/>
          <w:sz w:val="30"/>
          <w:szCs w:val="30"/>
          <w:highlight w:val="none"/>
          <w:lang w:val="en-US" w:eastAsia="zh-CN"/>
        </w:rPr>
        <w:t>五、其他重要事项情况说明</w:t>
      </w:r>
    </w:p>
    <w:p w14:paraId="7C6D354E">
      <w:pPr>
        <w:keepNext w:val="0"/>
        <w:keepLines w:val="0"/>
        <w:pageBreakBefore w:val="0"/>
        <w:widowControl/>
        <w:kinsoku/>
        <w:overflowPunct/>
        <w:topLinePunct w:val="0"/>
        <w:autoSpaceDE/>
        <w:autoSpaceDN/>
        <w:bidi w:val="0"/>
        <w:adjustRightInd/>
        <w:snapToGrid w:val="0"/>
        <w:spacing w:before="100" w:after="100" w:line="360" w:lineRule="auto"/>
        <w:ind w:firstLine="600" w:firstLineChars="200"/>
        <w:jc w:val="both"/>
        <w:textAlignment w:val="auto"/>
        <w:outlineLvl w:val="1"/>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官渡区官渡街道社区卫生服务中心2025年无其他重要事项情况说明。</w:t>
      </w:r>
    </w:p>
    <w:p w14:paraId="71419D77">
      <w:pPr>
        <w:keepNext w:val="0"/>
        <w:keepLines w:val="0"/>
        <w:pageBreakBefore w:val="0"/>
        <w:widowControl/>
        <w:kinsoku/>
        <w:overflowPunct/>
        <w:topLinePunct w:val="0"/>
        <w:autoSpaceDE/>
        <w:autoSpaceDN/>
        <w:bidi w:val="0"/>
        <w:adjustRightInd/>
        <w:snapToGrid w:val="0"/>
        <w:spacing w:before="100" w:after="100" w:line="360" w:lineRule="auto"/>
        <w:ind w:firstLine="600" w:firstLineChars="200"/>
        <w:jc w:val="both"/>
        <w:textAlignment w:val="auto"/>
        <w:outlineLvl w:val="1"/>
        <w:rPr>
          <w:rFonts w:hint="default" w:ascii="Times New Roman" w:hAnsi="Times New Roman" w:eastAsia="黑体" w:cs="Times New Roman"/>
          <w:sz w:val="30"/>
          <w:szCs w:val="30"/>
          <w:highlight w:val="none"/>
          <w:lang w:val="en-US" w:eastAsia="zh-CN"/>
        </w:rPr>
      </w:pPr>
      <w:r>
        <w:rPr>
          <w:rFonts w:hint="default" w:ascii="Times New Roman" w:hAnsi="Times New Roman" w:eastAsia="黑体" w:cs="Times New Roman"/>
          <w:sz w:val="30"/>
          <w:szCs w:val="30"/>
          <w:highlight w:val="none"/>
          <w:lang w:val="en-US" w:eastAsia="zh-CN"/>
        </w:rPr>
        <w:t>六、相关口径说明</w:t>
      </w:r>
    </w:p>
    <w:p w14:paraId="5D2C0914">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（一）</w:t>
      </w:r>
      <w:r>
        <w:rPr>
          <w:rFonts w:hint="default" w:ascii="Times New Roman" w:hAnsi="Times New Roman" w:eastAsia="仿宋_GB2312" w:cs="Times New Roman"/>
          <w:sz w:val="30"/>
          <w:szCs w:val="30"/>
          <w:highlight w:val="none"/>
        </w:rPr>
        <w:t>基本支出中人员经费包括工资福利支出和对个人和家庭的补助</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公用</w:t>
      </w:r>
      <w:r>
        <w:rPr>
          <w:rFonts w:hint="default" w:ascii="Times New Roman" w:hAnsi="Times New Roman" w:eastAsia="仿宋_GB2312" w:cs="Times New Roman"/>
          <w:sz w:val="30"/>
          <w:szCs w:val="30"/>
          <w:highlight w:val="none"/>
          <w:lang w:eastAsia="zh-CN"/>
        </w:rPr>
        <w:t>经费</w:t>
      </w:r>
      <w:r>
        <w:rPr>
          <w:rFonts w:hint="default" w:ascii="Times New Roman" w:hAnsi="Times New Roman" w:eastAsia="仿宋_GB2312" w:cs="Times New Roman"/>
          <w:sz w:val="30"/>
          <w:szCs w:val="30"/>
          <w:highlight w:val="none"/>
        </w:rPr>
        <w:t>包括商品和服务支出、资本性支出等人员经费以外的支出。</w:t>
      </w:r>
    </w:p>
    <w:p w14:paraId="6A9A7C6C">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（二）</w:t>
      </w:r>
      <w:r>
        <w:rPr>
          <w:rFonts w:hint="default" w:ascii="Times New Roman" w:hAnsi="Times New Roman" w:eastAsia="仿宋_GB2312" w:cs="Times New Roman"/>
          <w:sz w:val="30"/>
          <w:szCs w:val="30"/>
          <w:highlight w:val="none"/>
        </w:rPr>
        <w:t>机关运行经费指行政单位和参照公务员法管理的事业单位使用一般公共预算财政拨款安排的基本支出中的公用经费支出</w:t>
      </w:r>
      <w:r>
        <w:rPr>
          <w:rFonts w:hint="default" w:ascii="Times New Roman" w:hAnsi="Times New Roman" w:eastAsia="仿宋_GB2312" w:cs="Times New Roman"/>
          <w:sz w:val="30"/>
          <w:szCs w:val="30"/>
          <w:highlight w:val="none"/>
          <w:lang w:eastAsia="zh-CN"/>
        </w:rPr>
        <w:t>。</w:t>
      </w:r>
    </w:p>
    <w:p w14:paraId="411928A3">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t>（三）</w:t>
      </w:r>
      <w:r>
        <w:rPr>
          <w:rFonts w:hint="default" w:ascii="Times New Roman" w:hAnsi="Times New Roman" w:eastAsia="仿宋_GB2312" w:cs="Times New Roman"/>
          <w:sz w:val="30"/>
          <w:szCs w:val="30"/>
          <w:highlight w:val="none"/>
        </w:rPr>
        <w:t>按照党中央、国务院有关文件及部门预算管理有关规定</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“三公”经费包括因公出国（境）费</w:t>
      </w:r>
      <w:r>
        <w:rPr>
          <w:rFonts w:hint="default" w:ascii="Times New Roman" w:hAnsi="Times New Roman" w:eastAsia="仿宋_GB2312" w:cs="Times New Roman"/>
          <w:sz w:val="30"/>
          <w:szCs w:val="30"/>
          <w:highlight w:val="none"/>
          <w:lang w:val="en-US" w:eastAsia="zh-CN"/>
        </w:rPr>
        <w:t>用</w:t>
      </w:r>
      <w:r>
        <w:rPr>
          <w:rFonts w:hint="default" w:ascii="Times New Roman" w:hAnsi="Times New Roman" w:eastAsia="仿宋_GB2312" w:cs="Times New Roman"/>
          <w:sz w:val="30"/>
          <w:szCs w:val="30"/>
          <w:highlight w:val="none"/>
        </w:rPr>
        <w:t>、公务用车购置及运行维护费、公务接待费。其中：因公出国（境）费</w:t>
      </w:r>
      <w:r>
        <w:rPr>
          <w:rFonts w:hint="default" w:ascii="Times New Roman" w:hAnsi="Times New Roman" w:eastAsia="仿宋_GB2312" w:cs="Times New Roman"/>
          <w:sz w:val="30"/>
          <w:szCs w:val="30"/>
          <w:highlight w:val="none"/>
          <w:lang w:val="en-US" w:eastAsia="zh-CN"/>
        </w:rPr>
        <w:t>用</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指单位公务出国（境）的国际旅费、国外城市间交通费、住宿费、伙食费、培训费、公杂费等支出；公务用车购置费</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指公务用车购置支出（含车辆购置税</w:t>
      </w:r>
      <w:r>
        <w:rPr>
          <w:rFonts w:hint="default" w:ascii="Times New Roman" w:hAnsi="Times New Roman" w:eastAsia="仿宋_GB2312" w:cs="Times New Roman"/>
          <w:sz w:val="30"/>
          <w:szCs w:val="30"/>
          <w:highlight w:val="none"/>
          <w:lang w:eastAsia="zh-CN"/>
        </w:rPr>
        <w:t>、牌照费</w:t>
      </w:r>
      <w:r>
        <w:rPr>
          <w:rFonts w:hint="default" w:ascii="Times New Roman" w:hAnsi="Times New Roman" w:eastAsia="仿宋_GB2312" w:cs="Times New Roman"/>
          <w:sz w:val="30"/>
          <w:szCs w:val="30"/>
          <w:highlight w:val="none"/>
        </w:rPr>
        <w:t>）；公务用车运行维护费</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指单位按规定保留的公务用车燃料费、维修费、过桥过路费、保险费、安全奖励费用等支出；公务用车指用于履行公务的机动车辆</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包括省部级干部专车、一般公务用车和执法执勤用车；公务接待费</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指单位按规定开支的各类公务接待（含外宾接待）费用。</w:t>
      </w:r>
      <w:r>
        <w:rPr>
          <w:rFonts w:hint="default" w:ascii="Times New Roman" w:hAnsi="Times New Roman" w:eastAsia="仿宋_GB2312" w:cs="Times New Roman"/>
          <w:sz w:val="30"/>
          <w:szCs w:val="30"/>
          <w:highlight w:val="none"/>
          <w:lang w:eastAsia="zh-CN"/>
        </w:rPr>
        <w:t>本文中公开的财政拨款“三公”经费相关数据是一般公共预算、政府性基金及国有资本经营预算财政拨款支出的相关经费</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eastAsia="zh-CN"/>
        </w:rPr>
        <w:t>不含非财政拨款部分。</w:t>
      </w:r>
    </w:p>
    <w:p w14:paraId="6933D025">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（四）本文所称财政拨款</w:t>
      </w:r>
      <w:r>
        <w:rPr>
          <w:rFonts w:hint="default" w:ascii="Times New Roman" w:hAnsi="Times New Roman" w:eastAsia="仿宋_GB2312" w:cs="Times New Roman"/>
          <w:sz w:val="30"/>
          <w:szCs w:val="30"/>
          <w:highlight w:val="none"/>
        </w:rPr>
        <w:t>“三公”经费决算数</w:t>
      </w:r>
      <w:r>
        <w:rPr>
          <w:rFonts w:hint="default" w:ascii="Times New Roman" w:hAnsi="Times New Roman" w:eastAsia="仿宋_GB2312" w:cs="Times New Roman"/>
          <w:sz w:val="30"/>
          <w:szCs w:val="30"/>
          <w:highlight w:val="none"/>
          <w:lang w:eastAsia="zh-CN"/>
        </w:rPr>
        <w:t>是</w:t>
      </w:r>
      <w:r>
        <w:rPr>
          <w:rFonts w:hint="default" w:ascii="Times New Roman" w:hAnsi="Times New Roman" w:eastAsia="仿宋_GB2312" w:cs="Times New Roman"/>
          <w:sz w:val="30"/>
          <w:szCs w:val="30"/>
          <w:highlight w:val="none"/>
        </w:rPr>
        <w:t>指各部门（含下属单位）</w:t>
      </w:r>
      <w:r>
        <w:rPr>
          <w:rFonts w:hint="default" w:ascii="Times New Roman" w:hAnsi="Times New Roman" w:eastAsia="仿宋_GB2312" w:cs="Times New Roman"/>
          <w:sz w:val="30"/>
          <w:szCs w:val="30"/>
          <w:highlight w:val="none"/>
          <w:lang w:eastAsia="zh-CN"/>
        </w:rPr>
        <w:t>或单位</w:t>
      </w:r>
      <w:r>
        <w:rPr>
          <w:rFonts w:hint="default" w:ascii="Times New Roman" w:hAnsi="Times New Roman" w:eastAsia="仿宋_GB2312" w:cs="Times New Roman"/>
          <w:sz w:val="30"/>
          <w:szCs w:val="30"/>
          <w:highlight w:val="none"/>
        </w:rPr>
        <w:t>当年通过本级财政拨款和以前年度财政拨款结转结余资金安排的因公出国（境）费</w:t>
      </w:r>
      <w:r>
        <w:rPr>
          <w:rFonts w:hint="default" w:ascii="Times New Roman" w:hAnsi="Times New Roman" w:eastAsia="仿宋_GB2312" w:cs="Times New Roman"/>
          <w:sz w:val="30"/>
          <w:szCs w:val="30"/>
          <w:highlight w:val="none"/>
          <w:lang w:val="en-US" w:eastAsia="zh-CN"/>
        </w:rPr>
        <w:t>用</w:t>
      </w:r>
      <w:r>
        <w:rPr>
          <w:rFonts w:hint="default" w:ascii="Times New Roman" w:hAnsi="Times New Roman" w:eastAsia="仿宋_GB2312" w:cs="Times New Roman"/>
          <w:sz w:val="30"/>
          <w:szCs w:val="30"/>
          <w:highlight w:val="none"/>
        </w:rPr>
        <w:t>、公务用车购置及运行维护费和公务接待费支出数（包括基本支出和项目支出）。</w:t>
      </w:r>
    </w:p>
    <w:p w14:paraId="38390A90">
      <w:pPr>
        <w:keepNext w:val="0"/>
        <w:keepLines w:val="0"/>
        <w:pageBreakBefore w:val="0"/>
        <w:kinsoku/>
        <w:overflowPunct/>
        <w:topLinePunct w:val="0"/>
        <w:autoSpaceDE/>
        <w:autoSpaceDN/>
        <w:bidi w:val="0"/>
        <w:adjustRightInd/>
        <w:jc w:val="center"/>
        <w:textAlignment w:val="auto"/>
        <w:outlineLvl w:val="0"/>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第</w:t>
      </w:r>
      <w:r>
        <w:rPr>
          <w:rFonts w:hint="default" w:ascii="Times New Roman" w:hAnsi="Times New Roman" w:eastAsia="黑体" w:cs="Times New Roman"/>
          <w:sz w:val="30"/>
          <w:szCs w:val="30"/>
          <w:highlight w:val="none"/>
          <w:lang w:eastAsia="zh-CN"/>
        </w:rPr>
        <w:t>五</w:t>
      </w:r>
      <w:r>
        <w:rPr>
          <w:rFonts w:hint="default" w:ascii="Times New Roman" w:hAnsi="Times New Roman" w:eastAsia="黑体" w:cs="Times New Roman"/>
          <w:sz w:val="30"/>
          <w:szCs w:val="30"/>
          <w:highlight w:val="none"/>
        </w:rPr>
        <w:t>部分  名词解释</w:t>
      </w:r>
    </w:p>
    <w:p w14:paraId="1AF71F46">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部门决算：各部门依据国家有关法律法规规定及其履行职能情况编制</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反映部门和单位所有预算收支和结余执行结果及绩效等情况的综合性年度报告</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是改进部门预算执行以及编制后续年度部门预算的参考和依据。</w:t>
      </w:r>
    </w:p>
    <w:p w14:paraId="23E16314">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政府采购：是指各级政府为了开展日常政务活动或为公众提供服务</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在财政的监督下</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以法定的方式、方法和程序</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通过公开招标、公平竞争</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由财政部门以直接向供应商付款的方式</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从国内、外市场上为政府部门或所属团体购买货物、工程和劳务的行为。其实质是市场竞争机制与财政支出管理的有机结合</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其主要特点就是对政府采购行为进行法制化的管理。政府采购主要以招标采购、有限竞争性采购和竞争性谈判为主。</w:t>
      </w:r>
    </w:p>
    <w:p w14:paraId="085A51FB">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一般预算财政拨款收支：指行政单位和参照公务员管理事业单位的收支</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一般预算财政补助开支是指参公管理事业单位以外的事业单位开支。</w:t>
      </w:r>
    </w:p>
    <w:p w14:paraId="7B1F77A7">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财政拨款收入：本年度从本级财政部门取得的财政拨款</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包括一般公共预算财政拨款和政府性基金预算财政拨款。</w:t>
      </w:r>
    </w:p>
    <w:p w14:paraId="53E0605C">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基本支出：填列单位为保障机构正常运转、完成日常工作任务而发生的各项支出。</w:t>
      </w:r>
    </w:p>
    <w:p w14:paraId="05FD44D5">
      <w:pPr>
        <w:keepNext w:val="0"/>
        <w:keepLines w:val="0"/>
        <w:pageBreakBefore w:val="0"/>
        <w:kinsoku/>
        <w:overflowPunct/>
        <w:topLinePunct w:val="0"/>
        <w:autoSpaceDE/>
        <w:autoSpaceDN/>
        <w:bidi w:val="0"/>
        <w:adjustRightInd/>
        <w:ind w:firstLine="600" w:firstLineChars="200"/>
        <w:jc w:val="both"/>
        <w:textAlignment w:val="auto"/>
        <w:rPr>
          <w:rFonts w:hint="default" w:ascii="Times New Roman" w:hAnsi="Times New Roman" w:cs="Times New Roman"/>
          <w:sz w:val="30"/>
          <w:szCs w:val="30"/>
        </w:rPr>
      </w:pPr>
      <w:r>
        <w:rPr>
          <w:rFonts w:hint="default" w:ascii="Times New Roman" w:hAnsi="Times New Roman" w:eastAsia="仿宋_GB2312" w:cs="Times New Roman"/>
          <w:sz w:val="30"/>
          <w:szCs w:val="30"/>
          <w:highlight w:val="none"/>
        </w:rPr>
        <w:t>项目支出：填列单位未完成特定的行政工作任务或事业发展目标</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rPr>
        <w:t>在基本支出之外发生的各项支出。</w:t>
      </w:r>
    </w:p>
    <w:sectPr>
      <w:headerReference r:id="rId3" w:type="default"/>
      <w:footerReference r:id="rId4" w:type="default"/>
      <w:footerReference r:id="rId5" w:type="even"/>
      <w:pgSz w:w="11906" w:h="16838"/>
      <w:pgMar w:top="2098" w:right="1418" w:bottom="1588" w:left="164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方正书宋_GBK"/>
    <w:panose1 w:val="02010600030101010101"/>
    <w:charset w:val="4D"/>
    <w:family w:val="roman"/>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D02D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69E38B">
                          <w:pPr>
                            <w:pStyle w:val="4"/>
                            <w:rPr>
                              <w:rStyle w:val="10"/>
                            </w:rPr>
                          </w:pPr>
                          <w:r>
                            <w:rPr>
                              <w:rStyle w:val="10"/>
                              <w:sz w:val="28"/>
                              <w:szCs w:val="28"/>
                            </w:rPr>
                            <w:fldChar w:fldCharType="begin"/>
                          </w:r>
                          <w:r>
                            <w:rPr>
                              <w:rStyle w:val="10"/>
                              <w:sz w:val="28"/>
                              <w:szCs w:val="28"/>
                            </w:rPr>
                            <w:instrText xml:space="preserve">PAGE  </w:instrText>
                          </w:r>
                          <w:r>
                            <w:rPr>
                              <w:sz w:val="28"/>
                              <w:szCs w:val="28"/>
                            </w:rPr>
                            <w:fldChar w:fldCharType="separate"/>
                          </w:r>
                          <w:r>
                            <w:rPr>
                              <w:rStyle w:val="10"/>
                              <w:sz w:val="28"/>
                              <w:szCs w:val="28"/>
                            </w:rPr>
                            <w:t>8</w:t>
                          </w:r>
                          <w:r>
                            <w:rPr>
                              <w:sz w:val="28"/>
                              <w:szCs w:val="2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14:paraId="6A69E38B">
                    <w:pPr>
                      <w:pStyle w:val="4"/>
                      <w:rPr>
                        <w:rStyle w:val="10"/>
                      </w:rPr>
                    </w:pPr>
                    <w:r>
                      <w:rPr>
                        <w:rStyle w:val="10"/>
                        <w:sz w:val="28"/>
                        <w:szCs w:val="28"/>
                      </w:rPr>
                      <w:fldChar w:fldCharType="begin"/>
                    </w:r>
                    <w:r>
                      <w:rPr>
                        <w:rStyle w:val="10"/>
                        <w:sz w:val="28"/>
                        <w:szCs w:val="28"/>
                      </w:rPr>
                      <w:instrText xml:space="preserve">PAGE  </w:instrText>
                    </w:r>
                    <w:r>
                      <w:rPr>
                        <w:sz w:val="28"/>
                        <w:szCs w:val="28"/>
                      </w:rPr>
                      <w:fldChar w:fldCharType="separate"/>
                    </w:r>
                    <w:r>
                      <w:rPr>
                        <w:rStyle w:val="10"/>
                        <w:sz w:val="28"/>
                        <w:szCs w:val="28"/>
                      </w:rPr>
                      <w:t>8</w:t>
                    </w:r>
                    <w:r>
                      <w:rPr>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3BCDB">
    <w:pPr>
      <w:pStyle w:val="4"/>
      <w:framePr w:wrap="around" w:vAnchor="text" w:hAnchor="margin" w:xAlign="center" w:y="1"/>
      <w:rPr>
        <w:rStyle w:val="10"/>
      </w:rPr>
    </w:pPr>
    <w:r>
      <w:rPr>
        <w:rStyle w:val="10"/>
      </w:rPr>
      <w:fldChar w:fldCharType="begin"/>
    </w:r>
    <w:r>
      <w:rPr>
        <w:rStyle w:val="10"/>
      </w:rPr>
      <w:instrText xml:space="preserve">PAGE  </w:instrText>
    </w:r>
    <w:r>
      <w:fldChar w:fldCharType="separate"/>
    </w:r>
    <w:r>
      <w:fldChar w:fldCharType="end"/>
    </w:r>
  </w:p>
  <w:p w14:paraId="0CB003E4">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F900C">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213A9B"/>
    <w:multiLevelType w:val="singleLevel"/>
    <w:tmpl w:val="FE213A9B"/>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01278"/>
    <w:rsid w:val="00D64AE1"/>
    <w:rsid w:val="00FB4547"/>
    <w:rsid w:val="011E0236"/>
    <w:rsid w:val="01527EDF"/>
    <w:rsid w:val="01BD35AB"/>
    <w:rsid w:val="01E00540"/>
    <w:rsid w:val="021653B1"/>
    <w:rsid w:val="024E6138"/>
    <w:rsid w:val="03724869"/>
    <w:rsid w:val="0385459C"/>
    <w:rsid w:val="045C354F"/>
    <w:rsid w:val="04762137"/>
    <w:rsid w:val="04E43544"/>
    <w:rsid w:val="05123C0E"/>
    <w:rsid w:val="05191440"/>
    <w:rsid w:val="05551D4C"/>
    <w:rsid w:val="06336531"/>
    <w:rsid w:val="063858F6"/>
    <w:rsid w:val="065E2E82"/>
    <w:rsid w:val="066A1827"/>
    <w:rsid w:val="06C13B3D"/>
    <w:rsid w:val="071874D5"/>
    <w:rsid w:val="074958E1"/>
    <w:rsid w:val="07585B24"/>
    <w:rsid w:val="07C733D5"/>
    <w:rsid w:val="07FE491D"/>
    <w:rsid w:val="08033CE1"/>
    <w:rsid w:val="08752E31"/>
    <w:rsid w:val="088F5575"/>
    <w:rsid w:val="08BD6586"/>
    <w:rsid w:val="09A11A04"/>
    <w:rsid w:val="09B554AF"/>
    <w:rsid w:val="0A00497C"/>
    <w:rsid w:val="0A4707FD"/>
    <w:rsid w:val="0A6E5D8A"/>
    <w:rsid w:val="0AA25A34"/>
    <w:rsid w:val="0B574A70"/>
    <w:rsid w:val="0C7C4062"/>
    <w:rsid w:val="0C9B098C"/>
    <w:rsid w:val="0C9E222B"/>
    <w:rsid w:val="0CC223BD"/>
    <w:rsid w:val="0CD81BE1"/>
    <w:rsid w:val="0CEE4F60"/>
    <w:rsid w:val="0D066333"/>
    <w:rsid w:val="0D505C1B"/>
    <w:rsid w:val="0D613984"/>
    <w:rsid w:val="0D7E7B62"/>
    <w:rsid w:val="0DC42165"/>
    <w:rsid w:val="0E197DBB"/>
    <w:rsid w:val="0E5A03D3"/>
    <w:rsid w:val="0ED9579C"/>
    <w:rsid w:val="0EE35CED"/>
    <w:rsid w:val="0F3B6457"/>
    <w:rsid w:val="0F6E2388"/>
    <w:rsid w:val="0F8971C2"/>
    <w:rsid w:val="0FA4224E"/>
    <w:rsid w:val="0FD20B69"/>
    <w:rsid w:val="0FFF56D6"/>
    <w:rsid w:val="10501A8E"/>
    <w:rsid w:val="10B93AD7"/>
    <w:rsid w:val="10C304B2"/>
    <w:rsid w:val="10CA1840"/>
    <w:rsid w:val="10ED3781"/>
    <w:rsid w:val="10F44B0F"/>
    <w:rsid w:val="114A2981"/>
    <w:rsid w:val="116E48C1"/>
    <w:rsid w:val="117A5014"/>
    <w:rsid w:val="1189521F"/>
    <w:rsid w:val="11A007F3"/>
    <w:rsid w:val="11AB78C4"/>
    <w:rsid w:val="12B96010"/>
    <w:rsid w:val="13143247"/>
    <w:rsid w:val="1319085D"/>
    <w:rsid w:val="13337B71"/>
    <w:rsid w:val="134358DA"/>
    <w:rsid w:val="13C54541"/>
    <w:rsid w:val="13D80718"/>
    <w:rsid w:val="14103A0E"/>
    <w:rsid w:val="145D29CB"/>
    <w:rsid w:val="147C72F5"/>
    <w:rsid w:val="14977C8B"/>
    <w:rsid w:val="14BB6070"/>
    <w:rsid w:val="15477903"/>
    <w:rsid w:val="15510782"/>
    <w:rsid w:val="15B11221"/>
    <w:rsid w:val="15DD5B72"/>
    <w:rsid w:val="160C46A9"/>
    <w:rsid w:val="16A42B33"/>
    <w:rsid w:val="16BE59A3"/>
    <w:rsid w:val="174B2FAF"/>
    <w:rsid w:val="175B7696"/>
    <w:rsid w:val="178C5AA1"/>
    <w:rsid w:val="179130B8"/>
    <w:rsid w:val="18001FEB"/>
    <w:rsid w:val="188E5849"/>
    <w:rsid w:val="198729C4"/>
    <w:rsid w:val="19925DBA"/>
    <w:rsid w:val="19B65058"/>
    <w:rsid w:val="19B7492C"/>
    <w:rsid w:val="19DD0836"/>
    <w:rsid w:val="1A0C111B"/>
    <w:rsid w:val="1A3D12D5"/>
    <w:rsid w:val="1A7B1DFD"/>
    <w:rsid w:val="1A840CB2"/>
    <w:rsid w:val="1ADD03C2"/>
    <w:rsid w:val="1B2B3823"/>
    <w:rsid w:val="1B607D30"/>
    <w:rsid w:val="1B7A20B5"/>
    <w:rsid w:val="1BAF7FB0"/>
    <w:rsid w:val="1BB67591"/>
    <w:rsid w:val="1C1D7393"/>
    <w:rsid w:val="1C24274C"/>
    <w:rsid w:val="1CAD6D49"/>
    <w:rsid w:val="1CEB5018"/>
    <w:rsid w:val="1D0C4F8F"/>
    <w:rsid w:val="1D951428"/>
    <w:rsid w:val="1DB7139E"/>
    <w:rsid w:val="1DC6338F"/>
    <w:rsid w:val="1E0F2F88"/>
    <w:rsid w:val="1EBF49AE"/>
    <w:rsid w:val="1EC975DB"/>
    <w:rsid w:val="1ECE074D"/>
    <w:rsid w:val="1EE461C3"/>
    <w:rsid w:val="1F417171"/>
    <w:rsid w:val="1FDB5818"/>
    <w:rsid w:val="1FFB1A16"/>
    <w:rsid w:val="1FFE5062"/>
    <w:rsid w:val="20515ADA"/>
    <w:rsid w:val="206971A6"/>
    <w:rsid w:val="22034BB2"/>
    <w:rsid w:val="226B2757"/>
    <w:rsid w:val="226D4721"/>
    <w:rsid w:val="228A0E2F"/>
    <w:rsid w:val="22AF6AE8"/>
    <w:rsid w:val="230230BC"/>
    <w:rsid w:val="231150AD"/>
    <w:rsid w:val="2342170A"/>
    <w:rsid w:val="2378512C"/>
    <w:rsid w:val="238E0DF3"/>
    <w:rsid w:val="24466FD8"/>
    <w:rsid w:val="246062EC"/>
    <w:rsid w:val="24FB6014"/>
    <w:rsid w:val="250255F5"/>
    <w:rsid w:val="2524556B"/>
    <w:rsid w:val="26F6220F"/>
    <w:rsid w:val="26F86CAF"/>
    <w:rsid w:val="27221F7E"/>
    <w:rsid w:val="274577C6"/>
    <w:rsid w:val="2778394C"/>
    <w:rsid w:val="27B70259"/>
    <w:rsid w:val="27F54F9D"/>
    <w:rsid w:val="28575C58"/>
    <w:rsid w:val="285F2D5E"/>
    <w:rsid w:val="28FC05AD"/>
    <w:rsid w:val="290B259E"/>
    <w:rsid w:val="292A6EC8"/>
    <w:rsid w:val="295E3016"/>
    <w:rsid w:val="29CE1F49"/>
    <w:rsid w:val="29D46E34"/>
    <w:rsid w:val="2A30050E"/>
    <w:rsid w:val="2A465F84"/>
    <w:rsid w:val="2A7F3244"/>
    <w:rsid w:val="2A9926E3"/>
    <w:rsid w:val="2AB253C7"/>
    <w:rsid w:val="2AE632C3"/>
    <w:rsid w:val="2B0B4AD7"/>
    <w:rsid w:val="2B522706"/>
    <w:rsid w:val="2B673A18"/>
    <w:rsid w:val="2B7D59D5"/>
    <w:rsid w:val="2C167BD8"/>
    <w:rsid w:val="2C1F6112"/>
    <w:rsid w:val="2C2E0A7D"/>
    <w:rsid w:val="2C892158"/>
    <w:rsid w:val="2C9A6113"/>
    <w:rsid w:val="2CA13945"/>
    <w:rsid w:val="2CB5119F"/>
    <w:rsid w:val="2D9139BA"/>
    <w:rsid w:val="2DC7118A"/>
    <w:rsid w:val="2E444588"/>
    <w:rsid w:val="2E635C81"/>
    <w:rsid w:val="2E7D3F3E"/>
    <w:rsid w:val="2E862DF3"/>
    <w:rsid w:val="2E9F0E9F"/>
    <w:rsid w:val="2EA43279"/>
    <w:rsid w:val="2EB23BE8"/>
    <w:rsid w:val="2EC97183"/>
    <w:rsid w:val="2EE23DA1"/>
    <w:rsid w:val="2F2A5E74"/>
    <w:rsid w:val="2F2F348A"/>
    <w:rsid w:val="2F587D94"/>
    <w:rsid w:val="2F7215C9"/>
    <w:rsid w:val="30182170"/>
    <w:rsid w:val="30874C00"/>
    <w:rsid w:val="314618C4"/>
    <w:rsid w:val="3148438F"/>
    <w:rsid w:val="314B20D2"/>
    <w:rsid w:val="316311C9"/>
    <w:rsid w:val="31EF5153"/>
    <w:rsid w:val="32036508"/>
    <w:rsid w:val="323112C7"/>
    <w:rsid w:val="32566F80"/>
    <w:rsid w:val="3284589B"/>
    <w:rsid w:val="32D83E39"/>
    <w:rsid w:val="331A1D5C"/>
    <w:rsid w:val="331C3D26"/>
    <w:rsid w:val="33783EBA"/>
    <w:rsid w:val="34190265"/>
    <w:rsid w:val="341B5D8B"/>
    <w:rsid w:val="347E456C"/>
    <w:rsid w:val="349D2C44"/>
    <w:rsid w:val="350C7DCA"/>
    <w:rsid w:val="354237EC"/>
    <w:rsid w:val="354C01C6"/>
    <w:rsid w:val="35C42453"/>
    <w:rsid w:val="361B561A"/>
    <w:rsid w:val="362D624A"/>
    <w:rsid w:val="3676374D"/>
    <w:rsid w:val="36C4095C"/>
    <w:rsid w:val="36D3294D"/>
    <w:rsid w:val="37076A9B"/>
    <w:rsid w:val="37144D14"/>
    <w:rsid w:val="377D0B0B"/>
    <w:rsid w:val="38521F98"/>
    <w:rsid w:val="38910D12"/>
    <w:rsid w:val="38A04AB1"/>
    <w:rsid w:val="38EA0422"/>
    <w:rsid w:val="39094D4C"/>
    <w:rsid w:val="39170434"/>
    <w:rsid w:val="39364732"/>
    <w:rsid w:val="39E11825"/>
    <w:rsid w:val="3A7763B6"/>
    <w:rsid w:val="3A7B3A28"/>
    <w:rsid w:val="3A96260F"/>
    <w:rsid w:val="3B20012B"/>
    <w:rsid w:val="3B702E61"/>
    <w:rsid w:val="3C123F18"/>
    <w:rsid w:val="3C2D2B00"/>
    <w:rsid w:val="3C2E275D"/>
    <w:rsid w:val="3C4B4CBA"/>
    <w:rsid w:val="3CCA47F2"/>
    <w:rsid w:val="3D0C0967"/>
    <w:rsid w:val="3D4F2F4A"/>
    <w:rsid w:val="3D4F4CF8"/>
    <w:rsid w:val="3D687B67"/>
    <w:rsid w:val="3D9F17DB"/>
    <w:rsid w:val="3E2972F7"/>
    <w:rsid w:val="3E3C1720"/>
    <w:rsid w:val="3E506F79"/>
    <w:rsid w:val="3EB56DDC"/>
    <w:rsid w:val="3EE33949"/>
    <w:rsid w:val="3F395C5F"/>
    <w:rsid w:val="3FEC4A80"/>
    <w:rsid w:val="40061FE5"/>
    <w:rsid w:val="403F1053"/>
    <w:rsid w:val="40A37834"/>
    <w:rsid w:val="40FC5196"/>
    <w:rsid w:val="41175B2C"/>
    <w:rsid w:val="41642B57"/>
    <w:rsid w:val="418C02C8"/>
    <w:rsid w:val="419B675D"/>
    <w:rsid w:val="41D63C39"/>
    <w:rsid w:val="42243806"/>
    <w:rsid w:val="42701998"/>
    <w:rsid w:val="42AB29D0"/>
    <w:rsid w:val="42C35F6C"/>
    <w:rsid w:val="42C53343"/>
    <w:rsid w:val="42E83C24"/>
    <w:rsid w:val="43BB6B11"/>
    <w:rsid w:val="441B5933"/>
    <w:rsid w:val="447A4D50"/>
    <w:rsid w:val="448D4A83"/>
    <w:rsid w:val="44E73A68"/>
    <w:rsid w:val="45C67B21"/>
    <w:rsid w:val="45DA005A"/>
    <w:rsid w:val="46DD15C6"/>
    <w:rsid w:val="47370CD6"/>
    <w:rsid w:val="47484E32"/>
    <w:rsid w:val="47794E4B"/>
    <w:rsid w:val="47D97FDF"/>
    <w:rsid w:val="48205C0E"/>
    <w:rsid w:val="48345216"/>
    <w:rsid w:val="48401E0D"/>
    <w:rsid w:val="484A4A39"/>
    <w:rsid w:val="499713DC"/>
    <w:rsid w:val="4B1F5D09"/>
    <w:rsid w:val="4B893ACB"/>
    <w:rsid w:val="4BD05255"/>
    <w:rsid w:val="4BF278C2"/>
    <w:rsid w:val="4C1774A3"/>
    <w:rsid w:val="4C6562E6"/>
    <w:rsid w:val="4C9D782D"/>
    <w:rsid w:val="4CC73F63"/>
    <w:rsid w:val="4D9D385D"/>
    <w:rsid w:val="4DBF5582"/>
    <w:rsid w:val="4DE1199C"/>
    <w:rsid w:val="4E013DEC"/>
    <w:rsid w:val="4E1C0C26"/>
    <w:rsid w:val="4E632644"/>
    <w:rsid w:val="4EA83BE7"/>
    <w:rsid w:val="4F860A4D"/>
    <w:rsid w:val="4FA80764"/>
    <w:rsid w:val="4FE87ACD"/>
    <w:rsid w:val="4FF27E90"/>
    <w:rsid w:val="4FF736F9"/>
    <w:rsid w:val="5019541D"/>
    <w:rsid w:val="50811214"/>
    <w:rsid w:val="50A0169A"/>
    <w:rsid w:val="50E0418D"/>
    <w:rsid w:val="51143E36"/>
    <w:rsid w:val="51226553"/>
    <w:rsid w:val="513D513B"/>
    <w:rsid w:val="5196484B"/>
    <w:rsid w:val="51AB479B"/>
    <w:rsid w:val="51ED6B61"/>
    <w:rsid w:val="51F06651"/>
    <w:rsid w:val="525F5585"/>
    <w:rsid w:val="52862B12"/>
    <w:rsid w:val="52A5743C"/>
    <w:rsid w:val="53191BD8"/>
    <w:rsid w:val="536A41E2"/>
    <w:rsid w:val="53F02939"/>
    <w:rsid w:val="544467E1"/>
    <w:rsid w:val="546D21DB"/>
    <w:rsid w:val="54CA318A"/>
    <w:rsid w:val="55760C1C"/>
    <w:rsid w:val="5579695E"/>
    <w:rsid w:val="559D701D"/>
    <w:rsid w:val="55A107FB"/>
    <w:rsid w:val="55A51501"/>
    <w:rsid w:val="560721BC"/>
    <w:rsid w:val="560B3A5A"/>
    <w:rsid w:val="56293EE0"/>
    <w:rsid w:val="57686C8A"/>
    <w:rsid w:val="57E04A72"/>
    <w:rsid w:val="58035BF4"/>
    <w:rsid w:val="581A4428"/>
    <w:rsid w:val="582708F3"/>
    <w:rsid w:val="583077A8"/>
    <w:rsid w:val="584E40D2"/>
    <w:rsid w:val="587D6765"/>
    <w:rsid w:val="58CB5722"/>
    <w:rsid w:val="5A160C1F"/>
    <w:rsid w:val="5AD3266C"/>
    <w:rsid w:val="5AFE3B8D"/>
    <w:rsid w:val="5BB406F0"/>
    <w:rsid w:val="5BF154A0"/>
    <w:rsid w:val="5BF21017"/>
    <w:rsid w:val="5C090A3C"/>
    <w:rsid w:val="5C580E84"/>
    <w:rsid w:val="5C677510"/>
    <w:rsid w:val="5C7B371F"/>
    <w:rsid w:val="5C961BA3"/>
    <w:rsid w:val="5CCB7A9F"/>
    <w:rsid w:val="5D331AE8"/>
    <w:rsid w:val="5DCC5032"/>
    <w:rsid w:val="5DF9063C"/>
    <w:rsid w:val="5E192A8C"/>
    <w:rsid w:val="5E211941"/>
    <w:rsid w:val="5E6A32E8"/>
    <w:rsid w:val="5E7F4FE5"/>
    <w:rsid w:val="5F3F6522"/>
    <w:rsid w:val="5FFA069B"/>
    <w:rsid w:val="60017C7C"/>
    <w:rsid w:val="60487659"/>
    <w:rsid w:val="60F03F78"/>
    <w:rsid w:val="6118527D"/>
    <w:rsid w:val="616B7AA3"/>
    <w:rsid w:val="62051CA5"/>
    <w:rsid w:val="622003BE"/>
    <w:rsid w:val="625422E5"/>
    <w:rsid w:val="62606EDB"/>
    <w:rsid w:val="627961EF"/>
    <w:rsid w:val="634405AB"/>
    <w:rsid w:val="63936E3D"/>
    <w:rsid w:val="63B03E93"/>
    <w:rsid w:val="63CE60C7"/>
    <w:rsid w:val="648844C8"/>
    <w:rsid w:val="64A137DB"/>
    <w:rsid w:val="64CE2822"/>
    <w:rsid w:val="64F1206D"/>
    <w:rsid w:val="653463FD"/>
    <w:rsid w:val="65C77271"/>
    <w:rsid w:val="65C854C3"/>
    <w:rsid w:val="65FC33BF"/>
    <w:rsid w:val="66756CCD"/>
    <w:rsid w:val="667967BE"/>
    <w:rsid w:val="667F33F8"/>
    <w:rsid w:val="66811B16"/>
    <w:rsid w:val="66836460"/>
    <w:rsid w:val="66BE2423"/>
    <w:rsid w:val="66C832A1"/>
    <w:rsid w:val="66F145A6"/>
    <w:rsid w:val="66F61BBC"/>
    <w:rsid w:val="671A7F81"/>
    <w:rsid w:val="67334BBF"/>
    <w:rsid w:val="6744501E"/>
    <w:rsid w:val="6787315C"/>
    <w:rsid w:val="678A67A9"/>
    <w:rsid w:val="68D0468F"/>
    <w:rsid w:val="695B664F"/>
    <w:rsid w:val="69B97B6B"/>
    <w:rsid w:val="69CB5582"/>
    <w:rsid w:val="6A2E78BF"/>
    <w:rsid w:val="6A4946F9"/>
    <w:rsid w:val="6AA22005"/>
    <w:rsid w:val="6ACB15B2"/>
    <w:rsid w:val="6B4352FD"/>
    <w:rsid w:val="6B8C2AEF"/>
    <w:rsid w:val="6CC664D5"/>
    <w:rsid w:val="6D527D69"/>
    <w:rsid w:val="6D6F5600"/>
    <w:rsid w:val="6D8D6129"/>
    <w:rsid w:val="6DF64B98"/>
    <w:rsid w:val="6E4C47B8"/>
    <w:rsid w:val="6ED749C9"/>
    <w:rsid w:val="6F046E40"/>
    <w:rsid w:val="6F1C062E"/>
    <w:rsid w:val="6F5558EE"/>
    <w:rsid w:val="6F60676D"/>
    <w:rsid w:val="6F946501"/>
    <w:rsid w:val="6F9C351D"/>
    <w:rsid w:val="6F9E54E7"/>
    <w:rsid w:val="70934920"/>
    <w:rsid w:val="70B32BC2"/>
    <w:rsid w:val="70D94A29"/>
    <w:rsid w:val="715C2F64"/>
    <w:rsid w:val="71E05943"/>
    <w:rsid w:val="723E5DC7"/>
    <w:rsid w:val="7249798C"/>
    <w:rsid w:val="725D51E5"/>
    <w:rsid w:val="72BD5C84"/>
    <w:rsid w:val="73005B71"/>
    <w:rsid w:val="732D2E0A"/>
    <w:rsid w:val="73886292"/>
    <w:rsid w:val="73903399"/>
    <w:rsid w:val="73F05BE5"/>
    <w:rsid w:val="74AC5FB0"/>
    <w:rsid w:val="74B9247B"/>
    <w:rsid w:val="74DD43BC"/>
    <w:rsid w:val="74E67714"/>
    <w:rsid w:val="758B02BC"/>
    <w:rsid w:val="75A5137D"/>
    <w:rsid w:val="75BC0475"/>
    <w:rsid w:val="75F0011F"/>
    <w:rsid w:val="76004806"/>
    <w:rsid w:val="76DA5057"/>
    <w:rsid w:val="76E45ED5"/>
    <w:rsid w:val="7758241F"/>
    <w:rsid w:val="77617526"/>
    <w:rsid w:val="77674410"/>
    <w:rsid w:val="77974CF6"/>
    <w:rsid w:val="7798281C"/>
    <w:rsid w:val="77A45665"/>
    <w:rsid w:val="781F6A99"/>
    <w:rsid w:val="787119EB"/>
    <w:rsid w:val="7878384E"/>
    <w:rsid w:val="789D27E0"/>
    <w:rsid w:val="79167E9C"/>
    <w:rsid w:val="791A5BDE"/>
    <w:rsid w:val="79825532"/>
    <w:rsid w:val="7993773F"/>
    <w:rsid w:val="79C618C2"/>
    <w:rsid w:val="7A2D1941"/>
    <w:rsid w:val="7A2F7467"/>
    <w:rsid w:val="7A6D1D3E"/>
    <w:rsid w:val="7AD41DBD"/>
    <w:rsid w:val="7B564EC8"/>
    <w:rsid w:val="7B8A691F"/>
    <w:rsid w:val="7C29438A"/>
    <w:rsid w:val="7C504543"/>
    <w:rsid w:val="7C5C4760"/>
    <w:rsid w:val="7C66113B"/>
    <w:rsid w:val="7CAD0B17"/>
    <w:rsid w:val="7D5B0573"/>
    <w:rsid w:val="7D63567A"/>
    <w:rsid w:val="7D6B2EAC"/>
    <w:rsid w:val="7D7D04EA"/>
    <w:rsid w:val="7D9B3066"/>
    <w:rsid w:val="7E301A00"/>
    <w:rsid w:val="7E694F12"/>
    <w:rsid w:val="7ED700CE"/>
    <w:rsid w:val="7EED78F1"/>
    <w:rsid w:val="7EF06B5F"/>
    <w:rsid w:val="7F0C421B"/>
    <w:rsid w:val="7F1C1F84"/>
    <w:rsid w:val="7FC20D7E"/>
    <w:rsid w:val="7FF67165"/>
    <w:rsid w:val="B77318A3"/>
    <w:rsid w:val="D2ED7DD2"/>
    <w:rsid w:val="F79BEADD"/>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Body Text"/>
    <w:basedOn w:val="1"/>
    <w:qFormat/>
    <w:uiPriority w:val="0"/>
    <w:pPr>
      <w:spacing w:before="93" w:beforeLines="30"/>
    </w:pPr>
    <w:rPr>
      <w:rFonts w:ascii="仿宋_GB2312" w:eastAsia="仿宋_GB2312"/>
      <w:sz w:val="3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xmlns="http://schemas.openxmlformats.org/officeDocument/2006/custom-properties" fmtid="{D5CDD505-2E9C-101B-9397-08002B2CF9AE}" pid="2" name="KSOProductBuildVer">
    <vt:lpwstr xmlns:vt="http://schemas.openxmlformats.org/officeDocument/2006/docPropsVTypes">2052-11.8.2.12309</vt:lpwstr>
  </property>
  <property xmlns="http://schemas.openxmlformats.org/officeDocument/2006/custom-properties" fmtid="{D5CDD505-2E9C-101B-9397-08002B2CF9AE}" pid="3" name="ICV">
    <vt:lpwstr xmlns:vt="http://schemas.openxmlformats.org/officeDocument/2006/docPropsVTypes">D45296F7F2444F3C8CDB43DA2E9FADD3</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d4181c-94b5-47dc-a917-2989a3880fe2}">
  <ds:schemaRefs/>
</ds:datastoreItem>
</file>

<file path=docProps/app.xml><?xml version="1.0" encoding="utf-8"?>
<Properties xmlns="http://schemas.openxmlformats.org/officeDocument/2006/extended-properties" xmlns:vt="http://schemas.openxmlformats.org/officeDocument/2006/docPropsVTypes">
  <Template>Normal.dotm</Template>
  <Company>云南省财政厅</Company>
  <Pages>21</Pages>
  <Words>0</Words>
  <Characters>0</Characters>
  <Lines>0</Lines>
  <Paragraphs>0</Paragraphs>
  <TotalTime>3</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2024-06-04T01:34:00Z</dcterms:created>
  <dc:creator>李瑞婷_x0028_拟稿_x0029_</dc:creator>
  <cp:lastModifiedBy>秋</cp:lastModifiedBy>
  <cp:lastPrinted>2024-07-31T06:24:00Z</cp:lastPrinted>
  <dcterms:modified xsi:type="dcterms:W3CDTF">2026-10-23T11:42:30Z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D45296F7F2444F3C8CDB43DA2E9FADD3</vt:lpwstr>
  </property>
  <property fmtid="{D5CDD505-2E9C-101B-9397-08002B2CF9AE}" pid="4" name="KSOTemplateDocerSaveRecord">
    <vt:lpwstr>eyJoZGlkIjoiZTE3YWZjMWY2YjQzOTUzMDVmYzRjYjVkMDY5ZmFkMTYiLCJ1c2VySWQiOiIyNzc5MDc3ODAifQ==</vt:lpwstr>
  </property>
</Properties>
</file>